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26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240" w:hanging="387"/>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740" w:type="dxa"/>
            <w:vAlign w:val="bottom"/>
            <w:gridSpan w:val="3"/>
          </w:tcPr>
          <w:p>
            <w:pPr>
              <w:ind w:left="3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3"/>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8"/>
                <w:szCs w:val="18"/>
                <w:b w:val="1"/>
                <w:bCs w:val="1"/>
                <w:color w:val="auto"/>
                <w:w w:val="91"/>
              </w:rPr>
              <w:t>Commission File Number: 0-19254</w:t>
            </w: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43"/>
                <w:szCs w:val="43"/>
                <w:b w:val="1"/>
                <w:bCs w:val="1"/>
                <w:color w:val="auto"/>
              </w:rPr>
              <w:t>LIFETIME BRANDS, INC.</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180" w:type="dxa"/>
            <w:vAlign w:val="bottom"/>
            <w:gridSpan w:val="9"/>
          </w:tcPr>
          <w:p>
            <w:pPr>
              <w:jc w:val="center"/>
              <w:ind w:right="29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640" w:type="dxa"/>
            <w:vAlign w:val="bottom"/>
            <w:gridSpan w:val="5"/>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gridSpan w:val="5"/>
          </w:tcPr>
          <w:p>
            <w:pPr>
              <w:jc w:val="center"/>
              <w:ind w:right="1004"/>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4"/>
        </w:trPr>
        <w:tc>
          <w:tcPr>
            <w:tcW w:w="6640" w:type="dxa"/>
            <w:vAlign w:val="bottom"/>
            <w:gridSpan w:val="5"/>
          </w:tcPr>
          <w:p>
            <w:pPr>
              <w:jc w:val="center"/>
              <w:ind w:right="108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tcPr>
          <w:p>
            <w:pPr>
              <w:jc w:val="center"/>
              <w:ind w:right="212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64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2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66"/>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0" w:type="dxa"/>
            <w:vAlign w:val="bottom"/>
          </w:tcPr>
          <w:p>
            <w:pPr>
              <w:spacing w:after="0"/>
              <w:rPr>
                <w:sz w:val="1"/>
                <w:szCs w:val="1"/>
                <w:color w:val="auto"/>
              </w:rPr>
            </w:pPr>
          </w:p>
        </w:tc>
      </w:tr>
      <w:tr>
        <w:trPr>
          <w:trHeight w:val="381"/>
        </w:trPr>
        <w:tc>
          <w:tcPr>
            <w:tcW w:w="3000" w:type="dxa"/>
            <w:vAlign w:val="bottom"/>
          </w:tcPr>
          <w:p>
            <w:pPr>
              <w:spacing w:after="0"/>
              <w:rPr>
                <w:sz w:val="24"/>
                <w:szCs w:val="24"/>
                <w:color w:val="auto"/>
              </w:rPr>
            </w:pPr>
          </w:p>
        </w:tc>
        <w:tc>
          <w:tcPr>
            <w:tcW w:w="3640" w:type="dxa"/>
            <w:vAlign w:val="bottom"/>
            <w:gridSpan w:val="4"/>
          </w:tcPr>
          <w:p>
            <w:pPr>
              <w:jc w:val="center"/>
              <w:ind w:left="1416"/>
              <w:spacing w:after="0"/>
              <w:rPr>
                <w:sz w:val="20"/>
                <w:szCs w:val="20"/>
                <w:color w:val="auto"/>
              </w:rPr>
            </w:pPr>
            <w:r>
              <w:rPr>
                <w:rFonts w:ascii="Arial" w:cs="Arial" w:eastAsia="Arial" w:hAnsi="Arial"/>
                <w:sz w:val="18"/>
                <w:szCs w:val="18"/>
                <w:b w:val="1"/>
                <w:bCs w:val="1"/>
                <w:color w:val="auto"/>
                <w:w w:val="90"/>
              </w:rPr>
              <w:t>(516) 683-6000</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90"/>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2"/>
        </w:trPr>
        <w:tc>
          <w:tcPr>
            <w:tcW w:w="3000" w:type="dxa"/>
            <w:vAlign w:val="bottom"/>
            <w:vMerge w:val="restart"/>
          </w:tcPr>
          <w:p>
            <w:pPr>
              <w:jc w:val="center"/>
              <w:ind w:left="561"/>
              <w:spacing w:after="0"/>
              <w:rPr>
                <w:sz w:val="20"/>
                <w:szCs w:val="20"/>
                <w:color w:val="auto"/>
              </w:rPr>
            </w:pPr>
            <w:r>
              <w:rPr>
                <w:rFonts w:ascii="Arial" w:cs="Arial" w:eastAsia="Arial" w:hAnsi="Arial"/>
                <w:sz w:val="14"/>
                <w:szCs w:val="14"/>
                <w:b w:val="1"/>
                <w:bCs w:val="1"/>
                <w:color w:val="auto"/>
                <w:w w:val="89"/>
              </w:rPr>
              <w:t>Title of each class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2"/>
          </w:tcPr>
          <w:p>
            <w:pPr>
              <w:jc w:val="center"/>
              <w:ind w:left="682"/>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000" w:type="dxa"/>
            <w:vAlign w:val="bottom"/>
          </w:tcPr>
          <w:p>
            <w:pPr>
              <w:jc w:val="center"/>
              <w:ind w:left="561"/>
              <w:spacing w:after="0"/>
              <w:rPr>
                <w:sz w:val="20"/>
                <w:szCs w:val="20"/>
                <w:color w:val="auto"/>
              </w:rPr>
            </w:pPr>
            <w:r>
              <w:rPr>
                <w:rFonts w:ascii="Arial" w:cs="Arial" w:eastAsia="Arial" w:hAnsi="Arial"/>
                <w:sz w:val="18"/>
                <w:szCs w:val="18"/>
                <w:b w:val="1"/>
                <w:bCs w:val="1"/>
                <w:color w:val="auto"/>
                <w:w w:val="90"/>
              </w:rPr>
              <w:t>Common Stock, $.01 par value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8"/>
                <w:szCs w:val="18"/>
                <w:b w:val="1"/>
                <w:bCs w:val="1"/>
                <w:color w:val="auto"/>
              </w:rPr>
              <w:t>LCUT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tcPr>
          <w:p>
            <w:pPr>
              <w:jc w:val="center"/>
              <w:ind w:right="204"/>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July 31, 2021 was 22,006,623.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JUNE 30, 2021</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9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750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700" w:type="dxa"/>
            <w:vAlign w:val="bottom"/>
            <w:gridSpan w:val="11"/>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 </w:t>
              </w:r>
            </w:hyperlink>
            <w:r>
              <w:rPr>
                <w:rFonts w:ascii="Arial" w:cs="Arial" w:eastAsia="Arial" w:hAnsi="Arial"/>
                <w:sz w:val="18"/>
                <w:szCs w:val="18"/>
                <w:color w:val="0000FF"/>
              </w:rPr>
              <w:t xml:space="preserve">June 30, 2021 </w:t>
            </w:r>
            <w:hyperlink w:anchor="page4">
              <w:r>
                <w:rPr>
                  <w:rFonts w:ascii="Arial" w:cs="Arial" w:eastAsia="Arial" w:hAnsi="Arial"/>
                  <w:sz w:val="18"/>
                  <w:szCs w:val="18"/>
                  <w:color w:val="0000FF"/>
                </w:rPr>
                <w:t xml:space="preserve">(unaudited) and </w:t>
              </w:r>
            </w:hyperlink>
            <w:r>
              <w:rPr>
                <w:rFonts w:ascii="Arial" w:cs="Arial" w:eastAsia="Arial" w:hAnsi="Arial"/>
                <w:sz w:val="18"/>
                <w:szCs w:val="18"/>
                <w:color w:val="0000FF"/>
              </w:rPr>
              <w:t>December 31, 2020</w:t>
            </w:r>
          </w:p>
        </w:tc>
        <w:tc>
          <w:tcPr>
            <w:tcW w:w="9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5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Operations (unaudited) – </w:t>
              </w:r>
            </w:hyperlink>
            <w:r>
              <w:rPr>
                <w:rFonts w:ascii="Arial" w:cs="Arial" w:eastAsia="Arial" w:hAnsi="Arial"/>
                <w:sz w:val="18"/>
                <w:szCs w:val="18"/>
                <w:color w:val="0000FF"/>
                <w:w w:val="89"/>
              </w:rPr>
              <w:t xml:space="preserve">Three and Six Months Ended June 30, 2021 </w:t>
            </w:r>
            <w:hyperlink w:anchor="page4">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2020</w:t>
            </w:r>
          </w:p>
        </w:tc>
        <w:tc>
          <w:tcPr>
            <w:tcW w:w="620" w:type="dxa"/>
            <w:vAlign w:val="bottom"/>
            <w:gridSpan w:val="3"/>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7"/>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 xml:space="preserve">Condensed Consolidated Statements of Comprehensive </w:t>
              </w:r>
            </w:hyperlink>
            <w:r>
              <w:rPr>
                <w:rFonts w:ascii="Arial" w:cs="Arial" w:eastAsia="Arial" w:hAnsi="Arial"/>
                <w:sz w:val="18"/>
                <w:szCs w:val="18"/>
                <w:color w:val="0000FF"/>
                <w:w w:val="93"/>
              </w:rPr>
              <w:t xml:space="preserve">Income (loss) </w:t>
            </w:r>
            <w:hyperlink w:anchor="page5">
              <w:r>
                <w:rPr>
                  <w:rFonts w:ascii="Arial" w:cs="Arial" w:eastAsia="Arial" w:hAnsi="Arial"/>
                  <w:sz w:val="18"/>
                  <w:szCs w:val="18"/>
                  <w:color w:val="0000FF"/>
                  <w:w w:val="93"/>
                </w:rPr>
                <w:t xml:space="preserve">(unaudited) – </w:t>
              </w:r>
            </w:hyperlink>
            <w:r>
              <w:rPr>
                <w:rFonts w:ascii="Arial" w:cs="Arial" w:eastAsia="Arial" w:hAnsi="Arial"/>
                <w:sz w:val="18"/>
                <w:szCs w:val="18"/>
                <w:color w:val="0000FF"/>
                <w:w w:val="93"/>
              </w:rPr>
              <w:t>Three and Six Months Ended June 30,</w:t>
            </w:r>
          </w:p>
        </w:tc>
        <w:tc>
          <w:tcPr>
            <w:tcW w:w="90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2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2021 and 2020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7"/>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 xml:space="preserve">Condensed Consolidated Statements of Stockholders’ Equity (unaudited) </w:t>
              </w:r>
            </w:hyperlink>
            <w:r>
              <w:rPr>
                <w:rFonts w:ascii="Arial" w:cs="Arial" w:eastAsia="Arial" w:hAnsi="Arial"/>
                <w:sz w:val="18"/>
                <w:szCs w:val="18"/>
                <w:color w:val="0000FF"/>
                <w:w w:val="93"/>
              </w:rPr>
              <w:t>–Three and Six Months Ended June 30, 2021 and</w:t>
            </w:r>
          </w:p>
        </w:tc>
        <w:tc>
          <w:tcPr>
            <w:tcW w:w="800" w:type="dxa"/>
            <w:vAlign w:val="bottom"/>
            <w:gridSpan w:val="2"/>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2020</w:t>
            </w:r>
          </w:p>
        </w:tc>
        <w:tc>
          <w:tcPr>
            <w:tcW w:w="2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 xml:space="preserve">Condensed Consolidated Statements of Cash Flows (unaudited) – </w:t>
              </w:r>
            </w:hyperlink>
            <w:r>
              <w:rPr>
                <w:rFonts w:ascii="Arial" w:cs="Arial" w:eastAsia="Arial" w:hAnsi="Arial"/>
                <w:sz w:val="18"/>
                <w:szCs w:val="18"/>
                <w:color w:val="0000FF"/>
                <w:w w:val="89"/>
              </w:rPr>
              <w:t>Six Months Ended June 30, 2021 and 2020</w:t>
            </w:r>
          </w:p>
        </w:tc>
        <w:tc>
          <w:tcPr>
            <w:tcW w:w="1340" w:type="dxa"/>
            <w:vAlign w:val="bottom"/>
            <w:gridSpan w:val="4"/>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340" w:type="dxa"/>
            <w:vAlign w:val="bottom"/>
            <w:gridSpan w:val="7"/>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2760" w:type="dxa"/>
            <w:vAlign w:val="bottom"/>
            <w:gridSpan w:val="6"/>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4860" w:type="dxa"/>
            <w:vAlign w:val="bottom"/>
            <w:gridSpan w:val="8"/>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93"/>
              </w:rPr>
            </w:pPr>
            <w:hyperlink w:anchor="page44">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3"/>
          </w:tcPr>
          <w:p>
            <w:pPr>
              <w:spacing w:after="0"/>
              <w:rPr>
                <w:sz w:val="22"/>
                <w:szCs w:val="22"/>
                <w:color w:val="auto"/>
              </w:rPr>
            </w:pPr>
          </w:p>
        </w:tc>
        <w:tc>
          <w:tcPr>
            <w:tcW w:w="7440" w:type="dxa"/>
            <w:vAlign w:val="bottom"/>
            <w:gridSpan w:val="9"/>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90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9"/>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Unregistered Sales of Equity Securities and Use of Proceeds</w:t>
              </w:r>
            </w:hyperlink>
          </w:p>
        </w:tc>
        <w:tc>
          <w:tcPr>
            <w:tcW w:w="4860" w:type="dxa"/>
            <w:vAlign w:val="bottom"/>
            <w:gridSpan w:val="8"/>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Exhibits</w:t>
              </w:r>
            </w:hyperlink>
          </w:p>
        </w:tc>
        <w:tc>
          <w:tcPr>
            <w:tcW w:w="3740" w:type="dxa"/>
            <w:vAlign w:val="bottom"/>
            <w:gridSpan w:val="7"/>
          </w:tcPr>
          <w:p>
            <w:pPr>
              <w:spacing w:after="0"/>
              <w:rPr>
                <w:sz w:val="24"/>
                <w:szCs w:val="24"/>
                <w:color w:val="auto"/>
              </w:rPr>
            </w:pPr>
          </w:p>
        </w:tc>
        <w:tc>
          <w:tcPr>
            <w:tcW w:w="4860" w:type="dxa"/>
            <w:vAlign w:val="bottom"/>
            <w:gridSpan w:val="8"/>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Signatures</w:t>
              </w:r>
            </w:hyperlink>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4016375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w w:val="96"/>
              </w:rPr>
              <w:t>Accounts receivable, less allowances of $16,901 at June 30, 2021 and $17,013 at December 31, 2020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120,494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170,037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203,164</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382,913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421,293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92,517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235,762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244,025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807,481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66,095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80,050</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157,289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 LONG-TERM</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102,355</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235,377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238,977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w w:val="90"/>
              </w:rPr>
              <w:t>Preferred stock, $1.00 par value, shares authorized: 100 shares of Series A and 2,000,000 shares of Series</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500"/>
              <w:spacing w:after="0"/>
              <w:rPr>
                <w:sz w:val="20"/>
                <w:szCs w:val="20"/>
                <w:color w:val="auto"/>
              </w:rPr>
            </w:pPr>
            <w:r>
              <w:rPr>
                <w:rFonts w:ascii="Arial" w:cs="Arial" w:eastAsia="Arial" w:hAnsi="Arial"/>
                <w:sz w:val="18"/>
                <w:szCs w:val="18"/>
                <w:color w:val="auto"/>
              </w:rPr>
              <w:t>B; none issued and outstanding</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0"/>
              </w:rPr>
              <w:t>Common stock, $0.01 par value, shares authorized: 50,000,000 at June 30, 2021 and December 31, 2020;</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shares issued and outstanding: 22,006,623 at June 30, 2021 and 21,755,195 at December 31, 2020</w:t>
            </w: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268,666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230,136</w:t>
            </w:r>
          </w:p>
        </w:tc>
        <w:tc>
          <w:tcPr>
            <w:tcW w:w="0" w:type="dxa"/>
            <w:vAlign w:val="bottom"/>
          </w:tcPr>
          <w:p>
            <w:pPr>
              <w:spacing w:after="0"/>
              <w:rPr>
                <w:sz w:val="1"/>
                <w:szCs w:val="1"/>
                <w:color w:val="auto"/>
              </w:rPr>
            </w:pP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807,481</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7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295,210</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188,108</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107,102</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31,749</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75,949</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impairments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(20,949)</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 to market gain (loss) on interest rate derivatives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equity in earnings (losses)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(32,330)</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(losses), net of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4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8"/>
        </w:trPr>
        <w:tc>
          <w:tcPr>
            <w:tcW w:w="56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(32,141)</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r>
      <w:tr>
        <w:trPr>
          <w:trHeight w:val="229"/>
        </w:trPr>
        <w:tc>
          <w:tcPr>
            <w:tcW w:w="560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(2,776)</w:t>
            </w:r>
          </w:p>
        </w:tc>
      </w:tr>
      <w:tr>
        <w:trPr>
          <w:trHeight w:val="230"/>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r>
      <w:tr>
        <w:trPr>
          <w:trHeight w:val="24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8"/>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268,666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230,136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3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Total comprehensive income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21,980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268,127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(37,489)</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233,406</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Translation adjustment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change in cash flow hedges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Total comprehensive income</w:t>
            </w: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8,460</w:t>
            </w:r>
          </w:p>
        </w:tc>
        <w:tc>
          <w:tcPr>
            <w:tcW w:w="0" w:type="dxa"/>
            <w:vAlign w:val="bottom"/>
          </w:tcPr>
          <w:p>
            <w:pPr>
              <w:spacing w:after="0"/>
              <w:rPr>
                <w:sz w:val="1"/>
                <w:szCs w:val="1"/>
                <w:color w:val="auto"/>
              </w:rPr>
            </w:pPr>
          </w:p>
        </w:tc>
      </w:tr>
      <w:tr>
        <w:trPr>
          <w:trHeight w:val="118"/>
        </w:trPr>
        <w:tc>
          <w:tcPr>
            <w:tcW w:w="382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22,007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268,976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(34,818)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241,801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Cash dividends declared per share of common stock were $0.0850 and $0.0850 in the six months ended June 30, 2021 and 2020, respectively.</w:t>
      </w:r>
    </w:p>
    <w:p>
      <w:pPr>
        <w:spacing w:after="0" w:line="200" w:lineRule="exact"/>
        <w:rPr>
          <w:rFonts w:ascii="Arial" w:cs="Arial" w:eastAsia="Arial" w:hAnsi="Arial"/>
          <w:sz w:val="16"/>
          <w:szCs w:val="16"/>
          <w:color w:val="auto"/>
          <w:vertAlign w:val="superscript"/>
        </w:rPr>
      </w:pPr>
    </w:p>
    <w:p>
      <w:pPr>
        <w:spacing w:after="0" w:line="337" w:lineRule="exact"/>
        <w:rPr>
          <w:rFonts w:ascii="Arial" w:cs="Arial" w:eastAsia="Arial" w:hAnsi="Arial"/>
          <w:sz w:val="16"/>
          <w:szCs w:val="16"/>
          <w:color w:val="auto"/>
          <w:vertAlign w:val="superscript"/>
        </w:rPr>
      </w:pPr>
    </w:p>
    <w:p>
      <w:pPr>
        <w:ind w:left="5580" w:hanging="106"/>
        <w:spacing w:after="0"/>
        <w:tabs>
          <w:tab w:leader="none" w:pos="5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7"/>
                <w:szCs w:val="17"/>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7"/>
                <w:szCs w:val="17"/>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6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deficit)</w:t>
            </w: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7,173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(34,455)</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236,317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Total comprehensive loss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(35,479)</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264,405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(41,770)</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200,927</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(loss) income: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(3,977)</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Translation adjustment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change in cash flow hedges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Total comprehensive loss</w:t>
            </w: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(6,371)</w:t>
            </w:r>
          </w:p>
        </w:tc>
        <w:tc>
          <w:tcPr>
            <w:tcW w:w="0" w:type="dxa"/>
            <w:vAlign w:val="bottom"/>
          </w:tcPr>
          <w:p>
            <w:pPr>
              <w:spacing w:after="0"/>
              <w:rPr>
                <w:sz w:val="1"/>
                <w:szCs w:val="1"/>
                <w:color w:val="auto"/>
              </w:rPr>
            </w:pPr>
          </w:p>
        </w:tc>
      </w:tr>
      <w:tr>
        <w:trPr>
          <w:trHeight w:val="118"/>
        </w:trPr>
        <w:tc>
          <w:tcPr>
            <w:tcW w:w="382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Dividends (1)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11"/>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265,630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194,871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Cash dividends declared per share of common stock were $0.0850 and $0.0850 in the six months ended June 30, 2021 and 2020,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rPr>
              <w:t>LIFETIME BRANDS,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570"/>
              <w:spacing w:after="0" w:line="202" w:lineRule="exact"/>
              <w:rPr>
                <w:sz w:val="20"/>
                <w:szCs w:val="20"/>
                <w:color w:val="auto"/>
              </w:rPr>
            </w:pPr>
            <w:r>
              <w:rPr>
                <w:rFonts w:ascii="Arial" w:cs="Arial" w:eastAsia="Arial" w:hAnsi="Arial"/>
                <w:sz w:val="18"/>
                <w:szCs w:val="18"/>
                <w:b w:val="1"/>
                <w:bCs w:val="1"/>
                <w:color w:val="auto"/>
              </w:rPr>
              <w:t>Six Months Ended</w:t>
            </w:r>
          </w:p>
        </w:tc>
      </w:tr>
      <w:tr>
        <w:trPr>
          <w:trHeight w:val="229"/>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(32,141)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12,295</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Goodwill and other impairments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Amortization of financing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Mark to market (gain) loss on interest rate derivatives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Provision for doubtful accounts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Undistributed equity in (earnings) losses, net of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12,661</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39,430</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66,209</w:t>
            </w:r>
          </w:p>
        </w:tc>
      </w:tr>
      <w:tr>
        <w:trPr>
          <w:trHeight w:val="210"/>
        </w:trPr>
        <w:tc>
          <w:tcPr>
            <w:tcW w:w="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30"/>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Acquisition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10"/>
        </w:trPr>
        <w:tc>
          <w:tcPr>
            <w:tcW w:w="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95,851</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(99,134)</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 of term loan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for finance lease obligations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(12,339)</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52,167</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63,537</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ind w:right="1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2020.</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results for the three and six months ended June 30, 2021 are not necessarily indicative of the results that may be expected for the year ending December 31, 2021.</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2020 and 2019, net sales for the third and fourth quarters accounted for 62% and 60% of total annual net sales, respectively. In anticipation of the pre-holiday shipping season, inventory levels increase primarily in the June through October time period.</w:t>
      </w:r>
    </w:p>
    <w:p>
      <w:pPr>
        <w:spacing w:after="0" w:line="7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tooling, and other product procurement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A considerable amount of judgment is required to assess the ultimate realization of these receivables, including assessing the initial and on-going creditworthiness of the Company’s customers.</w:t>
      </w:r>
    </w:p>
    <w:p>
      <w:pPr>
        <w:spacing w:after="0" w:line="8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this agreement, the Company sold to HSBC $38.9 million and $79.5 million of receivables during the three and six months ended June 30, 2021, respectively and $36.0 million and</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$73.9 million of receivables during the three and six months ended June 30, 2020, respectively. Charges of $0.1 million related to the sale of the receivables are included in selling, general and administrative expenses in the unaudited condensed consolidated statements of operations for each of the three months ended June 30, 2021 and 2020. Charges of $0.2 million and $0.3 million related to the sale of the receivables are included in selling, general and administrative expenses in the unaudited condensed consolidated statements of operations for the six months ended June 30, 2021 and 2020, respectively. At June 30, 2021 and 2020, $14.6 million and $20.8 million, respectively, of receivables sold were outstanding and due to HSBC from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9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900" w:type="dxa"/>
            <w:vAlign w:val="bottom"/>
            <w:vMerge w:val="restart"/>
          </w:tcPr>
          <w:p>
            <w:pPr>
              <w:jc w:val="right"/>
              <w:ind w:right="2370"/>
              <w:spacing w:after="0"/>
              <w:rPr>
                <w:sz w:val="20"/>
                <w:szCs w:val="20"/>
                <w:color w:val="auto"/>
              </w:rPr>
            </w:pPr>
            <w:r>
              <w:rPr>
                <w:rFonts w:ascii="Arial" w:cs="Arial" w:eastAsia="Arial" w:hAnsi="Arial"/>
                <w:sz w:val="18"/>
                <w:szCs w:val="18"/>
                <w:color w:val="auto"/>
              </w:rPr>
              <w:t>- 9 -</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("ASC 815")</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6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spacing w:after="0" w:line="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2021, the Company did not incur any restructuring expenses.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three and six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to achieve product development efficiencies and a country tailored international sales approach.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2021, the Company adopted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adoption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is currently evaluating the impact of this standard on its consolidated financial statements and related disclosures.</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LIBOR or another reference rate that is expected to be discontinued as a result of reference rate reform. The guidance in the ASU may be applied to contract modifications and hedging relationships as of any date from March 12, 2020 but no later than December 31, 2022 and should be applied on a prospective basis. The Company has not yet applied the guidance in this ASU and is currently evaluating the impact of this standard on its consolidated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$0.7 million and $1.4 million for the three and six months ended June 30, 2021, respectively and $1.0 million and $1.7 million </w:t>
      </w:r>
      <w:r>
        <w:rPr>
          <w:rFonts w:ascii="Arial" w:cs="Arial" w:eastAsia="Arial" w:hAnsi="Arial"/>
          <w:sz w:val="17"/>
          <w:szCs w:val="17"/>
          <w:color w:val="auto"/>
        </w:rPr>
        <w:t>for the</w:t>
      </w:r>
      <w:r>
        <w:rPr>
          <w:rFonts w:ascii="Arial" w:cs="Arial" w:eastAsia="Arial" w:hAnsi="Arial"/>
          <w:sz w:val="16"/>
          <w:szCs w:val="16"/>
          <w:color w:val="auto"/>
        </w:rPr>
        <w:t xml:space="preserve"> three and six months ended June 30, 2020, respectively. Net sales exclude taxes that are collected from customers and remitted to the taxing authorities.</w:t>
      </w:r>
    </w:p>
    <w:p>
      <w:pPr>
        <w:spacing w:after="0" w:line="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which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Payment terms vary by customer, but generally range from 30 to 90 days or at the point of sale for the Company’s retail direct sales.</w:t>
      </w:r>
    </w:p>
    <w:p>
      <w:pPr>
        <w:spacing w:after="0" w:line="69"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six months ended June 30, 2021 and 2020 (in thousands):</w:t>
      </w: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6"/>
                <w:szCs w:val="16"/>
                <w:color w:val="auto"/>
              </w:rPr>
            </w:pPr>
          </w:p>
        </w:tc>
      </w:tr>
      <w:tr>
        <w:trPr>
          <w:trHeight w:val="195"/>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7"/>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2020</w:t>
            </w:r>
          </w:p>
        </w:tc>
      </w:tr>
      <w:tr>
        <w:trPr>
          <w:trHeight w:val="21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103,627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84,418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223,622</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163,692</w:t>
            </w:r>
          </w:p>
        </w:tc>
      </w:tr>
      <w:tr>
        <w:trPr>
          <w:trHeight w:val="229"/>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47,249</w:t>
            </w:r>
          </w:p>
        </w:tc>
      </w:tr>
      <w:tr>
        <w:trPr>
          <w:trHeight w:val="230"/>
        </w:trPr>
        <w:tc>
          <w:tcPr>
            <w:tcW w:w="5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50,858</w:t>
            </w:r>
          </w:p>
        </w:tc>
      </w:tr>
      <w:tr>
        <w:trPr>
          <w:trHeight w:val="223"/>
        </w:trPr>
        <w:tc>
          <w:tcPr>
            <w:tcW w:w="5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U.S. segment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342,764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261,799</w:t>
            </w:r>
          </w:p>
        </w:tc>
      </w:tr>
      <w:tr>
        <w:trPr>
          <w:trHeight w:val="237"/>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33,411</w:t>
            </w:r>
          </w:p>
        </w:tc>
      </w:tr>
      <w:tr>
        <w:trPr>
          <w:trHeight w:val="223"/>
        </w:trPr>
        <w:tc>
          <w:tcPr>
            <w:tcW w:w="5600" w:type="dxa"/>
            <w:vAlign w:val="bottom"/>
          </w:tcPr>
          <w:p>
            <w:pPr>
              <w:ind w:left="10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382,289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295,210</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161,946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128,928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332,714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253,655</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20,783</w:t>
            </w:r>
          </w:p>
        </w:tc>
      </w:tr>
      <w:tr>
        <w:trPr>
          <w:trHeight w:val="248"/>
        </w:trPr>
        <w:tc>
          <w:tcPr>
            <w:tcW w:w="56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295,210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26, 2021, the Company acquired the business and certain assets of Year &amp; Day, a designer and distributor of ceramic dinnerware, stainless steel flatware and Italian glassware for $0.2 million. The assets and operating results of the Year &amp; Day brand are reflected in the Company’s condensed consolidated financial statements in accordance with ASC Topic No. 805, Business Combinations, commencing from the acquisition date. The purchase price was allocated based on the Company’s preliminary estimate of the fair values of the assets acquired which consistent of inventory of $0.3 million and liabilities assumed of $0.1 million. The Year &amp; Day acquisition did not have a material impact on the Company's consolidated statement of operations for the three and six months ended June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corporate offices, distribution facilities, manufacturing plants, and certain vehicles.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and six months ended June 30, 2021 and 2020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8"/>
        </w:trPr>
        <w:tc>
          <w:tcPr>
            <w:tcW w:w="5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2020</w:t>
            </w:r>
          </w:p>
        </w:tc>
      </w:tr>
      <w:tr>
        <w:trPr>
          <w:trHeight w:val="211"/>
        </w:trPr>
        <w:tc>
          <w:tcPr>
            <w:tcW w:w="562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color w:val="auto"/>
              </w:rPr>
              <w:t>Operating lease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4,501</w:t>
            </w:r>
          </w:p>
        </w:tc>
        <w:tc>
          <w:tcPr>
            <w:tcW w:w="10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4,491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8,996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9,305</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5,450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5,416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w:t>
            </w:r>
          </w:p>
        </w:tc>
      </w:tr>
      <w:tr>
        <w:trPr>
          <w:trHeight w:val="20"/>
        </w:trPr>
        <w:tc>
          <w:tcPr>
            <w:tcW w:w="5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Expenses are recorded within distribution expenses and selling, general and administrative expenses on the unaudited condensed consolidated statement of operations.</w:t>
      </w:r>
    </w:p>
    <w:p>
      <w:pPr>
        <w:spacing w:after="0" w:line="200" w:lineRule="exact"/>
        <w:rPr>
          <w:rFonts w:ascii="Arial" w:cs="Arial" w:eastAsia="Arial" w:hAnsi="Arial"/>
          <w:sz w:val="9"/>
          <w:szCs w:val="9"/>
          <w:color w:val="auto"/>
        </w:rPr>
      </w:pPr>
    </w:p>
    <w:p>
      <w:pPr>
        <w:spacing w:after="0" w:line="399" w:lineRule="exact"/>
        <w:rPr>
          <w:rFonts w:ascii="Arial" w:cs="Arial" w:eastAsia="Arial" w:hAnsi="Arial"/>
          <w:sz w:val="9"/>
          <w:szCs w:val="9"/>
          <w:color w:val="auto"/>
        </w:rPr>
      </w:pPr>
    </w:p>
    <w:p>
      <w:pPr>
        <w:ind w:left="5540" w:hanging="111"/>
        <w:spacing w:after="0"/>
        <w:tabs>
          <w:tab w:leader="none" w:pos="5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for lease related liabilities and assets for the six months ended June 30, 2021 and 2020 were as follows (in thousands):</w:t>
      </w:r>
    </w:p>
    <w:p>
      <w:pPr>
        <w:spacing w:after="0" w:line="5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3"/>
              </w:rPr>
              <w:t>2020</w:t>
            </w: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9,764</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7,285</w:t>
            </w:r>
          </w:p>
        </w:tc>
      </w:tr>
      <w:tr>
        <w:trPr>
          <w:trHeight w:val="472"/>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24"/>
                <w:szCs w:val="24"/>
                <w:color w:val="auto"/>
              </w:rPr>
            </w:pPr>
          </w:p>
        </w:tc>
      </w:tr>
      <w:tr>
        <w:trPr>
          <w:trHeight w:val="188"/>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84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3"/>
              </w:rPr>
              <w:t>2020</w:t>
            </w: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three and six months ended June 30, 2020, in response to the COVID-19 pandemic, the Company negotiated COVID-19 related rent concessions for several of its leased properties. The majority of these rent concessions were in the form of deferred rent payments for one or more months. The Company applied the guidance issued in the FASB Staff Q&amp;A - Topic 842 and Topic 840: Accounting For Lease Concessions Related to the Effects of the COVID-19 Pandemic, and elected to account for these rent concessions as if no changes to the lease were made and continued to recognize the straight-line lease expense. The COVID-19 related deferred rent payments as of June 30, 2020, totaled $1.0 million and were deferred to the second half of fiscal year 2020 and into fiscal year 2021. As of June 30, 2021, all deferred payments have been paid.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The aggregate future lease payments for operating leases as of June 30, 2021 were as follows (in thousands):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6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23"/>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June 30,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18,564</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18,177</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17,515</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139,273</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(29,329)</w:t>
            </w:r>
          </w:p>
        </w:tc>
        <w:tc>
          <w:tcPr>
            <w:tcW w:w="0" w:type="dxa"/>
            <w:vAlign w:val="bottom"/>
          </w:tcPr>
          <w:p>
            <w:pPr>
              <w:spacing w:after="0"/>
              <w:rPr>
                <w:sz w:val="1"/>
                <w:szCs w:val="1"/>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Present value of lease payments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109,944</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4"/>
              </w:rPr>
              <w:t>June 30, 2021</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As of June 30, 2021, the Company owns approximately 27%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2021 and 2020 in the accompanying unaudited condensed consolidated statements of operations.</w:t>
      </w:r>
    </w:p>
    <w:p>
      <w:pPr>
        <w:spacing w:after="0" w:line="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30, 2021, Vasconia sold shares, which diluted the Company’s investment ownership from approximately 30% to approximately 27%. The dilution in ownership did not change the Company's accounting for its investment in Vasconia and the Company continues to apply the equity method of accounting.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(losses), net of taxes, in the accompanying unaudited condensed consolidated statements of operations for the three and six months ended June 30, 2021.</w:t>
      </w:r>
    </w:p>
    <w:p>
      <w:pPr>
        <w:spacing w:after="0" w:line="84"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On July 29, 2021, the Company sold 2.2 million shares further reducing its ownership of approximately 27% in Vasconia for net cash proceeds of approximately $3.0 million. The Company estimates the gain on the sale, without consideration for income taxes, is $1.0 million. The Company also estimates a non-cash loss of $1.4 million for amounts previously recognized in accumulated other comprehensive loss.</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19.86 and MXN 19.88 at June 30, 2021 and December 31,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income (loss) has been translated from MXN to USD using the following exchange rates: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6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26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28"/>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373"/>
        </w:trPr>
        <w:tc>
          <w:tcPr>
            <w:tcW w:w="6460" w:type="dxa"/>
            <w:vAlign w:val="bottom"/>
            <w:gridSpan w:val="2"/>
            <w:shd w:val="clear" w:color="auto" w:fill="CCEEFF"/>
          </w:tcPr>
          <w:p>
            <w:pPr>
              <w:jc w:val="right"/>
              <w:ind w:right="3548"/>
              <w:spacing w:after="0"/>
              <w:rPr>
                <w:sz w:val="20"/>
                <w:szCs w:val="20"/>
                <w:color w:val="auto"/>
              </w:rPr>
            </w:pPr>
            <w:r>
              <w:rPr>
                <w:rFonts w:ascii="Arial" w:cs="Arial" w:eastAsia="Arial" w:hAnsi="Arial"/>
                <w:sz w:val="18"/>
                <w:szCs w:val="18"/>
                <w:color w:val="auto"/>
                <w:w w:val="92"/>
              </w:rPr>
              <w:t>Average exchange rate (USD to MXN)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23.31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20.02 - 20.33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19.91 - 23.31</w:t>
            </w:r>
          </w:p>
        </w:tc>
      </w:tr>
    </w:tbl>
    <w:p>
      <w:pPr>
        <w:spacing w:after="0" w:line="29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an increase to the investment of $1.6 million and a decrease of $4.0 million during the six months ended June 30, 2021 and 2020, respectively. These translation effects are recorded in accumulated other comprehensive loss.</w:t>
      </w:r>
    </w:p>
    <w:p>
      <w:pPr>
        <w:spacing w:after="0" w:line="76"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Summarized income statement information for the three and six months ended June 30, 2021 and 2020 for Vasconia in USD and MXN is as follows (in thousands):</w:t>
      </w:r>
    </w:p>
    <w:p>
      <w:pPr>
        <w:jc w:val="center"/>
        <w:ind w:left="514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51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5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20" w:type="dxa"/>
            <w:vAlign w:val="bottom"/>
          </w:tcPr>
          <w:p>
            <w:pPr>
              <w:spacing w:after="0"/>
              <w:rPr>
                <w:sz w:val="15"/>
                <w:szCs w:val="15"/>
                <w:color w:val="auto"/>
              </w:rPr>
            </w:pP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59,079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666,012</w:t>
            </w:r>
          </w:p>
        </w:tc>
        <w:tc>
          <w:tcPr>
            <w:tcW w:w="20" w:type="dxa"/>
            <w:vAlign w:val="bottom"/>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15,921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141,304</w:t>
            </w:r>
          </w:p>
        </w:tc>
        <w:tc>
          <w:tcPr>
            <w:tcW w:w="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32,948</w:t>
            </w:r>
          </w:p>
        </w:tc>
        <w:tc>
          <w:tcPr>
            <w:tcW w:w="20" w:type="dxa"/>
            <w:vAlign w:val="bottom"/>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(46,459)</w:t>
            </w:r>
          </w:p>
        </w:tc>
        <w:tc>
          <w:tcPr>
            <w:tcW w:w="20" w:type="dxa"/>
            <w:vAlign w:val="bottom"/>
          </w:tcPr>
          <w:p>
            <w:pPr>
              <w:spacing w:after="0"/>
              <w:rPr>
                <w:sz w:val="20"/>
                <w:szCs w:val="20"/>
                <w:color w:val="auto"/>
              </w:rPr>
            </w:pPr>
          </w:p>
        </w:tc>
      </w:tr>
      <w:tr>
        <w:trPr>
          <w:trHeight w:val="890"/>
        </w:trPr>
        <w:tc>
          <w:tcPr>
            <w:tcW w:w="5180" w:type="dxa"/>
            <w:vAlign w:val="bottom"/>
          </w:tcPr>
          <w:p>
            <w:pPr>
              <w:spacing w:after="0"/>
              <w:rPr>
                <w:sz w:val="24"/>
                <w:szCs w:val="24"/>
                <w:color w:val="auto"/>
              </w:rPr>
            </w:pPr>
          </w:p>
        </w:tc>
        <w:tc>
          <w:tcPr>
            <w:tcW w:w="860" w:type="dxa"/>
            <w:vAlign w:val="bottom"/>
          </w:tcPr>
          <w:p>
            <w:pPr>
              <w:jc w:val="right"/>
              <w:ind w:right="136"/>
              <w:spacing w:after="0"/>
              <w:rPr>
                <w:sz w:val="20"/>
                <w:szCs w:val="20"/>
                <w:color w:val="auto"/>
              </w:rPr>
            </w:pPr>
            <w:r>
              <w:rPr>
                <w:rFonts w:ascii="Arial" w:cs="Arial" w:eastAsia="Arial" w:hAnsi="Arial"/>
                <w:sz w:val="18"/>
                <w:szCs w:val="18"/>
                <w:color w:val="auto"/>
              </w:rPr>
              <w:t>- 15 -</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Six Months Ended</w:t>
      </w:r>
    </w:p>
    <w:p>
      <w:pPr>
        <w:jc w:val="center"/>
        <w:ind w:left="51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top w:val="single" w:sz="8" w:color="auto"/>
              <w:bottom w:val="single" w:sz="8" w:color="auto"/>
            </w:tcBorders>
          </w:tcPr>
          <w:p>
            <w:pPr>
              <w:spacing w:after="0"/>
              <w:rPr>
                <w:sz w:val="16"/>
                <w:szCs w:val="16"/>
                <w:color w:val="auto"/>
              </w:rPr>
            </w:pPr>
          </w:p>
        </w:tc>
      </w:tr>
      <w:tr>
        <w:trPr>
          <w:trHeight w:val="181"/>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color w:val="auto"/>
              </w:rPr>
              <w:t>MXN</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color w:val="auto"/>
              </w:rPr>
              <w:t>MXN</w:t>
            </w: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2,272,569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60,367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1,299,048</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561,840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248,961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207,043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(18,156)</w:t>
            </w:r>
          </w:p>
        </w:tc>
      </w:tr>
    </w:tbl>
    <w:p>
      <w:pPr>
        <w:spacing w:after="0" w:line="200" w:lineRule="exact"/>
        <w:rPr>
          <w:sz w:val="20"/>
          <w:szCs w:val="20"/>
          <w:color w:val="auto"/>
        </w:rPr>
      </w:pPr>
    </w:p>
    <w:p>
      <w:pPr>
        <w:spacing w:after="0" w:line="2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recorded equity in earnings of Vasconia, net of taxes, of $0.7 million and $0.5 million for the three and six months ended June 30, 2021, respectively. The Company recorded equity in losses of Vasconia, net of taxes, of $0.6 million and $0.3 million for the three and six ended June 30,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5080" w:type="dxa"/>
            <w:vAlign w:val="bottom"/>
            <w:gridSpan w:val="2"/>
          </w:tcPr>
          <w:p>
            <w:pPr>
              <w:jc w:val="center"/>
              <w:ind w:left="664"/>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11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4"/>
              </w:rPr>
              <w:t>June 30, 2021</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tcPr>
          <w:p>
            <w:pPr>
              <w:jc w:val="center"/>
              <w:ind w:left="784"/>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50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5080" w:type="dxa"/>
            <w:vAlign w:val="bottom"/>
            <w:gridSpan w:val="2"/>
          </w:tcPr>
          <w:p>
            <w:pPr>
              <w:ind w:left="860"/>
              <w:spacing w:after="0"/>
              <w:rPr>
                <w:sz w:val="20"/>
                <w:szCs w:val="20"/>
                <w:color w:val="auto"/>
              </w:rPr>
            </w:pPr>
            <w:r>
              <w:rPr>
                <w:rFonts w:ascii="Arial" w:cs="Arial" w:eastAsia="Arial" w:hAnsi="Arial"/>
                <w:sz w:val="16"/>
                <w:szCs w:val="16"/>
                <w:color w:val="auto"/>
              </w:rPr>
              <w:t>Accrued expenses and Accounts payable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June 30, 2021 and December 31, 2020, the fair value (based on Level 1 inputs using the quoted stock price) of the Company’s investment in Vasconia was $39.2 million and $32.8 million, respectively. The carrying value of the Company’s investment in Vasconia was $23.8 million and $20.0 million as of June 30, 2021 and December 31, 2020, respectively.</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Lifetime Brands Do Brasil Participacoes Ltda., a 100% owned subsidiary of Lifetime Brands, Inc., was dissolved on May 5, 2020. The subsidiary held a note receivable relating to the 2016 sale of its 40% equity interest in GS International S/A (“GSI”), a wholesale distributor of branded housewares products in Brazil, which was accounted for as an equity method investment. The final installment due on the note receivable was received prior to dissolution of the subsidiary. Foreign currency translation losses of $0.2 million, which were previously recorded as a component of stockholder’s equity within accumulated other comprehensive loss, were recognized in earnings upon dissolution of this subsidiary for the period ended June 30, 2020. The Company included this loss within equity in losses, net of taxes.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June 30, 2021 and December 31,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w w:val="97"/>
              </w:rPr>
              <w:t>Indefinite-lived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13"/>
        </w:trPr>
        <w:tc>
          <w:tcPr>
            <w:tcW w:w="2500" w:type="dxa"/>
            <w:vAlign w:val="bottom"/>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31,156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relationships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123,793</w:t>
            </w:r>
          </w:p>
        </w:tc>
        <w:tc>
          <w:tcPr>
            <w:tcW w:w="0" w:type="dxa"/>
            <w:vAlign w:val="bottom"/>
          </w:tcPr>
          <w:p>
            <w:pPr>
              <w:spacing w:after="0"/>
              <w:rPr>
                <w:sz w:val="1"/>
                <w:szCs w:val="1"/>
                <w:color w:val="auto"/>
              </w:rPr>
            </w:pPr>
          </w:p>
        </w:tc>
      </w:tr>
      <w:tr>
        <w:trPr>
          <w:trHeight w:val="213"/>
        </w:trPr>
        <w:tc>
          <w:tcPr>
            <w:tcW w:w="25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37"/>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244,025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first quarter of 2020, as a result of the economic downturn caused by the COVID-19 pandemic, the Company concluded that a triggering event had occurred and performed an interim impairment test of goodwill and certain intangible assets as of March 31, 2020. The Company performed the first quarter 2020 interim impairment test of goodwill by comparing its fair value with its carrying value. The analysis was performed by using a discounted cash flow method and market multiple method. For goodwill, the outcome of the valuation is largely dependent upon estimates made by the Company with respect to significant assumptions, including projected net sales, projected earnings before interest, tax, depreciation and amortization (“EBITDA”), terminal growth rates, and the cost of capital under the discounted cash flow method.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our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(27,302)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79"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2020</w:t>
            </w:r>
          </w:p>
        </w:tc>
      </w:tr>
      <w:tr>
        <w:trPr>
          <w:trHeight w:val="19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4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19,120</w:t>
            </w:r>
          </w:p>
        </w:tc>
      </w:tr>
      <w:tr>
        <w:trPr>
          <w:trHeight w:val="243"/>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3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243,485</w:t>
            </w: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(4,508)</w:t>
            </w: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238,977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estimated Excess Cash Flow principal payment recorded at June 30, 2021 represents the Company's estimate for the 2022 Excess Cash Flow payment. The 2021 Excess Cash Flow payment, paid on March 30, 2021, totaled $10.5 million. The Excess Cash Flow payment differs from the estimated amount at December 31, 2020 of $19.1 million as certain lenders opted to not require payment per the terms of the debt agreements.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Agreement. There were no outstanding borrowings under the ABL Agreement at June 30, 2021. In addition, the Company pays a commitment fee of 0.375% on the unused portion of the ABL Agreement.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1.0%, plus a margin of 3.5%. The interest rate on outstanding borrowings under the Term Loan at June 30, 2021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June 30, 2021.</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$75.0 million at June 30, 2021.</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$50.0 million at June 30, 2021.</w:t>
      </w:r>
    </w:p>
    <w:p>
      <w:pPr>
        <w:spacing w:after="0" w:line="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June 30, 2021.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aggregate gross notional values of foreign exchange contracts at June 30, 2021 was $10.8 million. These foreign exchange contracts have been designated as hedges in order to apply hedge accounting.</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programs and are entered into for the sole purpose of hedging an existing or anticipated currency exposure. The Company does not enter into such contracts for speculative purposes and as of June 30, 2021, the Company does not have any foreign currency forward contract derivatives that are not designated as hedges.</w:t>
      </w:r>
    </w:p>
    <w:p>
      <w:pPr>
        <w:spacing w:after="0" w:line="76" w:lineRule="exact"/>
        <w:rPr>
          <w:sz w:val="20"/>
          <w:szCs w:val="20"/>
          <w:color w:val="auto"/>
        </w:rPr>
      </w:pPr>
    </w:p>
    <w:p>
      <w:pPr>
        <w:ind w:right="520"/>
        <w:spacing w:after="0" w:line="274"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63"/>
        </w:trPr>
        <w:tc>
          <w:tcPr>
            <w:tcW w:w="3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560" w:type="dxa"/>
            <w:vAlign w:val="bottom"/>
            <w:gridSpan w:val="2"/>
          </w:tcPr>
          <w:p>
            <w:pPr>
              <w:jc w:val="center"/>
              <w:ind w:left="239"/>
              <w:spacing w:after="0" w:line="163" w:lineRule="exact"/>
              <w:rPr>
                <w:sz w:val="20"/>
                <w:szCs w:val="20"/>
                <w:color w:val="auto"/>
              </w:rPr>
            </w:pPr>
            <w:r>
              <w:rPr>
                <w:rFonts w:ascii="Arial" w:cs="Arial" w:eastAsia="Arial" w:hAnsi="Arial"/>
                <w:sz w:val="16"/>
                <w:szCs w:val="16"/>
                <w:b w:val="1"/>
                <w:bCs w:val="1"/>
                <w:color w:val="auto"/>
                <w:w w:val="87"/>
              </w:rPr>
              <w:t>Balance Sheet</w:t>
            </w:r>
          </w:p>
        </w:tc>
        <w:tc>
          <w:tcPr>
            <w:tcW w:w="1540" w:type="dxa"/>
            <w:vAlign w:val="bottom"/>
            <w:gridSpan w:val="2"/>
          </w:tcPr>
          <w:p>
            <w:pPr>
              <w:ind w:left="440"/>
              <w:spacing w:after="0" w:line="163" w:lineRule="exact"/>
              <w:rPr>
                <w:sz w:val="20"/>
                <w:szCs w:val="20"/>
                <w:color w:val="auto"/>
              </w:rPr>
            </w:pPr>
            <w:r>
              <w:rPr>
                <w:rFonts w:ascii="Arial" w:cs="Arial" w:eastAsia="Arial" w:hAnsi="Arial"/>
                <w:sz w:val="16"/>
                <w:szCs w:val="16"/>
                <w:b w:val="1"/>
                <w:bCs w:val="1"/>
                <w:color w:val="auto"/>
              </w:rPr>
              <w:t>June 30,</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auto"/>
            </w:tcBorders>
            <w:vMerge w:val="continue"/>
          </w:tcPr>
          <w:p>
            <w:pPr>
              <w:spacing w:after="0"/>
              <w:rPr>
                <w:sz w:val="18"/>
                <w:szCs w:val="18"/>
                <w:color w:val="auto"/>
              </w:rPr>
            </w:pPr>
          </w:p>
        </w:tc>
        <w:tc>
          <w:tcPr>
            <w:tcW w:w="446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w w:val="89"/>
              </w:rPr>
              <w:t>Location</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5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4560" w:type="dxa"/>
            <w:vAlign w:val="bottom"/>
            <w:gridSpan w:val="2"/>
          </w:tcPr>
          <w:p>
            <w:pPr>
              <w:ind w:left="440"/>
              <w:spacing w:after="0"/>
              <w:rPr>
                <w:sz w:val="20"/>
                <w:szCs w:val="20"/>
                <w:color w:val="auto"/>
              </w:rPr>
            </w:pPr>
            <w:r>
              <w:rPr>
                <w:rFonts w:ascii="Arial" w:cs="Arial" w:eastAsia="Arial" w:hAnsi="Arial"/>
                <w:sz w:val="16"/>
                <w:szCs w:val="16"/>
                <w:color w:val="auto"/>
              </w:rPr>
              <w:t>Other Long-Term Liabilities</w:t>
            </w:r>
          </w:p>
        </w:tc>
        <w:tc>
          <w:tcPr>
            <w:tcW w:w="144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45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Derivatives not designated as hedging instruments</w:t>
            </w:r>
          </w:p>
        </w:tc>
        <w:tc>
          <w:tcPr>
            <w:tcW w:w="444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87"/>
              </w:rPr>
              <w:t>Balance Sheet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June 30,</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vMerge w:val="continue"/>
          </w:tcPr>
          <w:p>
            <w:pPr>
              <w:spacing w:after="0"/>
              <w:rPr>
                <w:sz w:val="18"/>
                <w:szCs w:val="18"/>
                <w:color w:val="auto"/>
              </w:rPr>
            </w:pPr>
          </w:p>
        </w:tc>
        <w:tc>
          <w:tcPr>
            <w:tcW w:w="43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89"/>
              </w:rPr>
              <w:t>Location</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Long-Term Liabilities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68"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amounts of gains and losses, realized and unrealized, related to the Company’s derivative financial instruments designated as hedging instruments are recognized in other comprehensive income (loss), net of taxes, as follows (in thousands):</w:t>
      </w:r>
    </w:p>
    <w:tbl>
      <w:tblPr>
        <w:tblLayout w:type="fixed"/>
        <w:tblInd w:w="0" w:type="dxa"/>
        <w:tblCellMar>
          <w:top w:w="0" w:type="dxa"/>
          <w:left w:w="0" w:type="dxa"/>
          <w:bottom w:w="0" w:type="dxa"/>
          <w:right w:w="0" w:type="dxa"/>
        </w:tblCellMar>
      </w:tblPr>
      <w:tr>
        <w:trPr>
          <w:trHeight w:val="163"/>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40"/>
              <w:spacing w:after="0" w:line="163" w:lineRule="exact"/>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4"/>
          </w:tcPr>
          <w:p>
            <w:pPr>
              <w:jc w:val="right"/>
              <w:ind w:right="659"/>
              <w:spacing w:after="0" w:line="163"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5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06"/>
        </w:trPr>
        <w:tc>
          <w:tcPr>
            <w:tcW w:w="56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479"/>
              <w:spacing w:after="0"/>
              <w:rPr>
                <w:sz w:val="20"/>
                <w:szCs w:val="20"/>
                <w:color w:val="auto"/>
              </w:rPr>
            </w:pPr>
            <w:r>
              <w:rPr>
                <w:rFonts w:ascii="Arial" w:cs="Arial" w:eastAsia="Arial" w:hAnsi="Arial"/>
                <w:sz w:val="16"/>
                <w:szCs w:val="16"/>
                <w:color w:val="auto"/>
                <w:w w:val="89"/>
              </w:rPr>
              <w:t>209</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(2,885)</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w w:val="90"/>
              </w:rPr>
              <w:t>(108)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9"/>
        </w:trPr>
        <w:tc>
          <w:tcPr>
            <w:tcW w:w="56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w:t>
            </w:r>
          </w:p>
        </w:tc>
      </w:tr>
      <w:tr>
        <w:trPr>
          <w:trHeight w:val="2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Realized gains and losses on the interest rate swaps are reclassified into earnings as the interest expense on the debt is recognized. The Company had no terminated or matured interest rate swaps during the three and six months ended June 30, 2021.</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income (loss) are reclassified into cost of sales as the underlying inventory purchased is sold.</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three months ended June 30, 2021, the Company reclassified $0.5 million of cash flow hedges in other comprehensive losses to earnings. This was comprised of $0.2 million related to realized interest rate swap losses and a loss of $0.3 million related to foreign exchange contracts recognized in cost of sales. During the six months ended June 30, 2021, the Company reclassified $0.8 million of cash flow hedges in other comprehensive losses to earnings. This was comprised of $0.5 million related to realized interest rate swap losses and a loss of $0.3 million related to foreign exchange contracts recognized in cost of sales. At June 30, 2021, the estimated amount of existing losses expected to be reclassified into earnings within the next 12 months was $1.2 million.</w:t>
      </w:r>
    </w:p>
    <w:p>
      <w:pPr>
        <w:spacing w:after="0" w:line="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three months ended June 30, 2020, the Company reclassified $0.2 million of cash flow hedges in other comprehensive losses to earnings. This was comprised of $0.3 million related to realized interest rate swap losses and a gain of $0.1 million related to foreign exchange contracts recognized in cost of sales. During the six months ended June 30, 2020, the Company reclassified $0.4 million of cash flow hedges in other comprehensive losses to earnings. This was comprised of $0.6 million related to realized interest rate swap losses and a gain of $0.2 million related to foreign exchange contracts recognized in cost of sales.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20"/>
        <w:spacing w:after="0" w:line="274" w:lineRule="auto"/>
        <w:rPr>
          <w:sz w:val="20"/>
          <w:szCs w:val="20"/>
          <w:color w:val="auto"/>
        </w:rPr>
      </w:pPr>
      <w:r>
        <w:rPr>
          <w:rFonts w:ascii="Arial" w:cs="Arial" w:eastAsia="Arial" w:hAnsi="Arial"/>
          <w:sz w:val="18"/>
          <w:szCs w:val="18"/>
          <w:color w:val="auto"/>
        </w:rPr>
        <w:t>Interest and mark to market gains (losses) related to the Company’s derivative financial instruments not designated as hedging instruments that were recognized in earnings are as follows (in thousands):</w:t>
      </w:r>
    </w:p>
    <w:p>
      <w:pPr>
        <w:sectPr>
          <w:pgSz w:w="11900" w:h="16838" w:orient="portrait"/>
          <w:cols w:equalWidth="0" w:num="1">
            <w:col w:w="11220"/>
          </w:cols>
          <w:pgMar w:left="320" w:top="121" w:right="359" w:bottom="1440" w:gutter="0" w:footer="0" w:header="0"/>
        </w:sect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w w:val="98"/>
              </w:rPr>
              <w:t>Derivatives not designated as hedging</w:t>
            </w:r>
          </w:p>
        </w:tc>
        <w:tc>
          <w:tcPr>
            <w:tcW w:w="3460" w:type="dxa"/>
            <w:vAlign w:val="bottom"/>
            <w:vMerge w:val="restart"/>
          </w:tcPr>
          <w:p>
            <w:pPr>
              <w:ind w:left="1100"/>
              <w:spacing w:after="0"/>
              <w:rPr>
                <w:sz w:val="20"/>
                <w:szCs w:val="20"/>
                <w:color w:val="auto"/>
              </w:rPr>
            </w:pPr>
            <w:r>
              <w:rPr>
                <w:rFonts w:ascii="Arial" w:cs="Arial" w:eastAsia="Arial" w:hAnsi="Arial"/>
                <w:sz w:val="16"/>
                <w:szCs w:val="16"/>
                <w:b w:val="1"/>
                <w:bCs w:val="1"/>
                <w:color w:val="auto"/>
              </w:rPr>
              <w:t>Location of gain (loss)</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instruments</w:t>
            </w:r>
          </w:p>
        </w:tc>
        <w:tc>
          <w:tcPr>
            <w:tcW w:w="3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Interest rate swaps</w:t>
            </w:r>
          </w:p>
        </w:tc>
        <w:tc>
          <w:tcPr>
            <w:tcW w:w="3460" w:type="dxa"/>
            <w:vAlign w:val="bottom"/>
          </w:tcPr>
          <w:p>
            <w:pPr>
              <w:ind w:left="280"/>
              <w:spacing w:after="0" w:line="162" w:lineRule="exact"/>
              <w:rPr>
                <w:sz w:val="20"/>
                <w:szCs w:val="20"/>
                <w:color w:val="auto"/>
              </w:rPr>
            </w:pPr>
            <w:r>
              <w:rPr>
                <w:rFonts w:ascii="Arial" w:cs="Arial" w:eastAsia="Arial" w:hAnsi="Arial"/>
                <w:sz w:val="16"/>
                <w:szCs w:val="16"/>
                <w:color w:val="auto"/>
              </w:rPr>
              <w:t>Mark to market gain (loss) on interest rate</w:t>
            </w:r>
          </w:p>
        </w:tc>
        <w:tc>
          <w:tcPr>
            <w:tcW w:w="0" w:type="dxa"/>
            <w:vAlign w:val="bottom"/>
          </w:tcPr>
          <w:p>
            <w:pPr>
              <w:spacing w:after="0"/>
              <w:rPr>
                <w:sz w:val="1"/>
                <w:szCs w:val="1"/>
                <w:color w:val="auto"/>
              </w:rPr>
            </w:pPr>
          </w:p>
        </w:tc>
      </w:tr>
      <w:tr>
        <w:trPr>
          <w:trHeight w:val="125"/>
        </w:trPr>
        <w:tc>
          <w:tcPr>
            <w:tcW w:w="2920" w:type="dxa"/>
            <w:vAlign w:val="bottom"/>
            <w:vMerge w:val="continue"/>
          </w:tcPr>
          <w:p>
            <w:pPr>
              <w:spacing w:after="0"/>
              <w:rPr>
                <w:sz w:val="10"/>
                <w:szCs w:val="10"/>
                <w:color w:val="auto"/>
              </w:rPr>
            </w:pPr>
          </w:p>
        </w:tc>
        <w:tc>
          <w:tcPr>
            <w:tcW w:w="3460" w:type="dxa"/>
            <w:vAlign w:val="bottom"/>
            <w:vMerge w:val="restart"/>
          </w:tcPr>
          <w:p>
            <w:pPr>
              <w:ind w:left="280"/>
              <w:spacing w:after="0"/>
              <w:rPr>
                <w:sz w:val="20"/>
                <w:szCs w:val="20"/>
                <w:color w:val="auto"/>
              </w:rPr>
            </w:pPr>
            <w:r>
              <w:rPr>
                <w:rFonts w:ascii="Arial" w:cs="Arial" w:eastAsia="Arial" w:hAnsi="Arial"/>
                <w:sz w:val="16"/>
                <w:szCs w:val="16"/>
                <w:color w:val="auto"/>
              </w:rPr>
              <w:t>derivatives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4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0628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240" w:type="dxa"/>
            <w:vAlign w:val="bottom"/>
          </w:tcPr>
          <w:p>
            <w:pPr>
              <w:spacing w:after="0"/>
              <w:rPr>
                <w:sz w:val="14"/>
                <w:szCs w:val="14"/>
                <w:color w:val="auto"/>
              </w:rPr>
            </w:pPr>
          </w:p>
        </w:tc>
        <w:tc>
          <w:tcPr>
            <w:tcW w:w="2180" w:type="dxa"/>
            <w:vAlign w:val="bottom"/>
            <w:gridSpan w:val="5"/>
          </w:tcPr>
          <w:p>
            <w:pPr>
              <w:ind w:left="180"/>
              <w:spacing w:after="0" w:line="163" w:lineRule="exact"/>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4"/>
                <w:szCs w:val="14"/>
                <w:color w:val="auto"/>
              </w:rPr>
            </w:pPr>
          </w:p>
        </w:tc>
        <w:tc>
          <w:tcPr>
            <w:tcW w:w="2060" w:type="dxa"/>
            <w:vAlign w:val="bottom"/>
            <w:gridSpan w:val="4"/>
          </w:tcPr>
          <w:p>
            <w:pPr>
              <w:jc w:val="right"/>
              <w:ind w:right="439"/>
              <w:spacing w:after="0" w:line="163"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358"/>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r>
      <w:tr>
        <w:trPr>
          <w:trHeight w:val="288"/>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399"/>
              <w:spacing w:after="0"/>
              <w:rPr>
                <w:sz w:val="20"/>
                <w:szCs w:val="20"/>
                <w:color w:val="auto"/>
              </w:rPr>
            </w:pPr>
            <w:r>
              <w:rPr>
                <w:rFonts w:ascii="Arial" w:cs="Arial" w:eastAsia="Arial" w:hAnsi="Arial"/>
                <w:sz w:val="16"/>
                <w:szCs w:val="16"/>
                <w:color w:val="auto"/>
                <w:w w:val="89"/>
              </w:rPr>
              <w:t>544</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(2,415)</w:t>
            </w:r>
          </w:p>
        </w:tc>
      </w:tr>
      <w:tr>
        <w:trPr>
          <w:trHeight w:val="300"/>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96"/>
              </w:rPr>
              <w:t>(226)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10"/>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89"/>
              </w:rPr>
              <w:t>318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r>
      <w:tr>
        <w:trPr>
          <w:trHeight w:val="23"/>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80" w:space="100"/>
            <w:col w:w="4740"/>
          </w:cols>
          <w:pgMar w:left="320" w:top="121" w:right="3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six months ended June 30,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exercise price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Expirations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June 30, 2021</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1,111,875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Options exercisable, June 30,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928,415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8"/>
              </w:rPr>
              <w:t>4.7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June 30, 2021. The intrinsic value is calculated for each in-the-money stock option as the difference between the closing price of the Company’s common stock on June 30, 2021 and the exercise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six months ended June 30,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June 30, 2021</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463,240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six months ended June 30, 2021 was $8.4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six months ended June 30, 2021 is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Vested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Cancellations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9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Represents the target number of shares to be issued for each performance-based award.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04"/>
        </w:trPr>
        <w:tc>
          <w:tcPr>
            <w:tcW w:w="1440" w:type="dxa"/>
            <w:vAlign w:val="bottom"/>
          </w:tcPr>
          <w:p>
            <w:pPr>
              <w:jc w:val="right"/>
              <w:spacing w:after="0"/>
              <w:rPr>
                <w:sz w:val="20"/>
                <w:szCs w:val="20"/>
                <w:color w:val="auto"/>
              </w:rPr>
            </w:pPr>
            <w:r>
              <w:rPr>
                <w:rFonts w:ascii="Arial" w:cs="Arial" w:eastAsia="Arial" w:hAnsi="Arial"/>
                <w:sz w:val="16"/>
                <w:szCs w:val="16"/>
                <w:color w:val="auto"/>
              </w:rPr>
              <w:t>431,046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6"/>
        </w:trPr>
        <w:tc>
          <w:tcPr>
            <w:tcW w:w="1440" w:type="dxa"/>
            <w:vAlign w:val="bottom"/>
          </w:tcPr>
          <w:p>
            <w:pPr>
              <w:jc w:val="right"/>
              <w:spacing w:after="0"/>
              <w:rPr>
                <w:sz w:val="20"/>
                <w:szCs w:val="20"/>
                <w:color w:val="auto"/>
              </w:rPr>
            </w:pPr>
            <w:r>
              <w:rPr>
                <w:rFonts w:ascii="Arial" w:cs="Arial" w:eastAsia="Arial" w:hAnsi="Arial"/>
                <w:sz w:val="16"/>
                <w:szCs w:val="16"/>
                <w:color w:val="auto"/>
              </w:rPr>
              <w:t>176,915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6"/>
        </w:trPr>
        <w:tc>
          <w:tcPr>
            <w:tcW w:w="1440" w:type="dxa"/>
            <w:vAlign w:val="bottom"/>
          </w:tcPr>
          <w:p>
            <w:pPr>
              <w:jc w:val="right"/>
              <w:spacing w:after="0"/>
              <w:rPr>
                <w:sz w:val="20"/>
                <w:szCs w:val="20"/>
                <w:color w:val="auto"/>
              </w:rPr>
            </w:pPr>
            <w:r>
              <w:rPr>
                <w:rFonts w:ascii="Arial" w:cs="Arial" w:eastAsia="Arial" w:hAnsi="Arial"/>
                <w:sz w:val="16"/>
                <w:szCs w:val="16"/>
                <w:color w:val="auto"/>
              </w:rPr>
              <w:t>(150,273)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19"/>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2"/>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436,480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0" w:hanging="979"/>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3,207</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6"/>
          <w:szCs w:val="16"/>
          <w:color w:val="auto"/>
        </w:rPr>
        <w:t>2.2</w:t>
      </w:r>
    </w:p>
    <w:p>
      <w:pPr>
        <w:spacing w:after="0" w:line="594" w:lineRule="exact"/>
        <w:rPr>
          <w:sz w:val="20"/>
          <w:szCs w:val="20"/>
          <w:color w:val="auto"/>
        </w:rPr>
      </w:pPr>
    </w:p>
    <w:p>
      <w:pPr>
        <w:sectPr>
          <w:pgSz w:w="11900" w:h="16838" w:orient="portrait"/>
          <w:cols w:equalWidth="0" w:num="2">
            <w:col w:w="7520" w:space="720"/>
            <w:col w:w="2980"/>
          </w:cols>
          <w:pgMar w:left="320" w:top="121" w:right="359" w:bottom="1440" w:gutter="0" w:footer="0" w:header="0"/>
          <w:type w:val="continuous"/>
        </w:sectPr>
      </w:pPr>
    </w:p>
    <w:p>
      <w:pPr>
        <w:spacing w:after="0"/>
        <w:rPr>
          <w:sz w:val="20"/>
          <w:szCs w:val="20"/>
          <w:color w:val="auto"/>
        </w:rPr>
      </w:pPr>
      <w:r>
        <w:rPr>
          <w:rFonts w:ascii="Arial" w:cs="Arial" w:eastAsia="Arial" w:hAnsi="Arial"/>
          <w:sz w:val="18"/>
          <w:szCs w:val="18"/>
          <w:color w:val="auto"/>
        </w:rPr>
        <w:t>The total fair value of performance-based awards that vested during the six months ended June 30, 2021 was $2.1 million.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June 30, 2021, there were 357,483 shares available for awards that could be granted under the Plan, assuming maximum performance of performance-based awards.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2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2"/>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5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based stock option expense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13"/>
        </w:trPr>
        <w:tc>
          <w:tcPr>
            <w:tcW w:w="5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and performance-based stock awards expense</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w:t>
            </w:r>
          </w:p>
        </w:tc>
      </w:tr>
      <w:tr>
        <w:trPr>
          <w:trHeight w:val="213"/>
        </w:trPr>
        <w:tc>
          <w:tcPr>
            <w:tcW w:w="5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Liability based stock option expense</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1,420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(LOSS) PER COMMON SHARE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income (loss) per common share has been computed by dividing net income (loss) by the weighted-average number of shares of the Company’s common stock outstanding during the relevant period. Diluted income (loss) per common share adjusts net income (loss) and basic income (loss) per common share for the effect of all potentially dilutive shares of the Company’s common stock. Anti-dilutive securities are not included in the computation of diluted earnings per share under the treasury stock method.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calculations of basic and diluted income (loss) per common share for the three and six months ended June 30, 2021 and 2020 are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60" w:type="dxa"/>
            <w:vAlign w:val="bottom"/>
            <w:gridSpan w:val="7"/>
          </w:tcPr>
          <w:p>
            <w:pPr>
              <w:ind w:left="20"/>
              <w:spacing w:after="0"/>
              <w:rPr>
                <w:sz w:val="20"/>
                <w:szCs w:val="20"/>
                <w:color w:val="auto"/>
              </w:rPr>
            </w:pPr>
            <w:r>
              <w:rPr>
                <w:rFonts w:ascii="Arial" w:cs="Arial" w:eastAsia="Arial" w:hAnsi="Arial"/>
                <w:sz w:val="18"/>
                <w:szCs w:val="18"/>
                <w:color w:val="auto"/>
                <w:w w:val="87"/>
              </w:rPr>
              <w:t>(in thousands, except per share amounts)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 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(32,141)</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20,784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80"/>
              <w:spacing w:after="0"/>
              <w:rPr>
                <w:sz w:val="20"/>
                <w:szCs w:val="20"/>
                <w:color w:val="auto"/>
              </w:rPr>
            </w:pPr>
            <w:r>
              <w:rPr>
                <w:rFonts w:ascii="Arial" w:cs="Arial" w:eastAsia="Arial" w:hAnsi="Arial"/>
                <w:sz w:val="18"/>
                <w:szCs w:val="18"/>
                <w:color w:val="auto"/>
              </w:rPr>
              <w:t>Stock options and other stock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income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r>
              <w:rPr>
                <w:rFonts w:ascii="Arial" w:cs="Arial" w:eastAsia="Arial" w:hAnsi="Arial"/>
                <w:sz w:val="23"/>
                <w:szCs w:val="23"/>
                <w:b w:val="1"/>
                <w:bCs w:val="1"/>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6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Stock options and other stock awards that have been excluded from the denominator as their inclusion would have been anti-dilutive.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Income tax provision of $1.8 million and $4.2 million for the three and six months ended June 30, 2021, respectively, represent taxes on both U.S. and foreign earnings at combined effective income tax provision rates of 25.3% and 32.8%, respectively. The effective tax rate for the three and six months ended June 30, 2021 differs from the federal statutory income tax rate of 21.0% primarily due to state and local tax expense, and foreign losses for which no tax benefit is recognized as such amounts are fully offset with a valuation allowance, net of a benefit related to share based equity compensation.</w:t>
      </w:r>
    </w:p>
    <w:p>
      <w:pPr>
        <w:spacing w:after="0" w:line="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three and six months ended June 30, 2020, the Company had used a discrete effective tax rate method to calculate taxes. Income tax provision of $3.0 million and benefit of $0.7 million for the three and six ended June 30, 2020, respectively, represent taxes on both U.S. and foreign earnings at combined effective income tax provision rate of 3,092.9% and benefit rate of 2.2%, respectively. The effective tax rate for the three and six months ended June 30, 2020 differs from the federal statutory income tax rate of 21.0% primarily due to non-deductible goodwill impairment and other significant permanent items recorded year-to-date.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Georgia, Illinois, Massachusetts, New Jersey, New York and the United Kingdom. The Company's New York State tax returns for years 2015-2016 remain under audit with no material assessments as of June 30, 2021.</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evaluates its tax positions on a quarterly basis and revises its estimates accordingly. There were no material changes to the Company’s uncertain tax positions, interest, or penalties during the three-month periods ended June 30, 2021 and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2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166,583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132,591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342,764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261,799</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33,411</w:t>
            </w: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150,140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382,289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295,210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18,274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35,381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89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U.S.</w:t>
            </w:r>
          </w:p>
        </w:tc>
        <w:tc>
          <w:tcPr>
            <w:tcW w:w="4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621,277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661,321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w:t>
            </w:r>
          </w:p>
        </w:tc>
        <w:tc>
          <w:tcPr>
            <w:tcW w:w="4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- 24 -</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35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The tolling agreements do not constitute in any way an admission or acknowledgment of any fact, conclusion of law or liability by the parties to the agreements.</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these three was approved on October 15, 2020; the other two remain pending. If the CBP approves these additional claims and accepts the evidence presented as it did with the Lead Protest, then no additional duties will be owed for the remaining protested shipments.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$2.5 million. In such event, it is reasonably possible that additional penalties could be assessed, depending upon the level of culpability found, of up to $4.9 million for negligence and up to $9.8 million for gross negligence. In the event penalties are assessed, the Company will have the opportunity to further contest CBP’s findings and seek cancellation or mitigation of such assessments.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six months ended June 30,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21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3/9/2021</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5/3/2021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5/17/2021</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6/24/2021</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8/2/2021</w:t>
            </w:r>
          </w:p>
        </w:tc>
        <w:tc>
          <w:tcPr>
            <w:tcW w:w="10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6"/>
                <w:szCs w:val="16"/>
                <w:color w:val="auto"/>
              </w:rPr>
              <w:t>8/16/2021</w:t>
            </w:r>
          </w:p>
        </w:tc>
      </w:tr>
    </w:tbl>
    <w:p>
      <w:pPr>
        <w:spacing w:after="0" w:line="3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six months ended June 30, 2021, the Company paid dividends of $2.0 million. This included payments made on February 12, 2021 and May 17, 2021 of $0.9 million and $0.9 million to shareholders of record on January 29, 2021 and May 3, 2021, respectively, and payments of $0.2 million for dividends payable upon the vesting of restricted shares and performance shares.</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three months ended June 30, 2021, the Company reduced retained earnings for the accrual of $0.9 million relating to the dividend payable on August 16, 2021. For the six months ended June 30, 2021, the Company reduced retained earnings for the accrual of $1.9 million relating to the dividend payable on May 17, 2021 and August 16, 2021.</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3, 2021, the Board of Directors declared a quarterly dividend of $0.0425 per share payable on November 15, 2021 to shareholders of record on November 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9"/>
        </w:trPr>
        <w:tc>
          <w:tcPr>
            <w:tcW w:w="8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6,896</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8,070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10,793</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gain (loss) adjustment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2,181</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226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(34,017)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(38,477)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(35,846)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(34,019)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Translation income (loss) during period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(40,991)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(40,991)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losses on cash flow hedges: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losses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 flow hedges, net of taxes of $73, $69, $54, $(929)</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23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actuarial loss, net of taxes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6"/>
        </w:trPr>
        <w:tc>
          <w:tcPr>
            <w:tcW w:w="57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(44,164)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equity in earnings (losses) on the unaudited condensed statements of operations.</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reclassified are recorded in interest expense and cost of sales on the unaudited condensed consolidated statement of operations.</w:t>
      </w:r>
    </w:p>
    <w:p>
      <w:pPr>
        <w:spacing w:after="0" w:line="57" w:lineRule="exact"/>
        <w:rPr>
          <w:rFonts w:ascii="Arial" w:cs="Arial" w:eastAsia="Arial" w:hAnsi="Arial"/>
          <w:sz w:val="19"/>
          <w:szCs w:val="19"/>
          <w:color w:val="auto"/>
          <w:vertAlign w:val="superscript"/>
        </w:rPr>
      </w:pPr>
    </w:p>
    <w:p>
      <w:pPr>
        <w:ind w:left="320" w:hanging="312"/>
        <w:spacing w:after="0" w:line="233" w:lineRule="auto"/>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19"/>
          <w:szCs w:val="19"/>
          <w:color w:val="auto"/>
          <w:vertAlign w:val="superscript"/>
        </w:rPr>
      </w:pPr>
    </w:p>
    <w:p>
      <w:pPr>
        <w:spacing w:after="0" w:line="379" w:lineRule="exact"/>
        <w:rPr>
          <w:rFonts w:ascii="Arial" w:cs="Arial" w:eastAsia="Arial" w:hAnsi="Arial"/>
          <w:sz w:val="19"/>
          <w:szCs w:val="19"/>
          <w:color w:val="auto"/>
          <w:vertAlign w:val="superscript"/>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Annual Report on Form 10-K for the fiscal year ended December 31, 2020 (the “2020 Annual Report on Form 10-K”) in Part I, Item 1A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Such risks, uncertainties and other important factors include, among others, risks related to:</w:t>
      </w:r>
    </w:p>
    <w:p>
      <w:pPr>
        <w:spacing w:after="0" w:line="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 disruptions and higher transportation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credit-worthiness of our customers and the counterparties to our derivatives;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trade, including trade negotiations;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health pandemics and related effects, such as the COVID-19 pandemic;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Social unrest, including related protests or disturbances.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Arial" w:cs="Arial" w:eastAsia="Arial" w:hAnsi="Arial"/>
          <w:sz w:val="17"/>
          <w:szCs w:val="17"/>
          <w:i w:val="1"/>
          <w:iCs w:val="1"/>
          <w:u w:val="single" w:color="auto"/>
          <w:color w:val="auto"/>
        </w:rPr>
        <w:t>http://www.lifetimebrands.com</w:t>
      </w:r>
      <w:r>
        <w:rPr>
          <w:rFonts w:ascii="Arial" w:cs="Arial" w:eastAsia="Arial" w:hAnsi="Arial"/>
          <w:sz w:val="17"/>
          <w:szCs w:val="17"/>
          <w:color w:val="auto"/>
        </w:rPr>
        <w:t xml:space="preserve">. Information contained on this website is not a part of or incorporated by reference into this Annual Report.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p>
    <w:p>
      <w:pPr>
        <w:spacing w:after="0" w:line="6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2020, Kitchenware products and Tableware products accounted for approximately 83% of the Company’s U.S. segment’s net sales and 85% of the Company’s consolidated net sales.</w:t>
      </w:r>
    </w:p>
    <w:p>
      <w:pPr>
        <w:spacing w:after="0" w:line="70"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2"/>
          <w:szCs w:val="22"/>
          <w:color w:val="auto"/>
          <w:vertAlign w:val="superscript"/>
        </w:rPr>
        <w:t>®</w:t>
      </w:r>
      <w:r>
        <w:rPr>
          <w:rFonts w:ascii="Arial" w:cs="Arial" w:eastAsia="Arial" w:hAnsi="Arial"/>
          <w:sz w:val="17"/>
          <w:szCs w:val="17"/>
          <w:color w:val="auto"/>
        </w:rPr>
        <w:t>, Mikasa</w:t>
      </w:r>
      <w:r>
        <w:rPr>
          <w:rFonts w:ascii="Arial" w:cs="Arial" w:eastAsia="Arial" w:hAnsi="Arial"/>
          <w:sz w:val="22"/>
          <w:szCs w:val="22"/>
          <w:color w:val="auto"/>
          <w:vertAlign w:val="superscript"/>
        </w:rPr>
        <w:t>®</w:t>
      </w:r>
      <w:r>
        <w:rPr>
          <w:rFonts w:ascii="Arial" w:cs="Arial" w:eastAsia="Arial" w:hAnsi="Arial"/>
          <w:sz w:val="17"/>
          <w:szCs w:val="17"/>
          <w:color w:val="auto"/>
        </w:rPr>
        <w:t>, Taylor</w:t>
      </w:r>
      <w:r>
        <w:rPr>
          <w:rFonts w:ascii="Arial" w:cs="Arial" w:eastAsia="Arial" w:hAnsi="Arial"/>
          <w:sz w:val="22"/>
          <w:szCs w:val="22"/>
          <w:color w:val="auto"/>
          <w:vertAlign w:val="superscript"/>
        </w:rPr>
        <w:t>®</w:t>
      </w:r>
      <w:r>
        <w:rPr>
          <w:rFonts w:ascii="Arial" w:cs="Arial" w:eastAsia="Arial" w:hAnsi="Arial"/>
          <w:sz w:val="17"/>
          <w:szCs w:val="17"/>
          <w:color w:val="auto"/>
        </w:rPr>
        <w:t>, KitchenAid</w:t>
      </w:r>
      <w:r>
        <w:rPr>
          <w:rFonts w:ascii="Arial" w:cs="Arial" w:eastAsia="Arial" w:hAnsi="Arial"/>
          <w:sz w:val="22"/>
          <w:szCs w:val="22"/>
          <w:color w:val="auto"/>
          <w:vertAlign w:val="superscript"/>
        </w:rPr>
        <w:t>®</w:t>
      </w:r>
      <w:r>
        <w:rPr>
          <w:rFonts w:ascii="Arial" w:cs="Arial" w:eastAsia="Arial" w:hAnsi="Arial"/>
          <w:sz w:val="17"/>
          <w:szCs w:val="17"/>
          <w:color w:val="auto"/>
        </w:rPr>
        <w:t>, KitchenCraft</w:t>
      </w:r>
      <w:r>
        <w:rPr>
          <w:rFonts w:ascii="Arial" w:cs="Arial" w:eastAsia="Arial" w:hAnsi="Arial"/>
          <w:sz w:val="22"/>
          <w:szCs w:val="22"/>
          <w:color w:val="auto"/>
          <w:vertAlign w:val="superscript"/>
        </w:rPr>
        <w:t>®</w:t>
      </w:r>
      <w:r>
        <w:rPr>
          <w:rFonts w:ascii="Arial" w:cs="Arial" w:eastAsia="Arial" w:hAnsi="Arial"/>
          <w:sz w:val="17"/>
          <w:szCs w:val="17"/>
          <w:color w:val="auto"/>
        </w:rPr>
        <w:t>, Pfaltzgraff</w:t>
      </w:r>
      <w:r>
        <w:rPr>
          <w:rFonts w:ascii="Arial" w:cs="Arial" w:eastAsia="Arial" w:hAnsi="Arial"/>
          <w:sz w:val="22"/>
          <w:szCs w:val="22"/>
          <w:color w:val="auto"/>
          <w:vertAlign w:val="superscript"/>
        </w:rPr>
        <w:t>®</w:t>
      </w:r>
      <w:r>
        <w:rPr>
          <w:rFonts w:ascii="Arial" w:cs="Arial" w:eastAsia="Arial" w:hAnsi="Arial"/>
          <w:sz w:val="17"/>
          <w:szCs w:val="17"/>
          <w:color w:val="auto"/>
        </w:rPr>
        <w:t>, Built NY</w:t>
      </w:r>
      <w:r>
        <w:rPr>
          <w:rFonts w:ascii="Arial" w:cs="Arial" w:eastAsia="Arial" w:hAnsi="Arial"/>
          <w:sz w:val="22"/>
          <w:szCs w:val="22"/>
          <w:color w:val="auto"/>
          <w:vertAlign w:val="superscript"/>
        </w:rPr>
        <w:t>®</w:t>
      </w:r>
      <w:r>
        <w:rPr>
          <w:rFonts w:ascii="Arial" w:cs="Arial" w:eastAsia="Arial" w:hAnsi="Arial"/>
          <w:sz w:val="17"/>
          <w:szCs w:val="17"/>
          <w:color w:val="auto"/>
        </w:rPr>
        <w:t>, Rabbit</w:t>
      </w:r>
      <w:r>
        <w:rPr>
          <w:rFonts w:ascii="Arial" w:cs="Arial" w:eastAsia="Arial" w:hAnsi="Arial"/>
          <w:sz w:val="22"/>
          <w:szCs w:val="22"/>
          <w:color w:val="auto"/>
          <w:vertAlign w:val="superscript"/>
        </w:rPr>
        <w:t>®</w:t>
      </w:r>
      <w:r>
        <w:rPr>
          <w:rFonts w:ascii="Arial" w:cs="Arial" w:eastAsia="Arial" w:hAnsi="Arial"/>
          <w:sz w:val="17"/>
          <w:szCs w:val="17"/>
          <w:color w:val="auto"/>
        </w:rPr>
        <w:t>, Kamenstein</w:t>
      </w:r>
      <w:r>
        <w:rPr>
          <w:rFonts w:ascii="Arial" w:cs="Arial" w:eastAsia="Arial" w:hAnsi="Arial"/>
          <w:sz w:val="22"/>
          <w:szCs w:val="22"/>
          <w:color w:val="auto"/>
          <w:vertAlign w:val="superscript"/>
        </w:rPr>
        <w:t>®</w:t>
      </w:r>
      <w:r>
        <w:rPr>
          <w:rFonts w:ascii="Arial" w:cs="Arial" w:eastAsia="Arial" w:hAnsi="Arial"/>
          <w:sz w:val="17"/>
          <w:szCs w:val="17"/>
          <w:color w:val="auto"/>
        </w:rPr>
        <w:t>, and MasterClass®. Historically, the Company’s sales growth has come from expanding product offerings within its product categories, by developing existing brands, acquiring new brands (including complementary brands in markets outside the U.S.),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June 30, 2021, the Company owns approximately 27%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2021 and 2020 in the accompanying unaudited condensed consolidated statements of operations. Pursuant to a Shares Subscription Agreement, the Company may designate four persons to be nominated as members of Vasconia’s Board of Directors. As of June 30, 2021, Vasconia’s Board of Directors is comprised of eleven members of whom the Company has designated two members.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30, 2021, Vasconia sold shares, which diluted the Company’s investment ownership from approximately 30% to approximately 27%. The dilution in ownership did not change the Company's accounting for its investment in Vasconia and the Company continues to apply the equity method of accounting.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(losses), net of taxes, in the accompanying unaudited condensed consolidated statements of operations for the three and six months ended June 30, 2021.</w:t>
      </w:r>
    </w:p>
    <w:p>
      <w:pPr>
        <w:spacing w:after="0" w:line="84"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On July 29, 2021, the Company sold 2.2 million shares further reducing its ownership of approximately 27% in Vasconia for net cash proceeds of approximately $3.0 million. The Company estimates the gain on the sale, without consideration for income taxes, is $1.0 million. The Company also estimates a non-cash loss of $1.4 million for amounts previously recognized in accumulated other comprehensive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explore opportunities to sell additional shares of its investment in Vasconia.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2020 and 2019, net sales for the third and fourth quarters accounted for 62% and 60% of total annual net sales, respectively. In anticipation of the pre-holiday shipping season, inventory levels increase primarily in the June through October time period.</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Consistent with the seasonality of the Company’s net sales and inventory levels, the Company also experiences seasonality in its inventory turnover and turnover days from one quarter to the next.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COVID-19 pandemic has caused, and may continue to cause, shifts in some of the Company's selling and purchasing cycles as customers deviate from their historical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2021, the Company did not incur any restructuring expenses.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and six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to achieve product development efficiencies and a country tailored international sales approach.</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COVID-19 pandemic, as well as other factors including, increased demand and shifts in consumer shopping patterns, have caused disruption in the global supply chain. The increased demand for containers, limited container capacity, and backlog at U.S. ports have resulted in increased market costs of inbound freight, container shortages, and longer lead times. The disruption in the global supply chain has also caused increased input costs used to manufacture the Company's product. The Company has been impacted by these disruptions and has experienced higher inbound freight cost, delays in importing inventory due to limited availability of containers, and an increase in product costs. The increasing costs trend is expected to impact the Company into the third and fourth quarter of fiscal year 2021. In the U.S., there have been instances of limited trucking availability. The Company has experienced instances of trucking shortages, which has resulted in delays of shipments to certain of its customers.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There have been no material changes to the Company’s critical accounting policies and estimates discussed in the 2020 Annual Report on Form 10-K in Item 7 under the heading </w:t>
      </w:r>
      <w:r>
        <w:rPr>
          <w:rFonts w:ascii="Arial" w:cs="Arial" w:eastAsia="Arial" w:hAnsi="Arial"/>
          <w:sz w:val="18"/>
          <w:szCs w:val="18"/>
          <w:i w:val="1"/>
          <w:iCs w:val="1"/>
          <w:color w:val="auto"/>
        </w:rPr>
        <w:t>Management’s Discussion and Analysis of Financial Condition and Results of Operations – 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6"/>
                <w:szCs w:val="16"/>
                <w:color w:val="auto"/>
              </w:rPr>
            </w:pP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528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63.9</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63.7</w:t>
            </w:r>
          </w:p>
        </w:tc>
      </w:tr>
      <w:tr>
        <w:trPr>
          <w:trHeight w:val="212"/>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Distribution expenses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10.8</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88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90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other impairments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(7.1)</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Mark to market gain (loss) on interest rate derivatives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Arial" w:cs="Arial" w:eastAsia="Arial" w:hAnsi="Arial"/>
                <w:sz w:val="16"/>
                <w:szCs w:val="16"/>
                <w:color w:val="auto"/>
              </w:rPr>
              <w:t>(0.1)</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(0.8)</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 and equity in earnings (losses)</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Arial" w:cs="Arial" w:eastAsia="Arial" w:hAnsi="Arial"/>
                <w:sz w:val="16"/>
                <w:szCs w:val="16"/>
                <w:color w:val="auto"/>
              </w:rPr>
              <w:t>(2.0)</w:t>
            </w:r>
          </w:p>
        </w:tc>
        <w:tc>
          <w:tcPr>
            <w:tcW w:w="1500" w:type="dxa"/>
            <w:vAlign w:val="bottom"/>
            <w:gridSpan w:val="2"/>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net of taxes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ind w:left="540"/>
              <w:spacing w:after="0"/>
              <w:rPr>
                <w:sz w:val="20"/>
                <w:szCs w:val="20"/>
                <w:color w:val="auto"/>
              </w:rPr>
            </w:pPr>
            <w:r>
              <w:rPr>
                <w:rFonts w:ascii="Arial" w:cs="Arial" w:eastAsia="Arial" w:hAnsi="Arial"/>
                <w:sz w:val="16"/>
                <w:szCs w:val="16"/>
                <w:color w:val="auto"/>
                <w:w w:val="97"/>
              </w:rPr>
              <w:t>(2.6)%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3"/>
        </w:trPr>
        <w:tc>
          <w:tcPr>
            <w:tcW w:w="528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60" w:right="190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JUNE 30, 2021 COMPARED TO THE THREE MONTHS ENDED JUNE 30, 2020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Consolidated net sales for the three months ended June 30, 2021 were $186.6 million, representing an increase of $36.5 million, or 24.3%, as compared to net sales of $150.1 million for the corresponding period in 2020. In constant currency, a non-GAAP financial measure, which excludes the impact of foreign exchange fluctuations and was determined by applying 2021 average rates to 2020 local currency amounts, consolidated net sales increased by $34.3 million, or 22.5%, as compared to consolidated net sales in the corresponding period in 2020.</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sales for the U.S. segment for the three months ended June 30, 2021 were $166.6 million, an increase of $34.0 million, or 25.6%, as compared to net sales of $132.6 million for the corresponding period in 2020.</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for the U.S. segment’s Kitchenware product category were $103.6 million for the three months ended June 30, 2021, an increase of $19.2 million, or 22.7%, as compared to $84.4 million for the corresponding period in 2020. The increase was mainly driven by higher consumer demand, primarily in wholesale channels, for essential kitchen tools and gadgets and cutlery and board products. The strong demand for these products has been a result of shifts in consumer purchasing patterns as consumers continue to spend more time at home.</w:t>
      </w:r>
    </w:p>
    <w:p>
      <w:pPr>
        <w:spacing w:after="0" w:line="7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Net sales for the U.S. segment’s Tableware product category were $37.3 million for the three months ended June 30, 2021, an increase of $13.7 million, or 58.0%, as compared to $23.6 million for the corresponding period in 2020. The increase came from all product lines most notably on sales from a new flatware warehouse club program, continued recovery of sales to brick-and-mortar customers and higher dinnerware e-commerce sales.</w:t>
      </w:r>
    </w:p>
    <w:p>
      <w:pPr>
        <w:spacing w:after="0" w:line="4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Net sales for the U.S. segment’s Home Solutions product category were $25.7 million for the three months ended June 30, 2021, an increase of $1.1 million, or 4.5%, as compared to $24.6 million for the corresponding period in 2020. The increase was primarily driven by home décor and measurement product sales, partially offset by lower sales in the hydration product category due to a warehouse club program not repeating in 2021.</w:t>
      </w:r>
    </w:p>
    <w:p>
      <w:pPr>
        <w:spacing w:after="0" w:line="41"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Net sales for the International segment were $20.1 million for the three months ended June 30, 2021, an increase of $2.6 million, or 14.9%, as compared to net sales of $17.5 million for the corresponding period in 2020. In constant currency, which excludes the impact of foreign exchange fluctuations, net sales increased $0.4 million, or 1.9%, as compared to consolidated net sales in the corresponding period in 2020. The increase in sales was primarily attributable to sales in the Company's global trading business in Asia, continued recovery of sales to brick-and-mortar retailers, offset by lower e-commerce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Gross margin for the three months ended June 30, 2021 was $66.2 million, or 35.4%, as compared to $54.2 million, or 36.1%, for the corresponding period in 2020.</w:t>
      </w:r>
    </w:p>
    <w:p>
      <w:pPr>
        <w:spacing w:after="0" w:line="62"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Gross margin for the U.S. segment was $59.6 million, or 35.8%, for the three months ended June 30, 2021, as compared to $49.8 million, or 37.6%, for the corresponding period in 2020. The decrease in gross margin was primarily due to higher inbound freight costs, and product mix.</w:t>
      </w:r>
    </w:p>
    <w:p>
      <w:pPr>
        <w:spacing w:after="0" w:line="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Gross margin for the International segment was $6.5 million, or 32.3%, for the three months ended June 30, 2021, as compared to $4.4 million, or 24.8%, for the corresponding period in 2020. The increase in gross margin was driven by the comparable prior period being negatively impacted by higher inventory reserves, and customer mix.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Distribution expenses for the three months ended June 30, 2021 were $18.9 million, as compared to $15.2 million for the corresponding period in 2020. Distribution expenses as a percentage of net sales were 10.1% for the three months ended June 30, 2021 as compared to 10.1% for the three months ended June 30, 2020.</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Distribution expenses as a percentage of net sales for the U.S. segment were approximately 9.0% and 8.8% for the three months ended June 30, 2021 and 2020, respectively. As a percentage of sales shipped from the Company’s U.S. warehouses distribution expenses were 9.4% and 9.0% for the three months ended June 30, 2021 and 2020, respectively. The increase was a result of higher hourly labor rates and warehouse equipment and supply expenses, partially offset by the leverage benefit of fixed costs on higher sales volume.</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19.9% for the three months ended June 30, 2021 and 2020. Distribution expenses during the three months ended June 30, 2020 include $0.3 million for the Company’s facility relocation costs. As a percentage of sales shipped from the Company’s U.K. warehouses, excluding the moving and relocation costs for U.K. operations, distribution expenses were 17.5% and 15.0% for the three months ended June 30, 2021 and 2020, respectively. The increase was primarily attributed to increased shipping cost for products shipped from the U.K warehouse to continental Europe.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Selling, general and administrative expenses for the three months ended June 30, 2021 were $36.2 million, an increase of $1.8 million, or 5.2%, as compared to $34.4 million for the corresponding period in 2020.</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Selling, general and administrative expenses for the U.S. segment were $26.4 million for the three months ended June 30, 2021, as compared to $25.0 million for the corresponding period in 2020. As a percentage of net sales, selling, general and administrative expenses were 15.8% and 18.9% for the three months ended June 30, 2021 and 2020, respectively. The increase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was primarily attributable to lower expenses in the prior period due to the Company's savings initiative in response to the COVID-19 pandemic. The increase was partially offset by lower allowances for bad debt. The improvement in selling, general and administrative expense as a percentage of net sales is due to the leverage benefit of fixed costs on higher sales volume.</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Selling, general and administrative expenses for the International segment were $4.2 million for the three months ended June 30, 2021, as compared to $4.4 million for the corresponding period in 2020. The decrease was primarily attributable to lower selling expenses related to advertising and marketing.</w:t>
      </w:r>
    </w:p>
    <w:p>
      <w:pPr>
        <w:spacing w:after="0" w:line="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Unallocated corporate expenses for the three months ended June 30, 2021 were $5.7 million, as compared to $5.0 million for the corresponding period in 2020. The increase was driven by higher incentive compensation expense and reversal of temporary COVID-19 pandemic savings, partially offset by lower professional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During the three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to achieve product development efficiencies and a country tailored international sales approach.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expense was $3.8 million for the three months ended June 30, 2021 and $4.2 million for the three months ended June 30, 2020. The decrease in expense was a result of less debt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(loss) on interest rate derivatives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 to market gain on interest rate derivatives was $0.05 million for the three months ended June 30, 2021 as compared to a mark to market loss on interest rate derivatives of $0.2 million for the three months ended June 30, 2020. The mark to market amount represents the change in fair value on the Company's interest rate derivatives that have not been designated as hedging instruments. The current period gain was a result of slightly higher interest rates during the period. The prior period loss was a result of declines in interest rates during that period. These derivatives were entered into for purposes of locking-in a fixed interest rate on a portion of the Company's variable interest rate debt. The intent of the Company is to hold these derivative contracts until their 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Income tax provision of $1.8 million and $3.0 million for the three months ended June 30, 2021 and 2020, respectively, represent taxes on both U.S. and foreign earnings at combined effective income tax provision rates of 25.3% and 3,092.9%, respectively. The effective tax rate for the three months ended June 30, 2021 differs from the federal statutory income tax rate of 21% primarily due to state and local tax expense, and foreign losses for which no tax benefit is recognized as such amounts are fully offset with a valuation allowance, net of a benefit related to share based equity compensation. The effective tax rate for the three months ended June 30, 2020 differs from the federal statutory income tax rate of 21% primarily due to the impact of the non-deductible portion of the goodwill impairment charge (recorded in the three months ended March 31, 2020), the reversal of a discrete benefit recorded in the three months ended March 31, 2020 for a favorable rate arbitrage related to a net operating loss carryback claim available under the CARES Act, which is no longer expected based on a revised estimate, and other permanent items.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Equity in earnings of Vasconia, net of taxes, was $0.7 million for the three months ended June 30, 2021, as compared to equity in losses of Vasconia, net of taxes, of $0.6 million for the three months ended June 30, 2020. Vasconia reported income from operations of $6.5 million for the three months ended June 30, 2021, as compared to income from operations of $1.4 million for the three months ended June 30, 2020. The increase in income from operations was primarily attributable to improved operating results in the current period in both Vasconia's kitchenware and aluminum divisions.</w:t>
      </w:r>
    </w:p>
    <w:p>
      <w:pPr>
        <w:spacing w:after="0" w:line="49"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For the three months ended June 30, 2021, the Company recognized a net loss of $0.3 million related to the dilution of the Company's ownership in its Vasconia investment. The net loss was comprised of a loss of $2.0 million, related to amounts that were previously recognized in accumulated other comprehensive loss, net of a non-cash gain of $1.7 million for the difference between the selling price and the Company's basis in the diluted shares.</w:t>
      </w:r>
    </w:p>
    <w:p>
      <w:pPr>
        <w:spacing w:after="0" w:line="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June 30, 2020, the Company recognized a loss of $0.2 million, relating to cumulative translation foreign currency losses that were recognized to earnings upon the dissolution of Lifetime Brands Do Brasil Participacoes Ltda.,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100% owned foreign subsidiary. The foreign currency translation losses related to the notes receivable due to the company from the 2016 sale of its equity interest in GS International S/A.</w:t>
      </w:r>
    </w:p>
    <w:p>
      <w:pPr>
        <w:spacing w:after="0" w:line="274" w:lineRule="exact"/>
        <w:rPr>
          <w:sz w:val="20"/>
          <w:szCs w:val="20"/>
          <w:color w:val="auto"/>
        </w:rPr>
      </w:pPr>
    </w:p>
    <w:p>
      <w:pPr>
        <w:jc w:val="center"/>
        <w:ind w:left="340" w:right="2260"/>
        <w:spacing w:after="0" w:line="275" w:lineRule="auto"/>
        <w:rPr>
          <w:sz w:val="20"/>
          <w:szCs w:val="20"/>
          <w:color w:val="auto"/>
        </w:rPr>
      </w:pPr>
      <w:r>
        <w:rPr>
          <w:rFonts w:ascii="Arial" w:cs="Arial" w:eastAsia="Arial" w:hAnsi="Arial"/>
          <w:sz w:val="18"/>
          <w:szCs w:val="18"/>
          <w:b w:val="1"/>
          <w:bCs w:val="1"/>
          <w:color w:val="auto"/>
        </w:rPr>
        <w:t>MANAGEMENT’S DISCUSSION AND ANALYSIS SIX MONTHS ENDED JUNE 30, 2021 COMPARED TO THE SIX MONTHS ENDED JUNE 30, 2020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net sales for the six months ended June 30, 2021 were $382.3 million, representing an increase of $87.1 million, or 29.5%, as compared to net sales of $295.2 million for the corresponding period in 2020. In constant currency, a non-GAAP financial measure, which excludes the impact of foreign exchange fluctuations and was determined by applying 2021 average rates to 2020 local currency amounts, consolidated net sales increased by $84.0 million, or 28.1%, as compared to consolidated net sales in the corresponding period in 2020.</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sales for the U.S. segment for the six months ended June 30, 2021 were $342.8 million, an increase of $81.0 million, or 30.9%, as compared to net sales of $261.8 million for the corresponding period in 2020.</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sales for the U.S. segment’s Kitchenware product category were $223.6 million for the six months ended June 30, 2021, an increase of $59.9 million, or 36.6%, as compared to $163.7 million for the corresponding period in 2020. The increase was mainly driven by higher consumer demand, in both e-commerce and wholesale channels, for essential kitchen tools and gadgets, cutlery and board and bakeware products. The strong demand for these products has been a result of shifts in consumer purchasing patterns as consumers continue to spend more time at home.</w:t>
      </w:r>
    </w:p>
    <w:p>
      <w:pPr>
        <w:spacing w:after="0" w:line="6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Net sales for the U.S. segment’s Tableware product category were $67.5 million for the six months ended June 30, 2021, an increase of $20.3 million , or 43.0%, as compared to $47.2 million for the corresponding period in 2020. The increase came from all product lines most notably on sales from a new flatware warehouse club program, continued recovery of sales to brick-and-mortar customers and higher dinnerware e-commerce sales.</w:t>
      </w:r>
    </w:p>
    <w:p>
      <w:pPr>
        <w:spacing w:after="0" w:line="4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Net sales for the U.S. segment’s Home Solutions product category were $51.6 million for the six months ended June 30, 2021, an increase of $0.7 million, or 1.4%, as compared to $50.9 million for the corresponding period in 2020. The increase was primarily driven by home décor and measurement product sales, partially offset by lower sales in the hydration product category due to a warehouse club program not repeating in 2021.</w:t>
      </w:r>
    </w:p>
    <w:p>
      <w:pPr>
        <w:spacing w:after="0" w:line="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for the International segment were $39.5 million for the six months ended June 30, 2021, an increase of $6.1 million, or 18.3%, as compared to net sales of $33.4 million for the corresponding period in 2020. In constant currency, which excludes the impact of foreign exchange fluctuations, net sales increased $3.1 million, or 8.4%, as compared to consolidated net sales in the corresponding period in 2020. The increase in sales was primarily attributable to sales in the Company's global trading business in Asia, and continued recovery of sales to brick-and-mortar retailers, partially offset by lower e-commerce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margin for the six months ended June 30, 2021 was $132.2 million, or 34.6%, as compared to $107.1 million, or 36.3%, for the corresponding period in 2020.</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Gross margin for the U.S. segment was $119.4 million, or 34.8%, for the six months ended June 30, 2021, as compared to $99.1 million, or 37.9%, for the corresponding period in 2020. The decrease in gross margin was primarily due to higher inbound freight costs, product mix and the inclusion in the 2020 period of a benefit from a duty exclusion on certain products.</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Gross margin for the International segment was $12.7 million, or 32.2%, for the six months ended June 30, 2021, as compared to $8.0 million, or 23.9%, for the corresponding period in 2020. The increase was driven by the comparable prior period being negatively impacted by higher sales allowances and inventory reserves, and customer mix.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Distribution expenses for the six months ended June 30, 2021 were $37.6 million, as compared to $31.7 million for the corresponding period in 2020. Distribution expenses as a percentage of net sales were 9.8% for the six months ended June 30, 2021, as compared to 10.8% for the six months ended June 30, 2020.</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Distribution expenses as a percentage of net sales for the U.S. segment were approximately 8.8% and 9.3% for the six months ended June 30, 2021 and 2020, respectively. As a percentage of sales shipped from the Company’s U.S. warehouses distribution expenses were 9.1% and 9.4% for the six months ended June 30, 2021 and 2020, respectively. The improvement was a result of the leverage benefit of fixed costs on higher sales volume, partially offset by higher hourly labor rates and warehouse equipment and supply expenses.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Distribution expenses as a percentage of net sales for the International segment were 18.6% for the six months ended June 30, 2021, compared to 22.2% for the corresponding period in 2020. Distribution expenses during the six months ended June 30, 2020 include $1.1 million for the Company’s facility relocation costs. As a percentage of sales shipped from the Company’s U.K. warehouses, excluding the moving and relocation costs for U.K. operations, distribution expenses were 15.9% and 15.5% for the six months ended June 30, 2021 and 2020, respectively. The increase was primarily attributed to increased shipping cost for products shipped from the U.K warehouse to continental Europe.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2021 were $74.3 million, a decrease of $1.6 million, or 2.1%, as compared to $75.9 million for the corresponding period in 2020.</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for the U.S. segment were $53.8 million for the six months ended June 30, 2021, as compared to $55.4 million for the corresponding period in 2020. As a percentage of net sales, selling, general and administrative expenses were 15.7% and 21.2% for the six months ended June 30, 2021 and 2020, respectively. The decrease was primarily attributable to lower estimates for bad debt expense and selling and facility expenses which was partially offset by an increase in incentive compensation. The improvement in selling, general and administrative expense as a percentage of net sales is due to the leverage benefit of fixed costs on higher sales volume.</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Selling, general and administrative expenses for the International segment were $9.2 million for the six months ended June 30, 2021, as compared to $10.8 million for the corresponding period in 2020. The decrease was primarily attributable to lower estimates for bad debt expense, and lower employee expenses due to a reduction in headcount.</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Unallocated corporate expenses for the six months ended June 30, 2021 were $11.4 million, as compared to $9.7 million for the corresponding period in 2020. The increase was driven by higher incentive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During the six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infinite-lived intangible asset impairment</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six months ended June 30, 2020, the Company recorded a $20.1 million non-cash goodwill and intangible asset impairment charge related to the U.S. reporting unit. The impairment charge resulted from, among other factors, more conservative estimated future cash flows in light of the uncertain market conditions arising from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Interest expense was $7.8 million for the six months ended June 30, 2021 and $9.0 million for the six months ended June 30, 2020. The decrease in expense was a result of less debt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(loss) on interest rate derivatives</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Mark to market gain on interest rate derivatives was $0.5 million for the six months ended June 30, 2021 as compared to a mark to market loss on interest rate derivatives of $2.4 million for the six months ended June 30, 2020.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The prior period loss was a result of declines in interest rates during that period. The intent of the Company is to hold these derivative contracts until their maturity.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Income tax provision for the six months ended June 30, 2021 was $4.2 million as compared to an income tax benefit of $0.7 million for the corresponding period in 2020. The Company's effective income tax provision rate for the six months ended June 30, 2021 was 32.8% as compared to an income tax benefit rate of 2.2% for the corresponding 2020 period. The effective tax rate for the six months ended June 30, 2021 differs from the federal statutory income tax rate of 21% primarily due to state and local tax expense, and foreign losses for which no tax benefit is recognized as such amounts are fully offset with a valuation allowance, net of a benefit related to share based equity compensation. The effective tax rate for the six months ended June 30, 2020 differs from the federal statutory income tax rate of 21% primarily due to the impact of the non-deductible portion of the goodwill impairment charge (recorded in the three months ended March 31, 2020) and other permanent items.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Equity in earnings of Vasconia, net of taxes, was $0.5 million for the six months ended June 30, 2021, as compared to equity in losses of Vasconia, net of taxes, of $0.3 million for the six months ended June 30, 2020. Vasconia reported income from operations of $10.3 million for the six months ended</w:t>
      </w:r>
    </w:p>
    <w:p>
      <w:pPr>
        <w:ind w:right="20"/>
        <w:spacing w:after="0" w:line="290" w:lineRule="auto"/>
        <w:rPr>
          <w:sz w:val="20"/>
          <w:szCs w:val="20"/>
          <w:color w:val="auto"/>
        </w:rPr>
      </w:pPr>
      <w:r>
        <w:rPr>
          <w:rFonts w:ascii="Arial" w:cs="Arial" w:eastAsia="Arial" w:hAnsi="Arial"/>
          <w:sz w:val="17"/>
          <w:szCs w:val="17"/>
          <w:color w:val="auto"/>
        </w:rPr>
        <w:t>June 30, 2021, as compared to income from operations of $0.9 million for the six months ended June 30, 2020. The increase in income from operations was primarily attributable to improved operating results in the current period in both Vasconia's kitchenware and aluminum divisions.</w:t>
      </w:r>
    </w:p>
    <w:p>
      <w:pPr>
        <w:spacing w:after="0" w:line="53"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For the six months ended June 30, 2021, the Company recognized a net loss of $0.3 million related to the dilution of the Company's ownership in its Vasconia investment. The net loss was comprised of a loss of $2.0 million, related to amounts that were previously recognized in accumulated other comprehensive loss, net of a non-cash gain of $1.7 million for the difference between the selling price and the Company's basis in the diluted shares.</w:t>
      </w:r>
    </w:p>
    <w:p>
      <w:pPr>
        <w:spacing w:after="0" w:line="4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the six months ended June 30, 2020, the Company recognized a loss of $0.2 million, relating to cumulative translation foreign currency losses that were recognized to earnings upon the dissolution of Lifetime Brands Do Brasil Participacoes Ltda., a 100% owned foreign subsidiary. The foreign currency translation losses related to the notes receivable due to the company from the 2016 sale of its equity interest in GS International S/A.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At June 30, 2021, the Company had cash and cash equivalents of $33.3 million, compared to $36.0 million at December 31, 2020. Working capital was $225.6 million at June 30, 2021, compared to $241.2 million at December 31, 2020. Liquidity, which includes cash and cash equivalents and availability under the ABL Agreement, was approximately $179.9 million at June 30, 2021.</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2021, inventory turnover was 2.3 times, or 162 days, as compared to 2.3 times, or 157 days, for the three months ended June 30, 2020.</w:t>
      </w:r>
    </w:p>
    <w:p>
      <w:pPr>
        <w:spacing w:after="0" w:line="8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 Some of the Company’s customers may be adversely and materially affected by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our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quarterly required payments in order of maturity. The quarterly principal payments have been satisfied through maturity of the Term Loan by the annual Excess Cash Flow payments.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(27,302)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79"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3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19,120</w:t>
            </w:r>
          </w:p>
        </w:tc>
      </w:tr>
      <w:tr>
        <w:trPr>
          <w:trHeight w:val="243"/>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4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17,657</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243,485</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(4,508)</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238,977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estimated Excess Cash Flow principal payment recorded at June 30, 2021 represents the Company's estimate for the 2022 Excess Cash Flow payment. The 2021 Excess Cash Flow payment, paid on March 30, 2021, totaled $10.5 million. The Excess Cash Flow payment differs from the estimated amount at December 31, 2020 of $19.1 million as certain lenders opted to not require payment per the terms of the debt agreements.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There were no outstanding borrowings under the ABL Agreement at June 30, 2021. In addition, the Company pays a commitment fee of 0.375% on the unused portion of the ABL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 plus a margin of 3.5%. The interest rate on outstanding borrowings under the Term Loan at June 30, 2021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June 30, 2021.</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adjusted EBITDA, for the last four fiscal quarters: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Adjusted EBITDA for the Four</w:t>
            </w:r>
          </w:p>
        </w:tc>
      </w:tr>
      <w:tr>
        <w:trPr>
          <w:trHeight w:val="188"/>
        </w:trPr>
        <w:tc>
          <w:tcPr>
            <w:tcW w:w="9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Quarters Ended June 30, 2021</w:t>
            </w:r>
          </w:p>
        </w:tc>
      </w:tr>
      <w:tr>
        <w:trPr>
          <w:trHeight w:val="181"/>
        </w:trPr>
        <w:tc>
          <w:tcPr>
            <w:tcW w:w="9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right="35"/>
              <w:spacing w:after="0"/>
              <w:rPr>
                <w:sz w:val="20"/>
                <w:szCs w:val="20"/>
                <w:color w:val="auto"/>
              </w:rPr>
            </w:pPr>
            <w:r>
              <w:rPr>
                <w:rFonts w:ascii="Arial" w:cs="Arial" w:eastAsia="Arial" w:hAnsi="Arial"/>
                <w:sz w:val="14"/>
                <w:szCs w:val="14"/>
                <w:color w:val="auto"/>
                <w:w w:val="92"/>
              </w:rPr>
              <w:t>(in thousands)</w:t>
            </w:r>
          </w:p>
        </w:tc>
      </w:tr>
      <w:tr>
        <w:trPr>
          <w:trHeight w:val="23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18,166</w:t>
            </w: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color w:val="auto"/>
              </w:rPr>
              <w:t>Three months ended March 31, 2021</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16,830</w:t>
            </w: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2020</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32,458</w:t>
            </w:r>
          </w:p>
        </w:tc>
      </w:tr>
      <w:tr>
        <w:trPr>
          <w:trHeight w:val="230"/>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months ended September 30, 2020</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29,228</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for the twelve months ended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six months ended June 30, 2021 were $2.5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reconciliation of the net income, as reported, to adjusted EBITDA, for each of the last four quarters and the 12 months ended June 30,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47"/>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Twelve Months Ended</w:t>
            </w:r>
          </w:p>
        </w:tc>
      </w:tr>
      <w:tr>
        <w:trPr>
          <w:trHeight w:val="213"/>
        </w:trPr>
        <w:tc>
          <w:tcPr>
            <w:tcW w:w="4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9"/>
              </w:rPr>
              <w:t>June 30, 2021</w:t>
            </w:r>
          </w:p>
        </w:tc>
      </w:tr>
      <w:tr>
        <w:trPr>
          <w:trHeight w:val="209"/>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37,990</w:t>
            </w: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Undistributed equity losses (earnings), net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(1,913)</w:t>
            </w: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14,812</w:t>
            </w: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16,144</w:t>
            </w: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 to market gain on interest rate derivatives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24,092</w:t>
            </w: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Acquisition related expenses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expenses (benefit)</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96,682</w:t>
            </w: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EBITDA is a non-GAAP financial measure which is defined in the Company’s debt agreements. Adjusted EBITDA is defined as net income, adjusted to exclude undistributed equity in losses (earnings), income tax provision, interest expense, mark to market gain on interest rate derivatives, depreciation and amortization, stock compensation expense, and other items detailed in the table above that are consistent with exclusions permitted by our debt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70"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Pursuant to this agreement, the Company sold to HSBC $38.9 million and $79.5 million of receivables during the three and six months ended June 30, 2021, respectively and $36.0 million and $73.9 million of receivables during the three and six months ended June 30, 2020, respectively. Charges of $0.1 million related to the sale of the receivables are included in selling, general and administrative expenses in the unaudited condensed consolidated statements of operations for each of thethree months ended June 30, 2021 and 2020. Charges of $0.2 million and $0.3 million related to the sale of the receivables are included in selling, general and administrative expenses in the unaudited condensed consolidated statements of operations for the six months ended June 30, 2021 and 2020, respectively. At June 30, 2021 and 2020, $14.6 million and $20.8 million, respectively, of receivables sold were outstanding and due to HSBC from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$75.0 million at June 30, 2021.</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$50.0 million at June 30, 2021.</w:t>
      </w:r>
    </w:p>
    <w:p>
      <w:pPr>
        <w:spacing w:after="0" w:line="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June 30, 2021. These non-designated interest rate swaps serve as cash flow hedges of the Company’s exposure to the variability of the payment of interest on a portion of its Term Loan borrowings and expire in February 2025.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aggregate gross notional values of foreign exchange contracts at June 30, 2021 was $10.8 million. These foreign exchange contracts have been designated as hedges in order to apply hedge accounting.</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2021, the Company does not have any foreign currency forward contract derivatives that are not designated as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cash provided by operating activities was $42.1 million for the six months ended June 30, 2021, as compared to net cash provided by operating activities of $66.2 million for the six months ended June 30, 2020. The decrease from 2021 compared to 2020 was attributable to a higher investment in inventory, and timing of payment for accounts payable and accrued expenses in the current period as the comparable period reflected cost savings initiatives and payment deferral strategies utilized in response to the COVID-19 pandemic. This was partially offset by timing of collections related to the Company's accounts receivables.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$2.7 million and $1.4 million for the six months ended June 30,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$42.2 million for the six months ended June 30, 2021, as compared to net cash used in financing activities of</w:t>
      </w:r>
    </w:p>
    <w:p>
      <w:pPr>
        <w:spacing w:after="0" w:line="4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$12.3 million for the six months ended June 30, 2020. The change was mainly attributable to repayments on the Company's revolving credit facility under its ABL Agreement in the 2021 period compared to proceeds received in the 2020 period.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2020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June 30, 2021,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a description of our legal proceedings, please see NOTE 13 — CONTINGENCIES, to the Company's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auto"/>
                <w:w w:val="90"/>
              </w:rPr>
              <w:t>Total 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shares that may</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620" w:type="dxa"/>
            <w:vAlign w:val="bottom"/>
            <w:gridSpan w:val="2"/>
            <w:vMerge w:val="restart"/>
          </w:tcPr>
          <w:p>
            <w:pPr>
              <w:jc w:val="center"/>
              <w:ind w:left="37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w w:val="86"/>
              </w:rPr>
              <w:t>shares purchased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200"/>
              <w:spacing w:after="0"/>
              <w:rPr>
                <w:sz w:val="20"/>
                <w:szCs w:val="20"/>
                <w:color w:val="auto"/>
              </w:rPr>
            </w:pPr>
            <w:r>
              <w:rPr>
                <w:rFonts w:ascii="Arial" w:cs="Arial" w:eastAsia="Arial" w:hAnsi="Arial"/>
                <w:sz w:val="16"/>
                <w:szCs w:val="16"/>
                <w:b w:val="1"/>
                <w:bCs w:val="1"/>
                <w:color w:val="auto"/>
                <w:w w:val="92"/>
              </w:rPr>
              <w:t>Average price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3"/>
              </w:rPr>
              <w:t>or programs</w:t>
            </w:r>
          </w:p>
        </w:tc>
        <w:tc>
          <w:tcPr>
            <w:tcW w:w="0" w:type="dxa"/>
            <w:vAlign w:val="bottom"/>
          </w:tcPr>
          <w:p>
            <w:pPr>
              <w:spacing w:after="0"/>
              <w:rPr>
                <w:sz w:val="1"/>
                <w:szCs w:val="1"/>
                <w:color w:val="auto"/>
              </w:rPr>
            </w:pPr>
          </w:p>
        </w:tc>
      </w:tr>
      <w:tr>
        <w:trPr>
          <w:trHeight w:val="162"/>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620" w:type="dxa"/>
            <w:vAlign w:val="bottom"/>
            <w:gridSpan w:val="2"/>
          </w:tcPr>
          <w:p>
            <w:pPr>
              <w:jc w:val="center"/>
              <w:ind w:left="379"/>
              <w:spacing w:after="0" w:line="162" w:lineRule="exact"/>
              <w:rPr>
                <w:sz w:val="20"/>
                <w:szCs w:val="20"/>
                <w:color w:val="auto"/>
              </w:rPr>
            </w:pPr>
            <w:r>
              <w:rPr>
                <w:rFonts w:ascii="Arial" w:cs="Arial" w:eastAsia="Arial" w:hAnsi="Arial"/>
                <w:sz w:val="16"/>
                <w:szCs w:val="16"/>
                <w:b w:val="1"/>
                <w:bCs w:val="1"/>
                <w:color w:val="auto"/>
                <w:w w:val="85"/>
              </w:rPr>
              <w:t>shares</w:t>
            </w: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w w:val="89"/>
              </w:rPr>
              <w:t>announced plans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7"/>
              </w:rPr>
              <w:t>subsequent to</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tcPr>
          <w:p>
            <w:pPr>
              <w:jc w:val="center"/>
              <w:ind w:left="47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w w:val="91"/>
              </w:rPr>
              <w:t>paid per share</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ind w:left="219"/>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59"/>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1 - May 31, 2021</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16.32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June 1 - June 30, 2021</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14.43</w:t>
            </w: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right="160" w:hanging="332"/>
        <w:spacing w:after="0" w:line="301" w:lineRule="auto"/>
        <w:tabs>
          <w:tab w:leader="none" w:pos="33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us pursuant to the terms of our stock compensation plans.</w:t>
      </w:r>
    </w:p>
    <w:p>
      <w:pPr>
        <w:spacing w:after="0" w:line="49" w:lineRule="exact"/>
        <w:rPr>
          <w:rFonts w:ascii="Arial" w:cs="Arial" w:eastAsia="Arial" w:hAnsi="Arial"/>
          <w:sz w:val="16"/>
          <w:szCs w:val="16"/>
          <w:color w:val="auto"/>
        </w:rPr>
      </w:pPr>
    </w:p>
    <w:p>
      <w:pPr>
        <w:ind w:left="340" w:hanging="332"/>
        <w:spacing w:after="0" w:line="263"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June 30, 2021.</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5540" w:hanging="111"/>
        <w:spacing w:after="0"/>
        <w:tabs>
          <w:tab w:leader="none" w:pos="5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20" w:type="dxa"/>
            <w:vAlign w:val="bottom"/>
            <w:gridSpan w:val="7"/>
          </w:tcPr>
          <w:p>
            <w:pPr>
              <w:ind w:left="2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9"/>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by Robert B. Kay, Chief Executive Officer and Director, pursuant to Rule 13a-14(a) or Rule 15d-14(a) of the Securities</w:t>
              </w:r>
            </w:hyperlink>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and Exchange Act of 1934, as adopted pursuant to Section 302 of the Sarbanes-Oxley Act of 2002</w:t>
              </w:r>
            </w:hyperlink>
          </w:p>
        </w:tc>
        <w:tc>
          <w:tcPr>
            <w:tcW w:w="24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gridSpan w:val="9"/>
          </w:tcPr>
          <w:p>
            <w:pPr>
              <w:spacing w:after="0"/>
              <w:rPr>
                <w:rFonts w:ascii="Arial" w:cs="Arial" w:eastAsia="Arial" w:hAnsi="Arial"/>
                <w:sz w:val="18"/>
                <w:szCs w:val="18"/>
                <w:color w:val="0000FF"/>
                <w:w w:val="93"/>
              </w:rPr>
            </w:pPr>
            <w:hyperlink w:anchor="page48">
              <w:r>
                <w:rPr>
                  <w:rFonts w:ascii="Arial" w:cs="Arial" w:eastAsia="Arial" w:hAnsi="Arial"/>
                  <w:sz w:val="18"/>
                  <w:szCs w:val="18"/>
                  <w:color w:val="0000FF"/>
                  <w:w w:val="93"/>
                </w:rPr>
                <w:t>Certification by Laurence Winoker, Senior Vice President – Finance, Treasurer and Chief Financial Officer, pursuant to Rule 13a-</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14(a) or Rule 15d-14(a) of the Securities and Exchange Act of 1934, as adopted pursuant to Section 302 of the Sarbanes-Oxley Act</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of 2002</w:t>
              </w:r>
            </w:hyperlink>
          </w:p>
        </w:tc>
        <w:tc>
          <w:tcPr>
            <w:tcW w:w="890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by Robert B. Kay, Chief Executive Officer and Director, and Laurence Winoker, Senior Vice President – Finance,</w:t>
              </w:r>
            </w:hyperlink>
          </w:p>
        </w:tc>
        <w:tc>
          <w:tcPr>
            <w:tcW w:w="4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Treasurer and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91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Oxley Act of 2002</w:t>
              </w:r>
            </w:hyperlink>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340" w:type="dxa"/>
            <w:vAlign w:val="bottom"/>
            <w:gridSpan w:val="2"/>
            <w:shd w:val="clear" w:color="auto" w:fill="0000FF"/>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600" w:type="dxa"/>
            <w:vAlign w:val="bottom"/>
            <w:vMerge w:val="continue"/>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6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9"/>
          </w:tcPr>
          <w:p>
            <w:pPr>
              <w:spacing w:after="0"/>
              <w:rPr>
                <w:sz w:val="20"/>
                <w:szCs w:val="20"/>
                <w:color w:val="auto"/>
              </w:rPr>
            </w:pPr>
            <w:r>
              <w:rPr>
                <w:rFonts w:ascii="Arial" w:cs="Arial" w:eastAsia="Arial" w:hAnsi="Arial"/>
                <w:sz w:val="18"/>
                <w:szCs w:val="18"/>
                <w:color w:val="auto"/>
              </w:rPr>
              <w:t>The cover page from this Quarterly Report on Form 10-Q,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20" w:type="dxa"/>
            <w:vAlign w:val="bottom"/>
          </w:tcPr>
          <w:p>
            <w:pPr>
              <w:ind w:left="820"/>
              <w:spacing w:after="0"/>
              <w:rPr>
                <w:sz w:val="20"/>
                <w:szCs w:val="20"/>
                <w:color w:val="auto"/>
              </w:rPr>
            </w:pPr>
            <w:r>
              <w:rPr>
                <w:rFonts w:ascii="Arial" w:cs="Arial" w:eastAsia="Arial" w:hAnsi="Arial"/>
                <w:sz w:val="18"/>
                <w:szCs w:val="18"/>
                <w:color w:val="auto"/>
                <w:w w:val="89"/>
              </w:rPr>
              <w:t>August 5, 2021</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20" w:type="dxa"/>
            <w:vAlign w:val="bottom"/>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5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20" w:type="dxa"/>
            <w:vAlign w:val="bottom"/>
          </w:tcPr>
          <w:p>
            <w:pPr>
              <w:ind w:left="820"/>
              <w:spacing w:after="0"/>
              <w:rPr>
                <w:sz w:val="20"/>
                <w:szCs w:val="20"/>
                <w:color w:val="auto"/>
              </w:rPr>
            </w:pPr>
            <w:r>
              <w:rPr>
                <w:rFonts w:ascii="Arial" w:cs="Arial" w:eastAsia="Arial" w:hAnsi="Arial"/>
                <w:sz w:val="18"/>
                <w:szCs w:val="18"/>
                <w:color w:val="auto"/>
                <w:w w:val="89"/>
              </w:rPr>
              <w:t>August 5, 2021</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20" w:type="dxa"/>
            <w:vAlign w:val="bottom"/>
          </w:tcPr>
          <w:p>
            <w:pPr>
              <w:spacing w:after="0"/>
              <w:rPr>
                <w:sz w:val="19"/>
                <w:szCs w:val="19"/>
                <w:color w:val="auto"/>
              </w:rPr>
            </w:pPr>
          </w:p>
        </w:tc>
      </w:tr>
      <w:tr>
        <w:trPr>
          <w:trHeight w:val="176"/>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89"/>
              </w:rPr>
              <w:t>Senior Vice President – Finance, Treasurer and</w:t>
            </w:r>
          </w:p>
        </w:tc>
        <w:tc>
          <w:tcPr>
            <w:tcW w:w="1920" w:type="dxa"/>
            <w:vAlign w:val="bottom"/>
          </w:tcPr>
          <w:p>
            <w:pPr>
              <w:spacing w:after="0"/>
              <w:rPr>
                <w:sz w:val="15"/>
                <w:szCs w:val="15"/>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w w:val="99"/>
              </w:rPr>
              <w:t>(Principal Financial and Accounting Officer)</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200"/>
          </w:cols>
          <w:pgMar w:left="320" w:top="121"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6231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B. Kay</w:t>
      </w:r>
    </w:p>
    <w:p>
      <w:pPr>
        <w:ind w:left="680"/>
        <w:spacing w:after="0"/>
        <w:rPr>
          <w:sz w:val="20"/>
          <w:szCs w:val="20"/>
          <w:color w:val="auto"/>
        </w:rPr>
      </w:pPr>
      <w:r>
        <w:rPr>
          <w:rFonts w:ascii="Arial" w:cs="Arial" w:eastAsia="Arial" w:hAnsi="Arial"/>
          <w:sz w:val="18"/>
          <w:szCs w:val="18"/>
          <w:color w:val="auto"/>
        </w:rPr>
        <w:t>Chief Executive Officer and Director</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1954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Laurence Winoker</w:t>
      </w:r>
    </w:p>
    <w:p>
      <w:pPr>
        <w:ind w:left="1000"/>
        <w:spacing w:after="0" w:line="203" w:lineRule="auto"/>
        <w:rPr>
          <w:sz w:val="20"/>
          <w:szCs w:val="20"/>
          <w:color w:val="auto"/>
        </w:rPr>
      </w:pPr>
      <w:r>
        <w:rPr>
          <w:rFonts w:ascii="Arial" w:cs="Arial" w:eastAsia="Arial" w:hAnsi="Arial"/>
          <w:sz w:val="18"/>
          <w:szCs w:val="18"/>
          <w:color w:val="auto"/>
        </w:rPr>
        <w:t>Senior Vice President – Finance,</w:t>
      </w:r>
    </w:p>
    <w:p>
      <w:pPr>
        <w:ind w:left="1000"/>
        <w:spacing w:after="0"/>
        <w:rPr>
          <w:sz w:val="20"/>
          <w:szCs w:val="20"/>
          <w:color w:val="auto"/>
        </w:rPr>
      </w:pPr>
      <w:r>
        <w:rPr>
          <w:rFonts w:ascii="Arial" w:cs="Arial" w:eastAsia="Arial" w:hAnsi="Arial"/>
          <w:sz w:val="18"/>
          <w:szCs w:val="18"/>
          <w:color w:val="auto"/>
        </w:rPr>
        <w:t>Treasurer and Chief Financial Officer</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44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2021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20" w:type="dxa"/>
            <w:vAlign w:val="bottom"/>
          </w:tcPr>
          <w:p>
            <w:pPr>
              <w:spacing w:after="0"/>
              <w:rPr>
                <w:sz w:val="20"/>
                <w:szCs w:val="20"/>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r>
      <w:tr>
        <w:trPr>
          <w:trHeight w:val="159"/>
        </w:trPr>
        <w:tc>
          <w:tcPr>
            <w:tcW w:w="48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line="159" w:lineRule="exact"/>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Finance, Treasurer and Chief Financial Officer</w:t>
            </w:r>
          </w:p>
        </w:tc>
      </w:tr>
      <w:tr>
        <w:trPr>
          <w:trHeight w:val="505"/>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August 5, 2021</w:t>
            </w:r>
          </w:p>
        </w:tc>
        <w:tc>
          <w:tcPr>
            <w:tcW w:w="5800" w:type="dxa"/>
            <w:vAlign w:val="bottom"/>
          </w:tcPr>
          <w:p>
            <w:pPr>
              <w:ind w:left="20"/>
              <w:spacing w:after="0"/>
              <w:rPr>
                <w:sz w:val="20"/>
                <w:szCs w:val="20"/>
                <w:color w:val="auto"/>
              </w:rPr>
            </w:pPr>
            <w:r>
              <w:rPr>
                <w:rFonts w:ascii="Arial" w:cs="Arial" w:eastAsia="Arial" w:hAnsi="Arial"/>
                <w:sz w:val="18"/>
                <w:szCs w:val="18"/>
                <w:color w:val="auto"/>
              </w:rPr>
              <w:t>Date: August 5, 2021</w:t>
            </w: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lvl w:ilvl="1">
      <w:lvlJc w:val="left"/>
      <w:lvlText w:val="-"/>
      <w:numFmt w:val="bullet"/>
      <w:start w:val="1"/>
    </w:lvl>
  </w:abstractNum>
  <w:abstractNum w:abstractNumId="5">
    <w:nsid w:val="140E0F76"/>
    <w:multiLevelType w:val="hybridMultilevel"/>
    <w:lvl w:ilvl="0">
      <w:lvlJc w:val="left"/>
      <w:lvlText w:val="(%1)"/>
      <w:numFmt w:val="lowerRoman"/>
      <w:start w:val="10"/>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Roman"/>
      <w:start w:val="10"/>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lvl w:ilvl="1">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6">
    <w:nsid w:val="431BD7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2021-08-05T16:18:15Z</dcterms:created>
  <dcterms:modified xsi:type="dcterms:W3CDTF">2021-08-05T16:18:15Z</dcterms:modified>
</cp:coreProperties>
</file>