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620"/>
        <w:spacing w:after="0"/>
        <w:tabs>
          <w:tab w:leader="none" w:pos="81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11-2682486</w:t>
      </w:r>
    </w:p>
    <w:p>
      <w:pPr>
        <w:spacing w:after="0" w:line="8" w:lineRule="exact"/>
        <w:rPr>
          <w:sz w:val="24"/>
          <w:szCs w:val="24"/>
          <w:color w:val="auto"/>
        </w:rPr>
      </w:pPr>
    </w:p>
    <w:p>
      <w:pPr>
        <w:ind w:left="2080"/>
        <w:spacing w:after="0"/>
        <w:tabs>
          <w:tab w:leader="none" w:pos="80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2040"/>
        <w:spacing w:after="0"/>
        <w:tabs>
          <w:tab w:leader="none" w:pos="79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1000 Stewart Avenue, Garden City, New York, 11530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8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8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Trading</w:t>
            </w:r>
          </w:p>
        </w:tc>
        <w:tc>
          <w:tcPr>
            <w:tcW w:w="2740" w:type="dxa"/>
            <w:vAlign w:val="bottom"/>
          </w:tcPr>
          <w:p>
            <w:pPr>
              <w:jc w:val="center"/>
              <w:ind w:left="1228"/>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338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Symbol(s)</w:t>
            </w:r>
          </w:p>
        </w:tc>
        <w:tc>
          <w:tcPr>
            <w:tcW w:w="2740" w:type="dxa"/>
            <w:vAlign w:val="bottom"/>
          </w:tcPr>
          <w:p>
            <w:pPr>
              <w:jc w:val="center"/>
              <w:ind w:left="12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0" w:gutter="0" w:footer="0" w:header="0"/>
        </w:sectPr>
      </w:pPr>
    </w:p>
    <w:p>
      <w:pPr>
        <w:ind w:left="900"/>
        <w:spacing w:after="0"/>
        <w:tabs>
          <w:tab w:leader="none" w:pos="5560" w:val="left"/>
          <w:tab w:leader="none" w:pos="8040" w:val="left"/>
        </w:tabs>
        <w:rPr>
          <w:sz w:val="20"/>
          <w:szCs w:val="20"/>
          <w:color w:val="auto"/>
        </w:rPr>
      </w:pPr>
      <w:r>
        <w:rPr>
          <w:rFonts w:ascii="Arial" w:cs="Arial" w:eastAsia="Arial" w:hAnsi="Arial"/>
          <w:sz w:val="18"/>
          <w:szCs w:val="18"/>
          <w:b w:val="1"/>
          <w:bCs w:val="1"/>
          <w:color w:val="auto"/>
        </w:rPr>
        <w:t>Common Stock, $.01 par value</w:t>
      </w:r>
      <w:r>
        <w:rPr>
          <w:sz w:val="20"/>
          <w:szCs w:val="20"/>
          <w:color w:val="auto"/>
        </w:rPr>
        <w:tab/>
      </w:r>
      <w:r>
        <w:rPr>
          <w:rFonts w:ascii="Arial" w:cs="Arial" w:eastAsia="Arial" w:hAnsi="Arial"/>
          <w:sz w:val="18"/>
          <w:szCs w:val="18"/>
          <w:b w:val="1"/>
          <w:bCs w:val="1"/>
          <w:color w:val="auto"/>
        </w:rPr>
        <w:t>LCUT</w:t>
      </w:r>
      <w:r>
        <w:rPr>
          <w:sz w:val="20"/>
          <w:szCs w:val="20"/>
          <w:color w:val="auto"/>
        </w:rPr>
        <w:tab/>
      </w:r>
      <w:r>
        <w:rPr>
          <w:rFonts w:ascii="Arial" w:cs="Arial" w:eastAsia="Arial" w:hAnsi="Arial"/>
          <w:sz w:val="16"/>
          <w:szCs w:val="16"/>
          <w:b w:val="1"/>
          <w:bCs w:val="1"/>
          <w:color w:val="auto"/>
        </w:rPr>
        <w:t>The NASDAQ Global Select Market</w:t>
      </w:r>
    </w:p>
    <w:p>
      <w:pPr>
        <w:sectPr>
          <w:pgSz w:w="11900" w:h="16838" w:orient="portrait"/>
          <w:cols w:equalWidth="0" w:num="1">
            <w:col w:w="11220"/>
          </w:cols>
          <w:pgMar w:left="240" w:top="230"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April 30, 2019 was 20,921,967.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218440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 ENDED MARCH 31, 2019</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7"/>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Financial Information</w:t>
              </w:r>
            </w:hyperlink>
          </w:p>
        </w:tc>
        <w:tc>
          <w:tcPr>
            <w:tcW w:w="7300" w:type="dxa"/>
            <w:vAlign w:val="bottom"/>
            <w:gridSpan w:val="11"/>
            <w:vMerge w:val="restart"/>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6"/>
        </w:trPr>
        <w:tc>
          <w:tcPr>
            <w:tcW w:w="1240" w:type="dxa"/>
            <w:vAlign w:val="bottom"/>
            <w:gridSpan w:val="2"/>
            <w:vMerge w:val="continue"/>
          </w:tcPr>
          <w:p>
            <w:pPr>
              <w:spacing w:after="0"/>
              <w:rPr>
                <w:sz w:val="13"/>
                <w:szCs w:val="13"/>
                <w:color w:val="auto"/>
              </w:rPr>
            </w:pPr>
          </w:p>
        </w:tc>
        <w:tc>
          <w:tcPr>
            <w:tcW w:w="1720" w:type="dxa"/>
            <w:vAlign w:val="bottom"/>
            <w:tcBorders>
              <w:bottom w:val="single" w:sz="8" w:color="0000EE"/>
            </w:tcBorders>
            <w:gridSpan w:val="7"/>
            <w:vMerge w:val="continue"/>
          </w:tcPr>
          <w:p>
            <w:pPr>
              <w:spacing w:after="0"/>
              <w:rPr>
                <w:sz w:val="13"/>
                <w:szCs w:val="13"/>
                <w:color w:val="auto"/>
              </w:rPr>
            </w:pPr>
          </w:p>
        </w:tc>
        <w:tc>
          <w:tcPr>
            <w:tcW w:w="7300" w:type="dxa"/>
            <w:vAlign w:val="bottom"/>
            <w:gridSpan w:val="11"/>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5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March 31, 2019 (unaudited) and December 31, 2018</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 Three Months Ended March 31, 2019 and 2018</w:t>
              </w:r>
            </w:hyperlink>
          </w:p>
        </w:tc>
        <w:tc>
          <w:tcPr>
            <w:tcW w:w="88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2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Loss (unaudited) – Three Months Ended March 31, 2019 and 2018</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60" w:type="dxa"/>
            <w:vAlign w:val="bottom"/>
            <w:tcBorders>
              <w:top w:val="single" w:sz="8" w:color="0000EE"/>
            </w:tcBorders>
            <w:gridSpan w:val="17"/>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Stockholders’ Equity (unaudited) – Three Months Ended March 31, 2019 and</w:t>
              </w:r>
            </w:hyperlink>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Three Months Ended March 31, 2019 and 2018</w:t>
              </w:r>
            </w:hyperlink>
          </w:p>
        </w:tc>
        <w:tc>
          <w:tcPr>
            <w:tcW w:w="82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414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56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72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6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38">
              <w:r>
                <w:rPr>
                  <w:rFonts w:ascii="Arial" w:cs="Arial" w:eastAsia="Arial" w:hAnsi="Arial"/>
                  <w:sz w:val="18"/>
                  <w:szCs w:val="18"/>
                  <w:b w:val="1"/>
                  <w:bCs w:val="1"/>
                  <w:color w:val="0000EE"/>
                  <w:w w:val="94"/>
                </w:rPr>
                <w:t>Other Information</w:t>
              </w:r>
            </w:hyperlink>
          </w:p>
        </w:tc>
        <w:tc>
          <w:tcPr>
            <w:tcW w:w="7560" w:type="dxa"/>
            <w:vAlign w:val="bottom"/>
            <w:gridSpan w:val="13"/>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768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46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PART I. FINANCIAL INFORMATION</w:t>
      </w:r>
    </w:p>
    <w:p>
      <w:pPr>
        <w:spacing w:after="0" w:line="24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Accounts receivable, less allowances of $7,264 at March 31, 2019 and $7,855 at December 31, 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187,278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301,037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318,804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336,434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338,847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780,390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10,757</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101,627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TAXES PAYABLE, 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252,879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262,694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3"/>
              </w:rPr>
              <w:t>Preferred stock, $1.00 par value, shares authorized: 100 shares of Series A and 2,000,000 shares of Series B; none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$.01 par value, shares authorized: 50,000,000 at March 31, 2019 and December 31, 2018; shares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20,927,517 at March 31, 2019 and 20,764,143 at December 31, 2018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259,304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258,637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(32,701)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276,311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279,493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780,390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708,572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149,926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Distribution expenses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Loss before income taxes and equity in (losses) earnings</w:t>
            </w:r>
          </w:p>
        </w:tc>
        <w:tc>
          <w:tcPr>
            <w:tcW w:w="2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Equity in (losses) earnings, net of taxes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(11,598)</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COMMON SHARE</w:t>
            </w: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SHARE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(11,598)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29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(8,214)</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149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$178,909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$ 60,546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$210,279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comprehensive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Issuance of 5,593,116 shares of common stock for acquisition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Filament, net of equity issuance costs</w:t>
            </w:r>
          </w:p>
        </w:tc>
        <w:tc>
          <w:tcPr>
            <w:tcW w:w="560" w:type="dxa"/>
            <w:vAlign w:val="bottom"/>
          </w:tcPr>
          <w:p>
            <w:pPr>
              <w:jc w:val="right"/>
              <w:spacing w:after="0"/>
              <w:rPr>
                <w:sz w:val="20"/>
                <w:szCs w:val="20"/>
                <w:color w:val="auto"/>
              </w:rPr>
            </w:pPr>
            <w:r>
              <w:rPr>
                <w:rFonts w:ascii="Arial" w:cs="Arial" w:eastAsia="Arial" w:hAnsi="Arial"/>
                <w:sz w:val="18"/>
                <w:szCs w:val="18"/>
                <w:color w:val="auto"/>
              </w:rPr>
              <w:t>5,593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75,920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issued to directors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issuance of restricted shares to employees</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6"/>
              </w:rPr>
              <w:t>838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8"/>
              </w:rPr>
              <w:t>Shares effectively repurchased for required employee withholding</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taxes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206</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255,408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$ 48,068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208</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$258,637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$ 55,264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6"/>
              </w:rPr>
              <w:t>596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comprehensive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issuance of restricted shares to employees</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6"/>
              </w:rPr>
              <w:t>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exercise of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effectively repurchased for required employee withholding</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259,304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$ 49,499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276,311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8"/>
          <w:szCs w:val="18"/>
          <w:color w:val="auto"/>
        </w:rPr>
        <w:t>Cash dividends declared per share of common stock were $0.0425 and $0.0425 in 2018 and 2019, respectively.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Amortization of financing costs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Non cash lease expense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Undistributed equity in losses (earnings), net of taxes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(217,932)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(220,340)</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66,325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(82,130)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term loan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Repayment of term loan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Payment of financing costs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equity issuance costs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Effect of foreign exchange on cash</w:t>
            </w:r>
          </w:p>
        </w:tc>
        <w:tc>
          <w:tcPr>
            <w:tcW w:w="1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right="3820"/>
        <w:spacing w:after="0" w:line="378" w:lineRule="auto"/>
        <w:rPr>
          <w:sz w:val="20"/>
          <w:szCs w:val="20"/>
          <w:color w:val="auto"/>
        </w:rPr>
      </w:pPr>
      <w:r>
        <w:rPr>
          <w:rFonts w:ascii="Arial" w:cs="Arial" w:eastAsia="Arial" w:hAnsi="Arial"/>
          <w:sz w:val="18"/>
          <w:szCs w:val="18"/>
          <w:b w:val="1"/>
          <w:bCs w:val="1"/>
          <w:color w:val="auto"/>
        </w:rPr>
        <w:t>NOTE A — BASIS OF PRESENTATION AND SUMMARY OF ACCOUNTING POLICIES Organization and business</w:t>
      </w:r>
    </w:p>
    <w:p>
      <w:pPr>
        <w:ind w:left="200" w:right="12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U.S. generally accepted accounting principles for complete financial statements. In the opinion of management, all adjustments, which consist only of normal recurring accruals, considered necessary for a fair presentation have been included. These condensed consolidated financial statements should be read in conjunction with the consolidated financial statements and footnotes thereto included in the Company’s Annual Report on Form 10-K for the fiscal year ended December 31, 2018.</w:t>
      </w:r>
    </w:p>
    <w:p>
      <w:pPr>
        <w:spacing w:after="0" w:line="17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Operating results for the three month period ended March 31, 2019 are not necessarily indicative of the results that may be expected for the year ending December 31, 2019.</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2018 and 2017, net sales for the third and fourth quarters accounted for 62% and 60%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for additional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tooling, and other product procurement related charges.</w:t>
      </w:r>
    </w:p>
    <w:p>
      <w:pPr>
        <w:spacing w:after="0" w:line="170" w:lineRule="exact"/>
        <w:rPr>
          <w:sz w:val="20"/>
          <w:szCs w:val="20"/>
          <w:color w:val="auto"/>
        </w:rPr>
      </w:pPr>
    </w:p>
    <w:p>
      <w:pPr>
        <w:ind w:left="200" w:right="380"/>
        <w:spacing w:after="0" w:line="312" w:lineRule="auto"/>
        <w:rPr>
          <w:sz w:val="20"/>
          <w:szCs w:val="20"/>
          <w:color w:val="auto"/>
        </w:rPr>
      </w:pPr>
      <w:r>
        <w:rPr>
          <w:rFonts w:ascii="Arial" w:cs="Arial" w:eastAsia="Arial" w:hAnsi="Arial"/>
          <w:sz w:val="16"/>
          <w:szCs w:val="16"/>
          <w:color w:val="auto"/>
        </w:rPr>
        <w:t>Prior to January 1, 2019, depreciation associated with certain tooling used to produce products was classified as selling, general and administrative expenses. The amount recorded in cost of sales for the three months ended March 31, 2019 is $0.3 million. The impact on the comparative period presented is diminimis and therefore, the comparative period has not been adjusted to reflect this change in accounting policy.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potential realization of these receivables including assessing the initial and on-going creditworthiness of the Company’s customers.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Company’s Receivable Purchase Agreement with HSBC, is reflected as a reduction of accounts receivable in the Company’s condensed consolidated balance sheets at the time of sale and any related expense is included in selling, general and administrative expenses in the Company’s condensed consolidated statements of operations. Pursuant to this agreement, the Company sold to HSBC $25.1 million and $19.6 million of receivables during the three months ended March 31, 2019 and 2018, respectively. A charge of $147,500 and $90,000 related to the sale of the receivables is included in selling, general and administrative expenses in the condensed consolidated statements of operations for the three months ended March 31, 2019 and 2018, respectively.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inventory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$179,618</w:t>
            </w:r>
          </w:p>
        </w:tc>
        <w:tc>
          <w:tcPr>
            <w:tcW w:w="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165,969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Work in process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187,278</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173,601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 xml:space="preserve">The Company accounts for derivative instruments in accordance with Accounting Standard Codification (“ASC”) Topic No.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ASC Topic No. 815 requires that all derivative instruments be recognized on the balance sheet at fair value as either an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9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selling, general and administrative expenses.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goodwill impairment testing described in Accounting Standards Updated (“ASU”) Topic No. 350, </w:t>
      </w:r>
      <w:r>
        <w:rPr>
          <w:rFonts w:ascii="Arial" w:cs="Arial" w:eastAsia="Arial" w:hAnsi="Arial"/>
          <w:sz w:val="16"/>
          <w:szCs w:val="16"/>
          <w:i w:val="1"/>
          <w:iCs w:val="1"/>
          <w:color w:val="auto"/>
        </w:rPr>
        <w:t>Intangibles –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w:t>
      </w:r>
      <w:r>
        <w:rPr>
          <w:rFonts w:ascii="Arial" w:cs="Arial" w:eastAsia="Arial" w:hAnsi="Arial"/>
          <w:sz w:val="16"/>
          <w:szCs w:val="16"/>
          <w:color w:val="auto"/>
        </w:rPr>
        <w:t>. If, after assessing qualitative factors, the Company determines that it is not more likely than not that the fair value of a reporting unit is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its carrying amount, then performing the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The quantitative impairment test compares the carrying value of each reporting unit that has goodwill with the estimated fair value of the respective reporting unit.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5"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were not material to the Company’s condensed consolidated balance sheets.</w:t>
      </w:r>
    </w:p>
    <w:p>
      <w:pPr>
        <w:spacing w:after="0" w:line="18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5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liabilities. Leases with an initial term of twelve months or less are not recorded on the balance sheet.</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months ended March 31, 2019 and 2018, the Company incurred $0.3 million and $0.4 million of Filament restructuring charges, primarily related to severance, of which $1.3 million was accrued at March 31, 2019.</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the three months ended March 31, 2019, the Company incurred $0.3 million of restructuring expense, primarily related to severance, for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integration of its legal entities operating in Europe. In 2018, the Company finalized its integration plans for its European operations and took further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steps to consolidate its operations. The Company intends to combine its physical locations in the U.K. in 2019 and expects to incur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 million of additional restructuring and integration charges in 2019. At March 31, 2019, $0.4 million of restructuring charges related to the European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restructuring plan were accrued.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Effective January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a lessee, in most leases, to initially recognize a lease liability for the obligation to make lease payments and a ROU asset for the right to use the underlying asset for the lease term. The Company adopted this standard using the cumulative-effect adjustment method and elected certain practical expedients allowed under the standard. Upon adoption, the Company recognized ROU assets and a lease liability of $90.9 million and $104.4 million, respectively. See Note D for additional information on the Company’s adoption of this standard.</w:t>
      </w:r>
    </w:p>
    <w:p>
      <w:pPr>
        <w:spacing w:after="0" w:line="18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 xml:space="preserve">Effective January 1, 2019, the Company adopted ASU 2018-02, </w:t>
      </w:r>
      <w:r>
        <w:rPr>
          <w:rFonts w:ascii="Arial" w:cs="Arial" w:eastAsia="Arial" w:hAnsi="Arial"/>
          <w:sz w:val="18"/>
          <w:szCs w:val="18"/>
          <w:i w:val="1"/>
          <w:iCs w:val="1"/>
          <w:color w:val="auto"/>
        </w:rPr>
        <w:t>Income Statement- Reporting Comprehensive Income: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addresses the effect on items within accumulated other comprehensive income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the U.S. federal corporate tax rate due to the enactment of the Tax Cuts and Jobs Act (the “Tax Act”) on December 22, 2017. Upon adoption, the Company did not elect to reclassify the stranded income tax effects of the Tax Act from accumulated other comprehensive income to retained earnings.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sells products wholesale, to retailers and distributors, and retail, directly to the consumer. Wholesale sales and retail sales are recognized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the point in time the customer obtains control of the products in an amount that reflects the consideration the Company expects to be entitled to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exchange for those products. To indicate the transfer of control, the Company must have a present right to payment, legal title must have passed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customer, the customer must have the significant risks and rewards of ownership, and where acceptance is not a formality, the customer must have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accepted the product or service. The Company’s principal terms of sale are Free On Board (“FOB”) Shipping Point, or equivalent, and, as such,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primarily transfers control and records revenue for product sales upon shipment. Sales arrangements with delivery terms that are not FOB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Shipping Point are not recognized upon shipment and the transfer of control for revenue recognition is evaluated based on the associated shipping terms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customer obligations. Shipping and handling fees that are billed to customers in sales transactions are included in net sales and amounted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$692,500 and $545,000 for the three months ended March 31, 2019 and 2018, respectively. Net sales exclude taxes that are collected from customers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remitted to the taxing authorities.</w:t>
      </w:r>
    </w:p>
    <w:p>
      <w:pPr>
        <w:spacing w:after="0" w:line="211"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statements of operations. Incidental items that are immaterial in the context of the contract are expensed as incurred.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2019 and 2018 (in thousands):</w:t>
      </w:r>
    </w:p>
    <w:p>
      <w:pPr>
        <w:spacing w:after="0" w:line="22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Segment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69,267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57,153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31,319</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U.S. Segment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127,038</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95,907</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International Segment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International Segment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149,926</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118,169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121,409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15,937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149,926</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118,169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—ACQUISITION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 The cash portion of the consideration was revised for certain adjustments as defined in the agreement.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180"/>
          </w:cols>
          <w:pgMar w:left="240" w:top="459"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8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40" w:type="dxa"/>
            <w:vAlign w:val="bottom"/>
            <w:gridSpan w:val="3"/>
          </w:tcPr>
          <w:p>
            <w:pPr>
              <w:ind w:left="200"/>
              <w:spacing w:after="0"/>
              <w:rPr>
                <w:sz w:val="20"/>
                <w:szCs w:val="20"/>
                <w:color w:val="auto"/>
              </w:rPr>
            </w:pPr>
            <w:r>
              <w:rPr>
                <w:rFonts w:ascii="Arial" w:cs="Arial" w:eastAsia="Arial" w:hAnsi="Arial"/>
                <w:sz w:val="18"/>
                <w:szCs w:val="18"/>
                <w:color w:val="auto"/>
              </w:rPr>
              <w:t>The purchase price has been determined to be as follows (in thousands):</w:t>
            </w: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5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Share consideration</w:t>
            </w:r>
          </w:p>
        </w:tc>
        <w:tc>
          <w:tcPr>
            <w:tcW w:w="16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240"/>
        <w:spacing w:after="0" w:line="277" w:lineRule="auto"/>
        <w:rPr>
          <w:sz w:val="20"/>
          <w:szCs w:val="20"/>
          <w:color w:val="auto"/>
        </w:rPr>
      </w:pPr>
      <w:r>
        <w:rPr>
          <w:rFonts w:ascii="Arial" w:cs="Arial" w:eastAsia="Arial" w:hAnsi="Arial"/>
          <w:sz w:val="18"/>
          <w:szCs w:val="18"/>
          <w:color w:val="auto"/>
        </w:rPr>
        <w:t>The purchase price was allocated based on the Company’s final estimate of the fair value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Inventory</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(23,018)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(13,881)</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270,427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294,416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Goodwill results from such factors as an assembled workforce. The total amount of goodwill is not expected to be deductible for tax purposes. The goodwill and other intangible assets are primarily included in the U.S. segment. Customer relationships are amortized on a straight-line basis over their estimated useful lives (see Note F).</w:t>
      </w:r>
    </w:p>
    <w:p>
      <w:pPr>
        <w:spacing w:after="0" w:line="18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three months ended March 31, 2018 included the operations of Filament for the period from March 2, 2018, the date of acquisition, to March 31, 2018. The condensed consolidated statements of operations for the three months ended March 31, 2018 includes $9.3 million of net sales and $1.1 million of net loss from operations contributed by Filament.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The following table presents the Company’s pro forma consolidated net sales, loss before income taxes and equity in earnings, and net loss for the three months ended March 31, 2018. The unaudited pro forma results include the historical statement of operations information of the Company and of Filament, giving effect to the Filament acquisition and related financing as if they had occurred at the beginning of the period presented.</w:t>
      </w:r>
    </w:p>
    <w:p>
      <w:pPr>
        <w:sectPr>
          <w:pgSz w:w="11900" w:h="16838" w:orient="portrait"/>
          <w:cols w:equalWidth="0" w:num="1">
            <w:col w:w="11200"/>
          </w:cols>
          <w:pgMar w:left="240" w:top="44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Loss before income taxes and equity in earnings</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6"/>
          <w:szCs w:val="16"/>
          <w:color w:val="auto"/>
        </w:rPr>
        <w:t>Basic and diluted loss per common share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 except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143,980</w:t>
            </w:r>
          </w:p>
        </w:tc>
      </w:tr>
    </w:tbl>
    <w:p>
      <w:pPr>
        <w:jc w:val="right"/>
        <w:ind w:right="1800"/>
        <w:spacing w:after="0"/>
        <w:rPr>
          <w:sz w:val="20"/>
          <w:szCs w:val="20"/>
          <w:color w:val="auto"/>
        </w:rPr>
      </w:pPr>
      <w:r>
        <w:rPr>
          <w:rFonts w:ascii="Arial" w:cs="Arial" w:eastAsia="Arial" w:hAnsi="Arial"/>
          <w:sz w:val="18"/>
          <w:szCs w:val="18"/>
          <w:color w:val="auto"/>
        </w:rPr>
        <w:t>(15,844)</w:t>
      </w:r>
    </w:p>
    <w:p>
      <w:pPr>
        <w:spacing w:after="0" w:line="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(11,868)</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(0.58)</w:t>
      </w:r>
    </w:p>
    <w:p>
      <w:pPr>
        <w:spacing w:after="0" w:line="200" w:lineRule="exact"/>
        <w:rPr>
          <w:sz w:val="20"/>
          <w:szCs w:val="20"/>
          <w:color w:val="auto"/>
        </w:rPr>
      </w:pPr>
    </w:p>
    <w:p>
      <w:pPr>
        <w:sectPr>
          <w:pgSz w:w="11900" w:h="16838" w:orient="portrait"/>
          <w:cols w:equalWidth="0" w:num="2">
            <w:col w:w="6360" w:space="720"/>
            <w:col w:w="4120"/>
          </w:cols>
          <w:pgMar w:left="240" w:top="446" w:right="459" w:bottom="1440" w:gutter="0" w:footer="0" w:header="0"/>
          <w:type w:val="continuous"/>
        </w:sectPr>
      </w:pPr>
    </w:p>
    <w:p>
      <w:pPr>
        <w:spacing w:after="0" w:line="1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00"/>
          </w:cols>
          <w:pgMar w:left="240" w:top="446"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—LEASES</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adopted ASC Topic 842—Leases as of January 1, 2019, using the cumulative effective adjustment method wherein the Company applied the new leases standard at adoption date. Accordingly, all periods prior to January 1, 2019 were presented in accordance with the previous ASC Topic 840, Leases, and no retrospective adjustments were made to the comparative periods presented. Adoption of ASC 842 resulted in an increase to total assets and liabilities due to the recording of operating lease ROU and operating lease liabilities of approximately $90.9 million and $104.4 million, respectively, as of January 1, 2019. Finance leases are not material to the Company and were not impacted by the adoption of ASC 842, as finance lease liabilities and the corresponding assets were already recorded in the balance sheet under the previous guidance, ASC 840. The adoption did not materially impact the Company’s condensed consolidated statements of operations or cash flows.</w:t>
      </w:r>
    </w:p>
    <w:p>
      <w:pPr>
        <w:spacing w:after="0" w:line="17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8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ROU assets represent the Company’s right to use an underlying asset during the lease term and lease liabilities represent the Company’s obligation to make lease payments arising from the lease. ROU assets and liabilities are recognized at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lease costs were as follows:</w:t>
      </w:r>
    </w:p>
    <w:p>
      <w:pPr>
        <w:spacing w:after="0" w:line="24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Three Months Ended</w:t>
      </w:r>
    </w:p>
    <w:p>
      <w:pPr>
        <w:jc w:val="center"/>
        <w:ind w:left="6080"/>
        <w:spacing w:after="0" w:line="226" w:lineRule="auto"/>
        <w:rPr>
          <w:sz w:val="20"/>
          <w:szCs w:val="20"/>
          <w:color w:val="auto"/>
        </w:rPr>
      </w:pPr>
      <w:r>
        <w:rPr>
          <w:rFonts w:ascii="Arial" w:cs="Arial" w:eastAsia="Arial" w:hAnsi="Arial"/>
          <w:sz w:val="14"/>
          <w:szCs w:val="14"/>
          <w:b w:val="1"/>
          <w:bCs w:val="1"/>
          <w:color w:val="auto"/>
        </w:rPr>
        <w:t>March 31, 2019</w:t>
      </w:r>
    </w:p>
    <w:p>
      <w:pPr>
        <w:jc w:val="center"/>
        <w:ind w:left="608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20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Fixed</w:t>
            </w:r>
          </w:p>
        </w:tc>
        <w:tc>
          <w:tcPr>
            <w:tcW w:w="1860" w:type="dxa"/>
            <w:vAlign w:val="bottom"/>
            <w:gridSpan w:val="2"/>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2290"/>
              <w:spacing w:after="0"/>
              <w:rPr>
                <w:sz w:val="20"/>
                <w:szCs w:val="20"/>
                <w:color w:val="auto"/>
              </w:rPr>
            </w:pPr>
            <w:r>
              <w:rPr>
                <w:rFonts w:ascii="Arial" w:cs="Arial" w:eastAsia="Arial" w:hAnsi="Arial"/>
                <w:sz w:val="18"/>
                <w:szCs w:val="18"/>
                <w:color w:val="auto"/>
                <w:w w:val="91"/>
              </w:rPr>
              <w:t>Supplemental cash flow information was as follows:</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00" w:type="dxa"/>
            <w:vAlign w:val="bottom"/>
            <w:gridSpan w:val="4"/>
          </w:tcPr>
          <w:p>
            <w:pPr>
              <w:ind w:left="17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89"/>
              </w:rPr>
              <w:t>Cash paid for amounts included in the measurement of lease</w:t>
            </w:r>
          </w:p>
        </w:tc>
        <w:tc>
          <w:tcPr>
            <w:tcW w:w="17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860" w:type="dxa"/>
            <w:vAlign w:val="bottom"/>
            <w:gridSpan w:val="2"/>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7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00" w:type="dxa"/>
            <w:vAlign w:val="bottom"/>
            <w:gridSpan w:val="4"/>
          </w:tcPr>
          <w:p>
            <w:pPr>
              <w:ind w:left="17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6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Right-of-use assets obtained in exchange for new lease obligations: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860" w:type="dxa"/>
            <w:vAlign w:val="bottom"/>
            <w:gridSpan w:val="2"/>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- 13 -</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aggregate future lease payments for operating leases as of March 31, 2019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1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(excluding the three months ending March 31, 2019)</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15,006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66,130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Interest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(32,314)</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40"/>
              <w:spacing w:after="0"/>
              <w:rPr>
                <w:sz w:val="20"/>
                <w:szCs w:val="20"/>
                <w:color w:val="auto"/>
              </w:rPr>
            </w:pPr>
            <w:r>
              <w:rPr>
                <w:rFonts w:ascii="Arial" w:cs="Arial" w:eastAsia="Arial" w:hAnsi="Arial"/>
                <w:sz w:val="18"/>
                <w:szCs w:val="18"/>
                <w:color w:val="auto"/>
                <w:w w:val="87"/>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ind w:left="4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400"/>
        <w:spacing w:after="0" w:line="342" w:lineRule="auto"/>
        <w:rPr>
          <w:sz w:val="20"/>
          <w:szCs w:val="20"/>
          <w:color w:val="auto"/>
        </w:rPr>
      </w:pPr>
      <w:r>
        <w:rPr>
          <w:rFonts w:ascii="Arial" w:cs="Arial" w:eastAsia="Arial" w:hAnsi="Arial"/>
          <w:sz w:val="16"/>
          <w:szCs w:val="16"/>
          <w:color w:val="auto"/>
        </w:rPr>
        <w:t>As of March 31, 2019, the Company has an additional operating lease for the U.K. headquarters and warehouse that has not yet commenced with a present value of $19.4 million. It is anticipated that the operating lease will commence in the second quarter of 2019 with a lease term of 15 years.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—INVESTMENTS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Company owns approximately a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three month periods ended March 31, 2019 and 2018 in the accompanying condensed consolidated statements of operations. The value of the Company’s investment balance has been translated from Mexican Pesos (“MXN”) to U.S. Dollars (“USD”) using the spot rates of MXN 19.41 and MXN 19.64 at March 31, 2019 and December 31, 2018, respectively. The Company’s proportionate share of Vasconia’s net loss has been translated from MXN to USD using the average exchange rates of MXN 19.24 during the three months ended March 31, 2019 and Vasconia’s net income has been translated from MXN to USD using the average exchange rates of MXN 18.71 during the three months ended March 31, 2018. The effect of the translation of the Company’s investment resulted in a decrease to the investment of $0.3 million and an increase to the investment of $0.7 million during the three months ended March 31, 2019 and 2018, respectively. These translation effects are recorded in accumulated other comprehensive income (loss). Included within prepaid expenses and other current assets at March 31, 2019 and December 31, 2018 are amounts due from Vasconia of $130,000 and $95,000, respectively. Included within accrued expenses and accounts payable at March 31, 2019 and December 31, 2018 are amounts due to Vasconia of $33,000 and $0, respectively.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summarized statement of income information for Vasconia in USD and MXN is as follows:</w:t>
      </w:r>
    </w:p>
    <w:p>
      <w:pPr>
        <w:spacing w:after="0" w:line="24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jc w:val="center"/>
        <w:ind w:left="61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40" w:type="dxa"/>
            <w:vAlign w:val="bottom"/>
            <w:gridSpan w:val="5"/>
          </w:tcPr>
          <w:p>
            <w:pPr>
              <w:jc w:val="right"/>
              <w:ind w:right="460"/>
              <w:spacing w:after="0" w:line="123"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MXN</w:t>
            </w:r>
          </w:p>
        </w:tc>
        <w:tc>
          <w:tcPr>
            <w:tcW w:w="1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MXN</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$41,494</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$798,338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$39,570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$740,406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152,721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7,119</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133,207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(6,406)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(6,776)</w:t>
            </w:r>
          </w:p>
        </w:tc>
      </w:tr>
    </w:tbl>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recorded equity in losses of Vasconia, net of taxes, of $116,000 for the three months ended March 31, 2019 and equity in earnings of Vasconia, net of taxes, of $77,000, for the three months ended March 31, 2018. Equity in earnings for the three months ended March 31, 2018 includes a deferred tax benefit of $0.2 million, due to the requirement to record tax benefits for foreign currency translation gains and losses through other comprehensive income (loss), with a corresponding adjustment to deferred tax liabilities.</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As of March 31, 2019 and December 31, 2018, the fair value (based upon Vasconia’s quoted stock price) of the Company’s investment in Vasconia was $32.7 million and $31.9 million, respectively. The carrying value of the Company’s investment in Vasconia was $22.2 million and $22.6 million as of March 31, 2019 and December 31, 2018,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 —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1260" w:type="dxa"/>
            <w:vAlign w:val="bottom"/>
            <w:gridSpan w:val="4"/>
          </w:tcPr>
          <w:p>
            <w:pPr>
              <w:ind w:left="24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Gross</w:t>
            </w:r>
          </w:p>
        </w:tc>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Impairment</w:t>
            </w:r>
          </w:p>
        </w:tc>
        <w:tc>
          <w:tcPr>
            <w:tcW w:w="110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(2,205)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(14,874)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393,590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336,434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393,639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(2,205)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DEBT</w:t>
      </w:r>
    </w:p>
    <w:p>
      <w:pPr>
        <w:spacing w:after="0" w:line="121"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will mature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Based upon its current estimate of Excess Cash Flow, as defined, to be generated in calendar year 2019, the Company expects to prepay approximately $9.5 million of principal in the first quarter of 2020. Accordingly, this estimated amount is recorded in the current maturity of term loan on the condensed consolidated balance sheets. The maximum borrowing under the ABL Agreement may be increased to up to $200.0 million if certain conditions are met. One or more tranches of additional term loans (the “Incremental Facilities”) may be added under the Term Loan if certain conditions are met.</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1"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At March 31, 2019 and December 31, 2018, borrowings outstanding under the ABL Agreement were $26.5 million and $42.1 million, respectively, and open letters of credit were $3.2 million and $3.4 million, respectively. At March 31, 2019, availability under the ABL Agreement was approximately $109.7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At March 31, 2019 and December 31, 2018, $272.3 million and $272.9 million, respectively, was outstanding under the Term Loan. At March 31, 2019, unamortized debt issuance costs of $1.5 million and $7.1 million offset the short-term and long-term outstanding balances, respectively, of the Term Loan.</w:t>
      </w:r>
    </w:p>
    <w:p>
      <w:pPr>
        <w:spacing w:after="0" w:line="181"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March 31, 2019 ranged from 2.4% to 6.25%. In addition, the Company paid a commitment fee of 0.375% on the unused portion of the ABL Agreement during the three months ended March 31, 2019.</w:t>
      </w:r>
    </w:p>
    <w:p>
      <w:pPr>
        <w:spacing w:after="0" w:line="193"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March 31, 2019 was 6.0%.</w:t>
      </w:r>
    </w:p>
    <w:p>
      <w:pPr>
        <w:spacing w:after="0" w:line="166"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March 31, 2019.</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H- DERIVATIVES</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value of $119.0 million at March 31,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18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 dollar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currently does not have any derivatives that are not designated as hedges.</w:t>
      </w:r>
    </w:p>
    <w:p>
      <w:pPr>
        <w:spacing w:after="0" w:line="178"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Fluctuations in the value of certain foreign currencies as compared to the U.S. dollar may positively or negatively affect the Company’s revenues, gross margins, operating expenses, and retained earnings, all of which are expressed in U.S. dollars.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our foreign suppliers. The Company does not hedge the translation of foreign currency profits into U.S. dollars, as the Company regards this as an accounting exposure rather than an economic exposure. The aggregate gross notional values of foreign exchange contracts at March 31, 2019 were $13.5 million. These foreign exchange contracts have been designated as hedges as required in to order to apply hedge accounting.</w:t>
      </w:r>
    </w:p>
    <w:p>
      <w:pPr>
        <w:spacing w:after="0" w:line="1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8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Balance Sheet</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Location</w:t>
            </w: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Prepaid Expenses</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177</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80" w:type="dxa"/>
            <w:vAlign w:val="bottom"/>
          </w:tcPr>
          <w:p>
            <w:pPr>
              <w:spacing w:after="0"/>
              <w:rPr>
                <w:sz w:val="20"/>
                <w:szCs w:val="20"/>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Prepaid Expenses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fair values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designated as hedging instruments are recognized in other comprehensive income (loss) as follows (in thousands):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amounts of the loss related to the Company’s derivative financial instruments not designated as hedging instruments are recognized in earnings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w w:val="98"/>
              </w:rPr>
              <w:t>Derivatives not designated as hedging instruments</w:t>
            </w:r>
          </w:p>
        </w:tc>
        <w:tc>
          <w:tcPr>
            <w:tcW w:w="260" w:type="dxa"/>
            <w:vAlign w:val="bottom"/>
          </w:tcPr>
          <w:p>
            <w:pPr>
              <w:spacing w:after="0"/>
              <w:rPr>
                <w:sz w:val="14"/>
                <w:szCs w:val="14"/>
                <w:color w:val="auto"/>
              </w:rPr>
            </w:pPr>
          </w:p>
        </w:tc>
        <w:tc>
          <w:tcPr>
            <w:tcW w:w="3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Location of loss</w:t>
            </w: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Selling, general and administrative expense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I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2019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vMerge w:val="restart"/>
          </w:tcPr>
          <w:p>
            <w:pPr>
              <w:jc w:val="center"/>
              <w:ind w:left="159"/>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left="416"/>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price</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4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1,548,825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Exercises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16.53</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March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1,488,325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exercisable, March 31, 2019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13.91</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1,273,686</w:t>
            </w: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2019. The intrinsic value is calculated for each in-the-money stock option as the difference between the closing price of the Company’s common stock on March 31, 2019 and the exercise price.</w:t>
      </w:r>
    </w:p>
    <w:p>
      <w:pPr>
        <w:spacing w:after="0" w:line="1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Total unrecognized stock option compensation expense at March 31, 2019, before the effect of income taxes, was $0.9 million and is expected to be recognized over a weighted-average period of 1.5 years.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2019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2019</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326,545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118,250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(27,610)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March 31, 2019</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401,621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$3,813,000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restricted stock that vested during the three months ended March 31, 2019 was $0.3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Performance-based awards</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The shares are subject to the terms and conditions of the Company’s Amended and Restated 2000 Long-Term Incentive Plan (the “Plan”).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months ended March 31, 2019 is as follows: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140" w:type="dxa"/>
            <w:vAlign w:val="bottom"/>
            <w:gridSpan w:val="3"/>
            <w:vMerge w:val="restart"/>
          </w:tcPr>
          <w:p>
            <w:pPr>
              <w:jc w:val="center"/>
              <w:ind w:left="634"/>
              <w:spacing w:after="0"/>
              <w:rPr>
                <w:sz w:val="20"/>
                <w:szCs w:val="20"/>
                <w:color w:val="auto"/>
              </w:rPr>
            </w:pPr>
            <w:r>
              <w:rPr>
                <w:rFonts w:ascii="Arial" w:cs="Arial" w:eastAsia="Arial" w:hAnsi="Arial"/>
                <w:sz w:val="14"/>
                <w:szCs w:val="14"/>
                <w:b w:val="1"/>
                <w:bCs w:val="1"/>
                <w:color w:val="auto"/>
                <w:w w:val="95"/>
              </w:rPr>
              <w:t>Performance-</w:t>
            </w:r>
          </w:p>
        </w:tc>
        <w:tc>
          <w:tcPr>
            <w:tcW w:w="2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based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2019</w:t>
            </w:r>
          </w:p>
        </w:tc>
        <w:tc>
          <w:tcPr>
            <w:tcW w:w="1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Vested</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(66,761)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Non-vested performance-based awards, March 31, 2019</w:t>
            </w:r>
          </w:p>
        </w:tc>
        <w:tc>
          <w:tcPr>
            <w:tcW w:w="10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250,009</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2019 was $0.6 million.</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Company recognized total stock compensation expense of $0.9 million for the three months ended March 31, 2019, of which $0.1 million represents stock option compensation expense and $0.8 million represents restricted stock and performance-based compensation expense. The Company recognized total stock compensation expense of $0.8 million for the three months ended March 31, 2018, of which $0.2 million represents stock option compensation expense and $0.6 million represents restricted stock and performance-based compensation expense.</w:t>
      </w:r>
    </w:p>
    <w:p>
      <w:pPr>
        <w:spacing w:after="0" w:line="171"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At March 31, 2019, there were 952,329 shares available for awards that could be granted under the Plan, assuming maximum performance of performance-based awards.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J—LOSS PER COMMON SHARE</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The calculations of basic and diluted loss per common share for the three month periods ended March 31, 2019 and 2018 are as follows:</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center"/>
              <w:ind w:right="34"/>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basic and diluted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(4,867)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(11,598)</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The computation of diluted loss per common share for the three months ended March 31, 2019 and 2018 excludes 1,901,696 shares and 1,885,711 shares, respectively, related to options to purchase shares and other stock awards. These shares were excluded due to their antidilutive effects.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 INCOME TAXES</w:t>
      </w:r>
    </w:p>
    <w:p>
      <w:pPr>
        <w:spacing w:after="0" w:line="12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Income tax benefit of $2.5 million and $3.8 million for the three months ended March 31, 2019 and 2018, respectively, represent taxes on both U.S. and foreign earnings at combined effective income tax benefit rates of 34.1% and 24.6%, respectively. The effective rate for the three months ended March 31, 2019 differs from the federal statutory rate of 21% primarily due to state and local taxes and a benefit related to rate changes, partially offset by non-deductible expenses. The effective tax rate for the three months ended March 31, 2018 reflects the reduced U.S. corporate income tax rate, partially offset by non-deductible expenses.</w:t>
      </w:r>
    </w:p>
    <w:p>
      <w:pPr>
        <w:spacing w:after="0" w:line="188"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York, New Jersey, Illinois, Georgia and the United Kingdom. The Company’s 2015 U.S. Federal income tax return and New York State tax returns for years 2014-2016 remain under audit with no proposed adjustments as of March 31, 2019.</w:t>
      </w:r>
    </w:p>
    <w:p>
      <w:pPr>
        <w:spacing w:after="0" w:line="18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 evaluates its tax positions on a quarterly basis and revises its estimates accordingly. There were no material changes to the Company’s uncertain tax positions, interest, or penalties during the three month period ended March 31, 2019. As of March 31, 2018, the estimated value of the Company’s uncertain tax positions was a gross liability of tax and interest of $3.7 million with an expected resolution of its tax positions of $2.8 million within the following twelve months.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L– BUSINESS SEGMENTS</w:t>
      </w:r>
    </w:p>
    <w:p>
      <w:pPr>
        <w:spacing w:after="0" w:line="121"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Company has two reportable segments, U.S. and International. Prior to October 1, 2018, the U.S. segment was reported as two separate reportable segments, U.S. Wholesale and Retail Direct. The Company changed its reporting structure as of October 1, 2018 to reflect how the Company is managing its operations as well as what the chief operating decision maker reviews to make organizational decisions about resource allocations. Prior period segment information has been recast to reflect the current reportable segment structure of the Company.</w:t>
      </w:r>
    </w:p>
    <w:p>
      <w:pPr>
        <w:spacing w:after="0" w:line="17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Three Months Ended</w:t>
      </w:r>
    </w:p>
    <w:p>
      <w:pPr>
        <w:jc w:val="center"/>
        <w:ind w:left="6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6"/>
          </w:tcPr>
          <w:p>
            <w:pPr>
              <w:jc w:val="right"/>
              <w:ind w:right="393"/>
              <w:spacing w:after="0" w:line="142" w:lineRule="exact"/>
              <w:rPr>
                <w:sz w:val="20"/>
                <w:szCs w:val="20"/>
                <w:color w:val="auto"/>
              </w:rPr>
            </w:pPr>
            <w:r>
              <w:rPr>
                <w:rFonts w:ascii="Arial" w:cs="Arial" w:eastAsia="Arial" w:hAnsi="Arial"/>
                <w:sz w:val="14"/>
                <w:szCs w:val="14"/>
                <w:color w:val="auto"/>
                <w:w w:val="92"/>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U.S.</w:t>
            </w:r>
          </w:p>
        </w:tc>
        <w:tc>
          <w:tcPr>
            <w:tcW w:w="2580" w:type="dxa"/>
            <w:vAlign w:val="bottom"/>
            <w:gridSpan w:val="5"/>
          </w:tcPr>
          <w:p>
            <w:pPr>
              <w:jc w:val="right"/>
              <w:spacing w:after="0"/>
              <w:rPr>
                <w:sz w:val="20"/>
                <w:szCs w:val="20"/>
                <w:color w:val="auto"/>
              </w:rPr>
            </w:pPr>
            <w:r>
              <w:rPr>
                <w:rFonts w:ascii="Arial" w:cs="Arial" w:eastAsia="Arial" w:hAnsi="Arial"/>
                <w:sz w:val="18"/>
                <w:szCs w:val="18"/>
                <w:color w:val="auto"/>
              </w:rPr>
              <w:t>$127,038</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$ 95,907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22,888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22,262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118,169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U.S.</w:t>
            </w:r>
          </w:p>
        </w:tc>
        <w:tc>
          <w:tcPr>
            <w:tcW w:w="2040" w:type="dxa"/>
            <w:vAlign w:val="bottom"/>
            <w:gridSpan w:val="3"/>
          </w:tcPr>
          <w:p>
            <w:pPr>
              <w:ind w:left="18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4,386</w:t>
            </w:r>
          </w:p>
        </w:tc>
        <w:tc>
          <w:tcPr>
            <w:tcW w:w="1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20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(2,287)</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(13,316)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International</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depreciation and amortization</w:t>
            </w:r>
          </w:p>
        </w:tc>
        <w:tc>
          <w:tcPr>
            <w:tcW w:w="20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gridSpan w:val="6"/>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60" w:type="dxa"/>
            <w:vAlign w:val="bottom"/>
            <w:gridSpan w:val="4"/>
          </w:tcPr>
          <w:p>
            <w:pPr>
              <w:ind w:left="188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U.S.</w:t>
            </w:r>
          </w:p>
        </w:tc>
        <w:tc>
          <w:tcPr>
            <w:tcW w:w="2360" w:type="dxa"/>
            <w:vAlign w:val="bottom"/>
            <w:gridSpan w:val="4"/>
          </w:tcPr>
          <w:p>
            <w:pPr>
              <w:jc w:val="right"/>
              <w:spacing w:after="0"/>
              <w:rPr>
                <w:sz w:val="20"/>
                <w:szCs w:val="20"/>
                <w:color w:val="auto"/>
              </w:rPr>
            </w:pPr>
            <w:r>
              <w:rPr>
                <w:rFonts w:ascii="Arial" w:cs="Arial" w:eastAsia="Arial" w:hAnsi="Arial"/>
                <w:sz w:val="18"/>
                <w:szCs w:val="18"/>
                <w:color w:val="auto"/>
              </w:rPr>
              <w:t>$672,658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604,532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Unallocated corporate</w:t>
            </w:r>
          </w:p>
        </w:tc>
        <w:tc>
          <w:tcPr>
            <w:tcW w:w="168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3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780,390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708,572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M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39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 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7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N — OTHER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On March 12, 2019, the Board of Directors declared a quarterly dividend of $0.0425 per share payable on May 15, 2019 to shareholders of record on May 1, 2019. As of March 31, 2019, the Company accrued $0.9 million for the payment of this dividend. On February 15, 2019, the Company paid dividends of $0.9 million to shareholders of record on February 1, 2019.</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13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7"/>
          </w:tcPr>
          <w:p>
            <w:pPr>
              <w:jc w:val="right"/>
              <w:ind w:right="28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$ 4,494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Components of accumulated other comprehensive loss,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188"/>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tcPr>
          <w:p>
            <w:pPr>
              <w:jc w:val="center"/>
              <w:ind w:left="88"/>
              <w:spacing w:after="0" w:line="142" w:lineRule="exact"/>
              <w:rPr>
                <w:sz w:val="20"/>
                <w:szCs w:val="20"/>
                <w:color w:val="auto"/>
              </w:rPr>
            </w:pPr>
            <w:r>
              <w:rPr>
                <w:rFonts w:ascii="Arial" w:cs="Arial" w:eastAsia="Arial" w:hAnsi="Arial"/>
                <w:sz w:val="14"/>
                <w:szCs w:val="14"/>
                <w:color w:val="auto"/>
                <w:w w:val="92"/>
              </w:rPr>
              <w:t>(in thousands)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940" w:type="dxa"/>
            <w:vAlign w:val="bottom"/>
            <w:gridSpan w:val="5"/>
          </w:tcPr>
          <w:p>
            <w:pPr>
              <w:jc w:val="right"/>
              <w:ind w:right="140"/>
              <w:spacing w:after="0"/>
              <w:rPr>
                <w:sz w:val="20"/>
                <w:szCs w:val="20"/>
                <w:color w:val="auto"/>
              </w:rPr>
            </w:pPr>
            <w:r>
              <w:rPr>
                <w:rFonts w:ascii="Arial" w:cs="Arial" w:eastAsia="Arial" w:hAnsi="Arial"/>
                <w:sz w:val="18"/>
                <w:szCs w:val="18"/>
                <w:color w:val="auto"/>
                <w:w w:val="90"/>
              </w:rPr>
              <w:t>$(33,727)</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$(27,821)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during period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3,380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132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(32,421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(24,441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6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Derivative fair value adjustment, net of taxes of $189 and $0 for the three month</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periods ended March 31, 2019 and 2018,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2"/>
          </w:tcPr>
          <w:p>
            <w:pPr>
              <w:ind w:left="132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Arial" w:cs="Arial" w:eastAsia="Arial" w:hAnsi="Arial"/>
                <w:sz w:val="18"/>
                <w:szCs w:val="18"/>
                <w:color w:val="auto"/>
                <w:w w:val="98"/>
              </w:rPr>
              <w:t>Amortization of actuarial losses, net of taxes of $8 and $12 for the three month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periods ended March 31, 2019 and 2018, respectively.</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1320"/>
              <w:spacing w:after="0"/>
              <w:rPr>
                <w:sz w:val="20"/>
                <w:szCs w:val="20"/>
                <w:color w:val="auto"/>
              </w:rPr>
            </w:pPr>
            <w:r>
              <w:rPr>
                <w:rFonts w:ascii="Arial" w:cs="Arial" w:eastAsia="Arial" w:hAnsi="Arial"/>
                <w:sz w:val="18"/>
                <w:szCs w:val="18"/>
                <w:color w:val="auto"/>
              </w:rPr>
              <w:t>Total accumulated other comprehensive loss at end of period</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(32,701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(25,941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5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recorded on the condensed consolidated statement of operations as a component of cost of sales in the three month period ended March 31, 2019 and in interest expense in the three month period ended March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condensed consolidated statements of operations.</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840"/>
          </w:cols>
          <w:pgMar w:left="240" w:top="459" w:right="8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When used in this Quarterly Report on Form</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10-Q, the words “estimates,” “expects,” “anticipates,” “projects,” “plans,” “intends,” “believes,” “may,” “should,” “assumes,” “seeks,”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9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2018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92"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wire organization, and giftware); and one category, Home Solutions, which comprises other products used in the home (thermal beverageware, food storage, neoprene travel products, bath scales, weather instruments, and home décor). In 2018, Kitchenware products and Tableware products accounted for approximately 82% of the Company’s U.S. segment’s net sales and 84% of the Company’s consolidated net sales.</w:t>
      </w:r>
    </w:p>
    <w:p>
      <w:pPr>
        <w:spacing w:after="0" w:line="165"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three months ended March 31, 2018 includes the operations of Filament for the period from March 2, 2018 to March 31, 2018.</w:t>
      </w:r>
    </w:p>
    <w:p>
      <w:pPr>
        <w:spacing w:after="0" w:line="17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xml:space="preserve"> and LaCafetière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Effective October 1, 2018, the Company operates in two reportable segments: U.S. and International. The U.S. segment is the Company’s primary domestic business that designs, markets and distributes its products to retailers and distributors, as well as directly to consumers through third party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net loss, net of taxes, as equity in losses in the Company’s condensed consolidated statements of operations. Pursuant to a Shares Subscription Agreement, the Company may designate four persons to be nominated as members of Vasconia’s Board of Directors. As of March 31, 2019, Vasconia’s Board of Directors is comprised of eleven members of whom the Company has designated three members.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2018 and 2017, net sales for the third and fourth quarters accounted for 62% and 60%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months ended March 31, 2019 and 2018, the Company incurred $0.3 million and $0.4 million of Filament restructuring charges, primarily related to severance, of which $1.3 million is accrued at March 31, 2019.</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During the three months ended March 31, 2019, the Company incurred $0.3 million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$1.2 million of additional restructuring and integration charges in 2019. At March 31, 2019, $0.4 million of restructuring charges related to the European restructuring plan were accrued.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 determines if an arrangement contains a lease at inception. Operating lease right-of-use (“ROU”) assets are included in operating lease right-of-use assets on the condensed consolidated balance sheets. The current and long-term components of operating lease liabilities are included in the current portion of the operating lease liability and operating lease liabilities, respectively, on the condensed consolidated balance sheets. Finance leases were not material to the Company’s condensed consolidated balance sheets.</w:t>
      </w:r>
    </w:p>
    <w:p>
      <w:pPr>
        <w:spacing w:after="0" w:line="187"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upon commencement of the lease based on the present value of the lease payments over the lease term. As most of the Company’s leases do not provide an implicit interest rate, the Company uses its incremental borrowing rate based on the information available at commencement date to determine the present value of lease payments. Lease terms may include options to extend or terminate the lease when it is reasonably certain that the Company will exercise that option. Lease expense for lease payments is recognized on a straight-line basis over the lease term. Leases with a lease term of 12 months or less are not capitalized.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has lease agreements with lease and non-lease components, which are generally accounted for as a single lease component.</w:t>
      </w:r>
    </w:p>
    <w:p>
      <w:pPr>
        <w:spacing w:after="0" w:line="16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statement of operations data of the Company as a percentage of net sales for the periods indicated:</w:t>
      </w:r>
    </w:p>
    <w:p>
      <w:pPr>
        <w:spacing w:after="0" w:line="267"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Three Months Ended</w:t>
      </w:r>
    </w:p>
    <w:p>
      <w:pPr>
        <w:jc w:val="center"/>
        <w:ind w:left="62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Distribution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 and equity in (losses) earnings</w:t>
            </w: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gridSpan w:val="2"/>
            <w:vMerge w:val="continue"/>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Equity in (losses) earnings, net of taxes</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2050"/>
              <w:spacing w:after="0"/>
              <w:rPr>
                <w:sz w:val="20"/>
                <w:szCs w:val="20"/>
                <w:color w:val="auto"/>
              </w:rPr>
            </w:pPr>
            <w:r>
              <w:rPr>
                <w:rFonts w:ascii="Arial" w:cs="Arial" w:eastAsia="Arial" w:hAnsi="Arial"/>
                <w:sz w:val="18"/>
                <w:szCs w:val="18"/>
                <w:color w:val="auto"/>
              </w:rPr>
              <w:t>- 27 -</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17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2019 COMPARED TO THE THREE MONTHS ENDED MARCH 31, 2018</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three months ended March 31, 2019 were $149.9 million, an increase of $31.7 million, or 26.8%, as compared to net sales of</w:t>
      </w:r>
    </w:p>
    <w:p>
      <w:pPr>
        <w:spacing w:after="0" w:line="35" w:lineRule="exact"/>
        <w:rPr>
          <w:sz w:val="20"/>
          <w:szCs w:val="20"/>
          <w:color w:val="auto"/>
        </w:rPr>
      </w:pPr>
    </w:p>
    <w:p>
      <w:pPr>
        <w:ind w:left="200" w:right="480"/>
        <w:spacing w:after="0" w:line="261" w:lineRule="auto"/>
        <w:rPr>
          <w:sz w:val="20"/>
          <w:szCs w:val="20"/>
          <w:color w:val="auto"/>
        </w:rPr>
      </w:pPr>
      <w:r>
        <w:rPr>
          <w:rFonts w:ascii="Arial" w:cs="Arial" w:eastAsia="Arial" w:hAnsi="Arial"/>
          <w:sz w:val="18"/>
          <w:szCs w:val="18"/>
          <w:color w:val="auto"/>
        </w:rPr>
        <w:t>$118.2 million for the corresponding period in 2018. The three months ended March 31, 2018 includes sales of $9.3 million from Filament for the period from March 2, 2018, the date of the acquisition</w:t>
      </w:r>
    </w:p>
    <w:p>
      <w:pPr>
        <w:spacing w:after="0" w:line="18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Net sales for the U.S. segment for the three months ended March 31, 2019 were $127.0 million, an increase of $31.1 million, or 32.4%, as compared to net sales of $95.9 million for the corresponding period in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U.S. segment’s Kitchenware product category were $69.3 million for the three months ended March 31, 2019, an increase of</w:t>
      </w:r>
    </w:p>
    <w:p>
      <w:pPr>
        <w:spacing w:after="0" w:line="35"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$12.1 million, or 21.2%, as compared to $57.2 million for the corresponding period in 2018. The increase was attributable to the inclusion of Filament for a full quarter in 2019 which added $11.3 million. In addition, higher volume in tools and gadget products was partially offset by lower cutlery product volume.</w:t>
      </w:r>
    </w:p>
    <w:p>
      <w:pPr>
        <w:spacing w:after="0" w:line="19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Net sales for the U.S. segment’s Tableware product category were $26.5 million for the three months ended March 31, 2019, an increase of $0.9 million, or 3.5%, as compared to $25.6 million for the corresponding period in 2018. The increase was primarily attributable to sales within the warehouse club channel, partially offset by sales declines in other channels.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U.S. segment’s Home Solutions product category were $31.3 million for the three months ended March 31, 2019, an increase of</w:t>
      </w:r>
    </w:p>
    <w:p>
      <w:pPr>
        <w:spacing w:after="0" w:line="3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$18.2 million, or 138.9%, as compared to $13.1 million for the corresponding period in 2018. The increase was primarily attributable to the inclusion of Filament for a full quarter in 2019 which added $16.9 million. The balance of the increase came from higher volume for both Built and home décor products.</w:t>
      </w:r>
    </w:p>
    <w:p>
      <w:pPr>
        <w:spacing w:after="0" w:line="190"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Net sales for the International segment were $22.9 million for the three months ended March 31, 2019, an increase of $0.6 million, or 2.7%, as compared to net sales of $22.3 million for the corresponding period in 2018. In constant currency, a non-GAAP financial measure, which excludes the impact of foreign exchange fluctuations and was determined by applying 2019 average exchange rates to 2018 local currency amounts, net sales increased approximately 9.9%. The increase, in constant currency, was due to higher volume for kitchenware products which were partially offset by lower tableware products sales. The lower tableware sales reflects the implementation of the plan to de-emphasize low margin private label products.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ind w:left="200" w:right="180"/>
        <w:spacing w:after="0" w:line="277" w:lineRule="auto"/>
        <w:rPr>
          <w:sz w:val="20"/>
          <w:szCs w:val="20"/>
          <w:color w:val="auto"/>
        </w:rPr>
      </w:pPr>
      <w:r>
        <w:rPr>
          <w:rFonts w:ascii="Arial" w:cs="Arial" w:eastAsia="Arial" w:hAnsi="Arial"/>
          <w:sz w:val="18"/>
          <w:szCs w:val="18"/>
          <w:color w:val="auto"/>
        </w:rPr>
        <w:t>Gross margin for the three months ended March 31, 2019 was $54.3 million, or 36.2%, as compared to $45.1 million, or 38.2%, for the corresponding period in 2018.</w:t>
      </w:r>
    </w:p>
    <w:p>
      <w:pPr>
        <w:spacing w:after="0" w:line="170"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Gross margin for the U.S. segment was $46.3 million, or 36.5%, for the three months ended March 31, 2019, as compared to $37.3 million, or 38.9%, for the corresponding period in 2018. The gross margin decrease reflects the impact of a number of factors, primarily product mix, customer mix and promotional activities.</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Gross margin for the International segment was $8.0 million, or 34.9%, for the three months ended March 31, 2019, as compared to $7.7 million, or 34.8%, for the corresponding period in 2018. The benefit of the de-emphasis on low margin private label tableware products was offset by higher sales allowances for kitchenware products.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Distribution expenses for the three months ended March 31, 2019 were $15.9 million, as compared to $17.8 million for the corresponding period in 2018. Distribution expenses as a percentage of net sales were 10.6% for the three months ended March 31, 2019, as compared to 15.1% for the three months ended March 31,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Distribution expenses as a percentage of net sales for the U.S. segment was approximately 10.4% and 15.6% for the three months ended March 31, 2019 and 2018, respectively. The 2019 period reflects $0.2 million of moving expenses to vacate a third-party managed distribution facility used by Filament. The 2018 period includes $2.4 million of expenses related to the relocation to a new west coast company-operated distribution facility. Excluding these one-time costs, distribution expenses as a percentage of net sales would have been 10.2% and 13.1% in the 2019 and 2018 periods, respectively. As a percentage of sales shipped from the Company’s warehouses, distribution expenses, excluding the moving and relocation costs for the U.S. segment, were 12.3% and 14.2% for the three months ended March 31, 2019 and 2018, respectively. The 2019 quarter improvement was due to higher sales volume, synergy savings from the Filament acquisition, and efficiencies from labor reduction initiatives.</w:t>
      </w:r>
    </w:p>
    <w:p>
      <w:pPr>
        <w:spacing w:after="0" w:line="16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Distribution expenses as a percentage of net sales for the International segment were approximately 11.6% and 12.6% for the three months ended March 31, 2019 and 2018, respectively. Distribution expenses as a percentage of sales shipped from the Company’s U.K. warehouses were 13.1% and 15.2% for the three months ended March 31, 2019 and 2018, respectively. The improvement in distribution expenses as a percentage of net sales reflects higher sales volume and fewer prepaid freight shipments. In addition, the 2018 quarter reflects expenses related to storing higher inventory levels.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2019 were $40.1 million, a decrease of $0.1 million, or 0.2%, as compared to $40.2 million for the corresponding period in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Selling, general and administrative expenses for the U.S. segment were $28.4 million for the three months ended March 31, 2019, as compared to</w:t>
      </w:r>
    </w:p>
    <w:p>
      <w:pPr>
        <w:spacing w:after="0" w:line="35" w:lineRule="exact"/>
        <w:rPr>
          <w:sz w:val="20"/>
          <w:szCs w:val="20"/>
          <w:color w:val="auto"/>
        </w:rPr>
      </w:pPr>
    </w:p>
    <w:p>
      <w:pPr>
        <w:ind w:left="200" w:right="180"/>
        <w:spacing w:after="0" w:line="277" w:lineRule="auto"/>
        <w:rPr>
          <w:sz w:val="20"/>
          <w:szCs w:val="20"/>
          <w:color w:val="auto"/>
        </w:rPr>
      </w:pPr>
      <w:r>
        <w:rPr>
          <w:rFonts w:ascii="Arial" w:cs="Arial" w:eastAsia="Arial" w:hAnsi="Arial"/>
          <w:sz w:val="17"/>
          <w:szCs w:val="17"/>
          <w:color w:val="auto"/>
        </w:rPr>
        <w:t>$27.5 million for the three months ended March 31, 2018. As a percentage of net sales, selling, general and administrative expenses were 22.4% and 28.7% for the three months ended March 31, 2019 and 2018, respectively. The 2019 period reflects the synergy savings from the Filament acquisition. The 2018 quarter includes Filament expenses for only the period beginning March 2, 2018, the date of acquisition.</w:t>
      </w:r>
    </w:p>
    <w:p>
      <w:pPr>
        <w:spacing w:after="0" w:line="17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Selling, general and administrative expenses for the three months ended March 31, 2019 for the International segment were $6.1 million, a decrease of $2.0 million, from $8.1 million for the corresponding period in 2018. The 2019 period includes $0.3 million related to the reorganization of International operations. The 2018 quarter includes $1.8 million of losses related to foreign currency activities, of which $0.4 million related to unrealized mark to market losses.</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Unallocated corporate expenses for the three months ended March 31, 2019 were $5.6 million, as compared to $4.6 million for the corresponding period in 2018. The increase reflects the full quarter impact of the Filament acquisition and an increase in legal fees, partially offset by lower acquisition related expenses.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Interest expense for the three months ended March 31, 2019 was $4.9 million, an increase of $2.8 million, from $2.1 million for the three months ended March 31, 2018. The increase in expense was attributable to financing obtained in connection with the acquisition of Filament.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In connection with the financing obtained for the acquisition of Filament, the Company wrote-off $66,000 of the debt issuance costs during the three months ended March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Income tax benefit for the three months ended March 31, 2019 was $2.5 million as compared to $3.8 million for the corresponding period in 2018. The Company’s effective tax rate for the three months ended March 31, 2019 was 34.1% as compared to 24.6% for the corresponding 2018 period. The effective tax rate for the three months ended March 31, 2019 differs from the federal statutory rate of 21% primarily due to state and local taxes and a benefit related to rate changes, partially offset by non-deductible expenses. The effective tax rate for the three months ended March 31, 2018 reflects the reduced statutory U.S. corporate income tax rate, partially offset by non-deductible expenses.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Equity in losses of Vasconia, net of taxes, was $116,000 for the three months ended March 31, 2019, as compared to equity in earnings of Vasconia, net of taxes, of $77,000 for the three months ended March 31, 2018. Equity in earnings for the three months ended March 31, 2018 includes a deferred tax benefit of $0.2 million. The deferred tax benefit in 2018 is due to the requirement to record tax benefits for foreign currency translation gains through other comprehensive income (loss), with a corresponding adjustment to deferred tax liabilities. Vasconia reported income from operations of</w:t>
      </w:r>
    </w:p>
    <w:p>
      <w:pPr>
        <w:spacing w:after="0" w:line="2"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$1.9 million for the three months ended March 31, 2019, as compared to $1.1 million for the three months ended March 31, 2018. The increase in income from operations is primarily driven by the kitchenware division.</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At March 31, 2019, the Company had cash and cash equivalents of $6.1 million, compared to $7.6 million at December 31, 2018. Working capital was $199.4 million at March 31, 2019, compared to $233.9 million at December 31, 2018. Liquidity, which includes cash and cash equivalents and availability under the ABL Agreement was $115.8 million at March 31, 2019.</w:t>
      </w:r>
    </w:p>
    <w:p>
      <w:pPr>
        <w:spacing w:after="0" w:line="18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2019 inventory turnover was 2.1 times, or 172 days, as compared to 1.9 times, or 193 days, for the three months ended March 31, 2018. An increase in the Company’s consolidated inventory, due to the acquisition of Filament, more than offset a decline in inventory due to the Company’s SKU rationalization and inventory management.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principal amount of $275.0 million, which will mature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Based upon its current estimate of Excess Cash Flow, as defined, to be generated in calendar year 2019, the Company expects to prepay approximately $9.5 million of principal in the first quarter of 2020. Accordingly, this estimated amount is recorded in the current maturity of term loan on the condensed consolidated balance sheets.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At March 31, 2019, borrowings outstanding under the ABL Agreement were $26.5 million and open letters of credit were $3.2 million. At March 31, 2019, availability under the ABL Agreement was approximately $109.7 million. The borrowing capacity under the ABL Agreement depends, in part, on eligible levels of certain current assets comprising the borrowing base and the Company’s ability to meet and maintain a financial ratio, if and when applicable.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6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As of March 31, 2019, $272.3 million was outstanding under the Term Loan. At March 31, 2019, unamortized debt issuance costs of $1.5 million and $7.1 million offset the short-term and long-term outstanding balances, respectively, of the Term Loan.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March 31, 2019 ranged from 2.4% to 6.25%. In addition, the Company paid a commitment fee of 0.375% on the unused portion of the ABL Agreement during the three months ended March 31, 2019.</w:t>
      </w:r>
    </w:p>
    <w:p>
      <w:pPr>
        <w:spacing w:after="0" w:line="193"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March 31, 2019 was 6.0%.</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March 31, 2019.</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December 31, 2018</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Three months ended June 30, 2018</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Projected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for the four quarters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 expenditures for the three months ended March 31, 2019 were $1.4 million.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Non-GAAP financial measure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816"/>
        <w:spacing w:after="0"/>
        <w:rPr>
          <w:sz w:val="20"/>
          <w:szCs w:val="20"/>
          <w:color w:val="auto"/>
        </w:rPr>
      </w:pPr>
      <w:r>
        <w:rPr>
          <w:rFonts w:ascii="Arial" w:cs="Arial" w:eastAsia="Arial" w:hAnsi="Arial"/>
          <w:sz w:val="13"/>
          <w:szCs w:val="13"/>
          <w:b w:val="1"/>
          <w:bCs w:val="1"/>
          <w:color w:val="auto"/>
        </w:rPr>
        <w:t>Consolidated adjusted</w:t>
      </w:r>
    </w:p>
    <w:p>
      <w:pPr>
        <w:spacing w:after="0" w:line="3" w:lineRule="exact"/>
        <w:rPr>
          <w:sz w:val="20"/>
          <w:szCs w:val="20"/>
          <w:color w:val="auto"/>
        </w:rPr>
      </w:pPr>
    </w:p>
    <w:p>
      <w:pPr>
        <w:jc w:val="center"/>
        <w:ind w:right="1816"/>
        <w:spacing w:after="0"/>
        <w:rPr>
          <w:sz w:val="20"/>
          <w:szCs w:val="20"/>
          <w:color w:val="auto"/>
        </w:rPr>
      </w:pPr>
      <w:r>
        <w:rPr>
          <w:rFonts w:ascii="Arial" w:cs="Arial" w:eastAsia="Arial" w:hAnsi="Arial"/>
          <w:sz w:val="14"/>
          <w:szCs w:val="14"/>
          <w:b w:val="1"/>
          <w:bCs w:val="1"/>
          <w:color w:val="auto"/>
        </w:rPr>
        <w:t>EBITDA for the Four</w:t>
      </w:r>
    </w:p>
    <w:p>
      <w:pPr>
        <w:jc w:val="center"/>
        <w:ind w:right="1816"/>
        <w:spacing w:after="0"/>
        <w:rPr>
          <w:sz w:val="20"/>
          <w:szCs w:val="20"/>
          <w:color w:val="auto"/>
        </w:rPr>
      </w:pPr>
      <w:r>
        <w:rPr>
          <w:rFonts w:ascii="Arial" w:cs="Arial" w:eastAsia="Arial" w:hAnsi="Arial"/>
          <w:sz w:val="13"/>
          <w:szCs w:val="13"/>
          <w:b w:val="1"/>
          <w:bCs w:val="1"/>
          <w:color w:val="auto"/>
        </w:rPr>
        <w:t>Quarters Ended March</w:t>
      </w:r>
    </w:p>
    <w:p>
      <w:pPr>
        <w:jc w:val="center"/>
        <w:ind w:right="1816"/>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917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jc w:val="center"/>
        <w:ind w:right="1816"/>
        <w:spacing w:after="0" w:line="235" w:lineRule="auto"/>
        <w:rPr>
          <w:sz w:val="20"/>
          <w:szCs w:val="20"/>
          <w:color w:val="auto"/>
        </w:rPr>
      </w:pPr>
      <w:r>
        <w:rPr>
          <w:rFonts w:ascii="Arial" w:cs="Arial" w:eastAsia="Arial" w:hAnsi="Arial"/>
          <w:sz w:val="14"/>
          <w:szCs w:val="14"/>
          <w:color w:val="auto"/>
        </w:rPr>
        <w:t>(in thousands)</w:t>
      </w:r>
    </w:p>
    <w:p>
      <w:pPr>
        <w:ind w:left="1044" w:hanging="1044"/>
        <w:spacing w:after="0"/>
        <w:tabs>
          <w:tab w:leader="none" w:pos="1044" w:val="left"/>
        </w:tabs>
        <w:numPr>
          <w:ilvl w:val="0"/>
          <w:numId w:val="8"/>
        </w:numPr>
        <w:rPr>
          <w:rFonts w:ascii="Arial" w:cs="Arial" w:eastAsia="Arial" w:hAnsi="Arial"/>
          <w:sz w:val="15"/>
          <w:szCs w:val="15"/>
          <w:color w:val="auto"/>
        </w:rPr>
      </w:pPr>
      <w:r>
        <w:rPr>
          <w:rFonts w:ascii="Arial" w:cs="Arial" w:eastAsia="Arial" w:hAnsi="Arial"/>
          <w:sz w:val="15"/>
          <w:szCs w:val="15"/>
          <w:color w:val="auto"/>
        </w:rPr>
        <w:t>6,127</w:t>
      </w:r>
    </w:p>
    <w:p>
      <w:pPr>
        <w:spacing w:after="0" w:line="41" w:lineRule="exact"/>
        <w:rPr>
          <w:rFonts w:ascii="Arial" w:cs="Arial" w:eastAsia="Arial" w:hAnsi="Arial"/>
          <w:sz w:val="15"/>
          <w:szCs w:val="15"/>
          <w:color w:val="auto"/>
        </w:rPr>
      </w:pPr>
    </w:p>
    <w:p>
      <w:pPr>
        <w:ind w:left="944"/>
        <w:spacing w:after="0"/>
        <w:rPr>
          <w:rFonts w:ascii="Arial" w:cs="Arial" w:eastAsia="Arial" w:hAnsi="Arial"/>
          <w:sz w:val="15"/>
          <w:szCs w:val="15"/>
          <w:color w:val="auto"/>
        </w:rPr>
      </w:pPr>
      <w:r>
        <w:rPr>
          <w:rFonts w:ascii="Arial" w:cs="Arial" w:eastAsia="Arial" w:hAnsi="Arial"/>
          <w:sz w:val="16"/>
          <w:szCs w:val="16"/>
          <w:color w:val="auto"/>
        </w:rPr>
        <w:t>30,876</w:t>
      </w:r>
    </w:p>
    <w:p>
      <w:pPr>
        <w:spacing w:after="0" w:line="32" w:lineRule="exact"/>
        <w:rPr>
          <w:rFonts w:ascii="Arial" w:cs="Arial" w:eastAsia="Arial" w:hAnsi="Arial"/>
          <w:sz w:val="15"/>
          <w:szCs w:val="15"/>
          <w:color w:val="auto"/>
        </w:rPr>
      </w:pPr>
    </w:p>
    <w:p>
      <w:pPr>
        <w:ind w:left="944"/>
        <w:spacing w:after="0"/>
        <w:rPr>
          <w:rFonts w:ascii="Arial" w:cs="Arial" w:eastAsia="Arial" w:hAnsi="Arial"/>
          <w:sz w:val="15"/>
          <w:szCs w:val="15"/>
          <w:color w:val="auto"/>
        </w:rPr>
      </w:pPr>
      <w:r>
        <w:rPr>
          <w:rFonts w:ascii="Arial" w:cs="Arial" w:eastAsia="Arial" w:hAnsi="Arial"/>
          <w:sz w:val="16"/>
          <w:szCs w:val="16"/>
          <w:color w:val="auto"/>
        </w:rPr>
        <w:t>22,722</w:t>
      </w:r>
    </w:p>
    <w:p>
      <w:pPr>
        <w:spacing w:after="0" w:line="32" w:lineRule="exact"/>
        <w:rPr>
          <w:rFonts w:ascii="Arial" w:cs="Arial" w:eastAsia="Arial" w:hAnsi="Arial"/>
          <w:sz w:val="15"/>
          <w:szCs w:val="15"/>
          <w:color w:val="auto"/>
        </w:rPr>
      </w:pPr>
    </w:p>
    <w:p>
      <w:pPr>
        <w:ind w:left="1044"/>
        <w:spacing w:after="0"/>
        <w:rPr>
          <w:rFonts w:ascii="Arial" w:cs="Arial" w:eastAsia="Arial" w:hAnsi="Arial"/>
          <w:sz w:val="15"/>
          <w:szCs w:val="15"/>
          <w:color w:val="auto"/>
        </w:rPr>
      </w:pPr>
      <w:r>
        <w:rPr>
          <w:rFonts w:ascii="Arial" w:cs="Arial" w:eastAsia="Arial" w:hAnsi="Arial"/>
          <w:sz w:val="15"/>
          <w:szCs w:val="15"/>
          <w:color w:val="auto"/>
        </w:rPr>
        <w:t>3,910</w:t>
      </w:r>
    </w:p>
    <w:p>
      <w:pPr>
        <w:spacing w:after="0" w:line="43" w:lineRule="exact"/>
        <w:rPr>
          <w:rFonts w:ascii="Arial" w:cs="Arial" w:eastAsia="Arial" w:hAnsi="Arial"/>
          <w:sz w:val="15"/>
          <w:szCs w:val="15"/>
          <w:color w:val="auto"/>
        </w:rPr>
      </w:pPr>
    </w:p>
    <w:p>
      <w:pPr>
        <w:ind w:left="1044"/>
        <w:spacing w:after="0"/>
        <w:rPr>
          <w:rFonts w:ascii="Arial" w:cs="Arial" w:eastAsia="Arial" w:hAnsi="Arial"/>
          <w:sz w:val="15"/>
          <w:szCs w:val="15"/>
          <w:color w:val="auto"/>
        </w:rPr>
      </w:pPr>
      <w:r>
        <w:rPr>
          <w:rFonts w:ascii="Arial" w:cs="Arial" w:eastAsia="Arial" w:hAnsi="Arial"/>
          <w:sz w:val="15"/>
          <w:szCs w:val="15"/>
          <w:color w:val="auto"/>
        </w:rPr>
        <w:t>6,063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917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6" w:lineRule="exact"/>
        <w:rPr>
          <w:sz w:val="20"/>
          <w:szCs w:val="20"/>
          <w:color w:val="auto"/>
        </w:rPr>
      </w:pPr>
    </w:p>
    <w:p>
      <w:pPr>
        <w:ind w:left="944" w:hanging="944"/>
        <w:spacing w:after="0"/>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69,698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7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17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166" w:lineRule="exact"/>
        <w:rPr>
          <w:sz w:val="20"/>
          <w:szCs w:val="20"/>
          <w:color w:val="auto"/>
        </w:rPr>
      </w:pPr>
    </w:p>
    <w:p>
      <w:pPr>
        <w:sectPr>
          <w:pgSz w:w="11900" w:h="16838" w:orient="portrait"/>
          <w:cols w:equalWidth="0" w:num="2">
            <w:col w:w="7236" w:space="720"/>
            <w:col w:w="3264"/>
          </w:cols>
          <w:pgMar w:left="240" w:top="459" w:right="439" w:bottom="1440" w:gutter="0" w:footer="0" w:header="0"/>
          <w:type w:val="continuous"/>
        </w:sectPr>
      </w:pPr>
    </w:p>
    <w:p>
      <w:pPr>
        <w:ind w:left="200" w:right="80"/>
        <w:spacing w:after="0" w:line="273" w:lineRule="auto"/>
        <w:rPr>
          <w:sz w:val="20"/>
          <w:szCs w:val="20"/>
          <w:color w:val="auto"/>
        </w:rPr>
      </w:pPr>
      <w:r>
        <w:rPr>
          <w:rFonts w:ascii="Arial" w:cs="Arial" w:eastAsia="Arial" w:hAnsi="Arial"/>
          <w:sz w:val="17"/>
          <w:szCs w:val="17"/>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and management believes that exclusion of certain items allows for more accurate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7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22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is a reconciliation of the net income (loss), as reported, to consolidated adjusted EBITDA, for the four quarters ended March 31, 2019:</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124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September 30,</w:t>
            </w:r>
          </w:p>
        </w:tc>
        <w:tc>
          <w:tcPr>
            <w:tcW w:w="120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w w:val="96"/>
              </w:rPr>
              <w:t>(in thousands)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$(6,057)</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(earnings) losses, net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Add back:</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provision (benefit)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Contingent consideration fair value adjustment</w:t>
            </w:r>
          </w:p>
        </w:tc>
        <w:tc>
          <w:tcPr>
            <w:tcW w:w="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on foreign currency contracts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15"/>
                <w:szCs w:val="15"/>
                <w:color w:val="auto"/>
              </w:rPr>
              <w:t>(1)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Acquisition related expenses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Restructuring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Integration charges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Warehouse relocation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Projected synergies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adjusted EBITDA</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$ 3,910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240" w:hanging="436"/>
        <w:spacing w:after="0" w:line="274"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permitted non-cash charges include non-cash purchase accounting adjustments to step-up the fair value of acquired inventory, a permitted exclusion from the Company’s consolidated adjusted EBITDA, pursuant to the Company’s Debt Agreements.</w:t>
      </w:r>
    </w:p>
    <w:p>
      <w:pPr>
        <w:ind w:left="640" w:right="120" w:hanging="436"/>
        <w:spacing w:after="0" w:line="273"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Projected synergies represents the amount of projected cost savings, operating expense reductions, restructuring charges and expenses and cost saving synergies projected by the Company as a result of actions taken through March 31, 2019 or expected to be taken as of March 31, 2019, net of the benefits realized during the twelve months ended March 31, 2019. Projected synergies is a permitted exclusion from the Company’s consolidated adjusted EBITDA, subject to limitations, pursuant to the Company’s Debt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Bank USA, National Association (“HSBC”), as Purchaser (the “Receivables Purchase Agreement”). Under the Receivables Purchase Agreement,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may offer to sell certain eligible accounts receivable (the “Receivables”) to HSBC, which may accept such offer, and purchase the offered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Receivables. Under the Receivables Purchase Agreement, following each purchase of Receivables, the outstanding aggregate purchased Receivables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shall not exceed $25.0 million. HSBC will assume the credit risk of the Receivables purchased; and the Company will continue to be responsible for 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non-credit risk matters. The Company will service the Receivables, and as such servicer, collect and otherwise enforce the Receivables on behalf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HSBC. The term of the agreement is for 364 days and shall automatically be extended for annual successive terms unless terminated. Either party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terminate the agreement at any time upon sixty days’ prior written notice to the other party. Pursuant to this agreement, the Company sold to HSBC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$25.1 million and $19.6 million of Receivables during the three months ended March 31, 2019 and 2018, respectively. A charge of $147,500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$90,000 related to the sale of the Receivables is included in selling, general and administrative expenses in the condensed consolidated statements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operations for the three months ended March 31, 2019 and 2018, respectively.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value of $119.0 million at March 31,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Company has also entered into certain foreign exchange contracts, to primarily offset the earnings impact related to fluctuations in foreign currency exchange rates associated with sales and inventory purchases denominated in foreign currencies. Beginning on January 29, 2019 these foreign exchange contracts have been designated as hedges as required in order to apply hedge accounting, and accordingly, the changes in the fair value of these contracts are recorded in accumulated other comprehensive loss in the condensed consolidated statement of stockholders equity. Prior to January 29, 2019 these foreign exchange contracts were not designated as hedges as required in order to apply hedge accounting. The changes in the fair value of these contracts are recorded in the condensed consolidated statement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left="200" w:right="840"/>
        <w:spacing w:after="0" w:line="308" w:lineRule="auto"/>
        <w:rPr>
          <w:sz w:val="20"/>
          <w:szCs w:val="20"/>
          <w:color w:val="auto"/>
        </w:rPr>
      </w:pPr>
      <w:r>
        <w:rPr>
          <w:rFonts w:ascii="Arial" w:cs="Arial" w:eastAsia="Arial" w:hAnsi="Arial"/>
          <w:sz w:val="17"/>
          <w:szCs w:val="17"/>
          <w:color w:val="auto"/>
        </w:rPr>
        <w:t>Net cash provided by operating activities was $17.5 million for the three months ended March 31, 2019, as compared to $12.5 million for the corresponding 2018 period. The change in operating cash flow was primarily due to additional cash generated from Filament.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Net cash used in investing activities was $1.4 million and $220.3 million for the three months ended March 31, 2019 and 2018, respectively. The 2018 investing activity includes the cash consideration paid for the acquisition of Filament and capital expenditures related to the Company’s relocation of its west coast distribution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Net cash used in financing activities was $17.6 million for the three months ended March 31, 2019, as compared to net cash provided by financing activities of $212.0 million for the corresponding 2018 period. The change in financing activities was attributable to the repayment of the Company’s former revolving credit facility and borrowings under the Debt Agreements, the proceeds of which were principally used to the finance the acquisition of Filament.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Company’s Annual Report on Form 10-K for the year ended December 31, 2018.</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2019,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Changes in Internal Controls</w:t>
      </w:r>
    </w:p>
    <w:p>
      <w:pPr>
        <w:spacing w:after="0" w:line="121"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The Company implemented the new lease standard under ASC 842 as of January 1, 2019. In connection with these changes, the Company implemented certain modifications to internal controls over financial reporting, including the documentation of the policy regarding the new accounting for leases, implementation of processes to address various judgments and assessments necessary during the life of a lease, as well as implementing new controls to capture the expanded disclosures required under ASC 842.</w:t>
      </w:r>
    </w:p>
    <w:p>
      <w:pPr>
        <w:spacing w:after="0" w:line="79"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Except as described above, there have been no other changes in the Company’s internal controls over financial reporting during the three months ended March 31, 2019 that have materially affected, or are reasonably likely to materially affect, the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have been no material changes in the Company’s risk factors from those disclosed in the Company’s 2018 Annual Report on Form 10-K.</w:t>
      </w: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3580" w:type="dxa"/>
            <w:vAlign w:val="bottom"/>
          </w:tcPr>
          <w:p>
            <w:pPr>
              <w:spacing w:after="0"/>
              <w:rPr>
                <w:sz w:val="20"/>
                <w:szCs w:val="20"/>
                <w:color w:val="auto"/>
              </w:rPr>
            </w:pPr>
            <w:r>
              <w:rPr>
                <w:rFonts w:ascii="Arial" w:cs="Arial" w:eastAsia="Arial" w:hAnsi="Arial"/>
                <w:sz w:val="18"/>
                <w:szCs w:val="18"/>
                <w:b w:val="1"/>
                <w:bCs w:val="1"/>
                <w:color w:val="auto"/>
              </w:rPr>
              <w:t>Unregistered Sales of Equity Securities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3"/>
          </w:tcPr>
          <w:p>
            <w:pPr>
              <w:spacing w:after="0"/>
              <w:rPr>
                <w:sz w:val="20"/>
                <w:szCs w:val="20"/>
                <w:color w:val="auto"/>
              </w:rPr>
            </w:pPr>
            <w:r>
              <w:rPr>
                <w:rFonts w:ascii="Arial" w:cs="Arial" w:eastAsia="Arial" w:hAnsi="Arial"/>
                <w:sz w:val="18"/>
                <w:szCs w:val="18"/>
                <w:color w:val="auto"/>
              </w:rPr>
              <w:t>Issuer Purchases of Equity Securities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w:t>
            </w:r>
          </w:p>
        </w:tc>
        <w:tc>
          <w:tcPr>
            <w:tcW w:w="60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6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60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as part of</w:t>
            </w:r>
          </w:p>
        </w:tc>
        <w:tc>
          <w:tcPr>
            <w:tcW w:w="168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gridSpan w:val="2"/>
            <w:vMerge w:val="restart"/>
          </w:tcPr>
          <w:p>
            <w:pPr>
              <w:jc w:val="center"/>
              <w:ind w:left="528"/>
              <w:spacing w:after="0"/>
              <w:rPr>
                <w:sz w:val="20"/>
                <w:szCs w:val="20"/>
                <w:color w:val="auto"/>
              </w:rPr>
            </w:pPr>
            <w:r>
              <w:rPr>
                <w:rFonts w:ascii="Arial" w:cs="Arial" w:eastAsia="Arial" w:hAnsi="Arial"/>
                <w:sz w:val="14"/>
                <w:szCs w:val="14"/>
                <w:b w:val="1"/>
                <w:bCs w:val="1"/>
                <w:color w:val="auto"/>
                <w:w w:val="92"/>
              </w:rPr>
              <w:t>Total number of</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w:t>
            </w:r>
          </w:p>
        </w:tc>
        <w:tc>
          <w:tcPr>
            <w:tcW w:w="6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price</w:t>
            </w: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w w:val="96"/>
              </w:rPr>
              <w:t>Period</w:t>
            </w:r>
          </w:p>
        </w:tc>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5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or</w:t>
            </w:r>
          </w:p>
        </w:tc>
        <w:tc>
          <w:tcPr>
            <w:tcW w:w="6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58"/>
        </w:trPr>
        <w:tc>
          <w:tcPr>
            <w:tcW w:w="880" w:type="dxa"/>
            <w:vAlign w:val="bottom"/>
            <w:gridSpan w:val="2"/>
            <w:vMerge w:val="continue"/>
          </w:tcPr>
          <w:p>
            <w:pPr>
              <w:spacing w:after="0"/>
              <w:rPr>
                <w:sz w:val="13"/>
                <w:szCs w:val="13"/>
                <w:color w:val="auto"/>
              </w:rPr>
            </w:pPr>
          </w:p>
        </w:tc>
        <w:tc>
          <w:tcPr>
            <w:tcW w:w="3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1480" w:type="dxa"/>
            <w:vAlign w:val="bottom"/>
            <w:gridSpan w:val="3"/>
          </w:tcPr>
          <w:p>
            <w:pPr>
              <w:ind w:left="58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1340" w:type="dxa"/>
            <w:vAlign w:val="bottom"/>
            <w:gridSpan w:val="2"/>
          </w:tcPr>
          <w:p>
            <w:pPr>
              <w:jc w:val="center"/>
              <w:ind w:left="488"/>
              <w:spacing w:after="0" w:line="158" w:lineRule="exact"/>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12"/>
                <w:szCs w:val="12"/>
                <w:b w:val="1"/>
                <w:bCs w:val="1"/>
                <w:color w:val="auto"/>
                <w:w w:val="93"/>
              </w:rPr>
              <w:t>(2)</w:t>
            </w:r>
          </w:p>
        </w:tc>
        <w:tc>
          <w:tcPr>
            <w:tcW w:w="60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 xml:space="preserve">end of period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 March 31, 2019</w:t>
            </w: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31,073</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9.22</w:t>
            </w: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   6,771,467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40" w:right="140" w:hanging="436"/>
        <w:spacing w:after="0" w:line="30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5" w:lineRule="exact"/>
        <w:rPr>
          <w:rFonts w:ascii="Arial" w:cs="Arial" w:eastAsia="Arial" w:hAnsi="Arial"/>
          <w:sz w:val="16"/>
          <w:szCs w:val="16"/>
          <w:color w:val="auto"/>
        </w:rPr>
      </w:pPr>
    </w:p>
    <w:p>
      <w:pPr>
        <w:ind w:left="640" w:hanging="436"/>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March 31, 2019.</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860" w:type="dxa"/>
            <w:vAlign w:val="bottom"/>
            <w:gridSpan w:val="6"/>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6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20" w:type="dxa"/>
            <w:vAlign w:val="bottom"/>
          </w:tcPr>
          <w:p>
            <w:pPr>
              <w:ind w:left="100"/>
              <w:spacing w:after="0"/>
              <w:rPr>
                <w:sz w:val="20"/>
                <w:szCs w:val="20"/>
                <w:color w:val="auto"/>
              </w:rPr>
            </w:pPr>
            <w:r>
              <w:rPr>
                <w:rFonts w:ascii="Arial" w:cs="Arial" w:eastAsia="Arial" w:hAnsi="Arial"/>
                <w:sz w:val="18"/>
                <w:szCs w:val="18"/>
                <w:color w:val="auto"/>
              </w:rPr>
              <w:t>31.1</w:t>
            </w:r>
          </w:p>
        </w:tc>
        <w:tc>
          <w:tcPr>
            <w:tcW w:w="9860" w:type="dxa"/>
            <w:vAlign w:val="bottom"/>
            <w:gridSpan w:val="6"/>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by Robert B. Kay, Chief Executive Officer and Director, pursuant to Rule 13a-14(a) or Rule 15d-14(a) of the Securities and</w:t>
              </w:r>
            </w:hyperlink>
          </w:p>
        </w:tc>
      </w:tr>
      <w:tr>
        <w:trPr>
          <w:trHeight w:val="196"/>
        </w:trPr>
        <w:tc>
          <w:tcPr>
            <w:tcW w:w="1120" w:type="dxa"/>
            <w:vAlign w:val="bottom"/>
          </w:tcPr>
          <w:p>
            <w:pPr>
              <w:spacing w:after="0"/>
              <w:rPr>
                <w:sz w:val="17"/>
                <w:szCs w:val="17"/>
                <w:color w:val="auto"/>
              </w:rPr>
            </w:pPr>
          </w:p>
        </w:tc>
        <w:tc>
          <w:tcPr>
            <w:tcW w:w="9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ind w:left="100"/>
              <w:spacing w:after="0"/>
              <w:rPr>
                <w:sz w:val="20"/>
                <w:szCs w:val="20"/>
                <w:color w:val="auto"/>
              </w:rPr>
            </w:pPr>
            <w:r>
              <w:rPr>
                <w:rFonts w:ascii="Arial" w:cs="Arial" w:eastAsia="Arial" w:hAnsi="Arial"/>
                <w:sz w:val="18"/>
                <w:szCs w:val="18"/>
                <w:color w:val="auto"/>
              </w:rPr>
              <w:t>31.2</w:t>
            </w:r>
          </w:p>
        </w:tc>
        <w:tc>
          <w:tcPr>
            <w:tcW w:w="9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Certification by Laurence Winoker, Senior Vice President – Finance, Treasurer and Chief Financial Officer, pursuant to Rule 13a-14(a)</w:t>
              </w:r>
            </w:hyperlink>
          </w:p>
        </w:tc>
        <w:tc>
          <w:tcPr>
            <w:tcW w:w="14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or Rule 15d-14(a) of the Securities and Exchange Act of 1934, as adopted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96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ind w:left="100"/>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by Robert B. Kay, Chief Executive Officer and Director, and Laurence Winoker, Senior Vice President – Finance, Treasurer</w:t>
              </w:r>
            </w:hyperlink>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and Chief Financial Officer, pursuant to 18 U.S.C. Section 1350, as adopted pursuant to Section 906 of the Sarbanes-Oxley Act of 2002</w:t>
              </w:r>
            </w:hyperlink>
          </w:p>
        </w:tc>
        <w:tc>
          <w:tcPr>
            <w:tcW w:w="40" w:type="dxa"/>
            <w:vAlign w:val="bottom"/>
            <w:gridSpan w:val="2"/>
          </w:tcPr>
          <w:p>
            <w:pPr>
              <w:spacing w:after="0"/>
              <w:rPr>
                <w:sz w:val="17"/>
                <w:szCs w:val="17"/>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120" w:type="dxa"/>
            <w:vAlign w:val="bottom"/>
          </w:tcPr>
          <w:p>
            <w:pPr>
              <w:spacing w:after="0"/>
              <w:rPr>
                <w:sz w:val="24"/>
                <w:szCs w:val="24"/>
                <w:color w:val="auto"/>
              </w:rPr>
            </w:pPr>
          </w:p>
        </w:tc>
        <w:tc>
          <w:tcPr>
            <w:tcW w:w="6760" w:type="dxa"/>
            <w:vAlign w:val="bottom"/>
          </w:tcPr>
          <w:p>
            <w:pPr>
              <w:ind w:left="4200"/>
              <w:spacing w:after="0"/>
              <w:rPr>
                <w:sz w:val="20"/>
                <w:szCs w:val="20"/>
                <w:color w:val="auto"/>
              </w:rPr>
            </w:pPr>
            <w:r>
              <w:rPr>
                <w:rFonts w:ascii="Arial" w:cs="Arial" w:eastAsia="Arial" w:hAnsi="Arial"/>
                <w:sz w:val="18"/>
                <w:szCs w:val="18"/>
                <w:color w:val="auto"/>
              </w:rPr>
              <w:t>- 38 -</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Lifetime Brands, Inc.</w:t>
            </w:r>
          </w:p>
        </w:tc>
        <w:tc>
          <w:tcPr>
            <w:tcW w:w="960" w:type="dxa"/>
            <w:vAlign w:val="bottom"/>
          </w:tcPr>
          <w:p>
            <w:pPr>
              <w:spacing w:after="0"/>
              <w:rPr>
                <w:sz w:val="20"/>
                <w:szCs w:val="20"/>
                <w:color w:val="auto"/>
              </w:rPr>
            </w:pPr>
          </w:p>
        </w:tc>
      </w:tr>
      <w:tr>
        <w:trPr>
          <w:trHeight w:val="432"/>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960" w:type="dxa"/>
            <w:vAlign w:val="bottom"/>
          </w:tcPr>
          <w:p>
            <w:pPr>
              <w:ind w:left="40"/>
              <w:spacing w:after="0"/>
              <w:rPr>
                <w:sz w:val="20"/>
                <w:szCs w:val="20"/>
                <w:color w:val="auto"/>
              </w:rPr>
            </w:pPr>
            <w:r>
              <w:rPr>
                <w:rFonts w:ascii="Arial" w:cs="Arial" w:eastAsia="Arial" w:hAnsi="Arial"/>
                <w:sz w:val="18"/>
                <w:szCs w:val="18"/>
                <w:color w:val="auto"/>
                <w:w w:val="90"/>
              </w:rPr>
              <w:t>May 9, 2019</w:t>
            </w:r>
          </w:p>
        </w:tc>
      </w:tr>
      <w:tr>
        <w:trPr>
          <w:trHeight w:val="195"/>
        </w:trPr>
        <w:tc>
          <w:tcPr>
            <w:tcW w:w="2960" w:type="dxa"/>
            <w:vAlign w:val="bottom"/>
          </w:tcPr>
          <w:p>
            <w:pPr>
              <w:spacing w:after="0" w:line="195" w:lineRule="exact"/>
              <w:rPr>
                <w:sz w:val="20"/>
                <w:szCs w:val="20"/>
                <w:color w:val="auto"/>
              </w:rPr>
            </w:pPr>
            <w:r>
              <w:rPr>
                <w:rFonts w:ascii="Arial" w:cs="Arial" w:eastAsia="Arial" w:hAnsi="Arial"/>
                <w:sz w:val="18"/>
                <w:szCs w:val="18"/>
                <w:color w:val="auto"/>
              </w:rPr>
              <w:t>Robert B. Kay</w:t>
            </w:r>
          </w:p>
        </w:tc>
        <w:tc>
          <w:tcPr>
            <w:tcW w:w="96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96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/s/ Laurence Winoker</w:t>
            </w:r>
          </w:p>
        </w:tc>
        <w:tc>
          <w:tcPr>
            <w:tcW w:w="960" w:type="dxa"/>
            <w:vAlign w:val="bottom"/>
          </w:tcPr>
          <w:p>
            <w:pPr>
              <w:ind w:left="40"/>
              <w:spacing w:after="0"/>
              <w:rPr>
                <w:sz w:val="20"/>
                <w:szCs w:val="20"/>
                <w:color w:val="auto"/>
              </w:rPr>
            </w:pPr>
            <w:r>
              <w:rPr>
                <w:rFonts w:ascii="Arial" w:cs="Arial" w:eastAsia="Arial" w:hAnsi="Arial"/>
                <w:sz w:val="18"/>
                <w:szCs w:val="18"/>
                <w:color w:val="auto"/>
                <w:w w:val="90"/>
              </w:rPr>
              <w:t>May 9, 2019</w:t>
            </w:r>
          </w:p>
        </w:tc>
      </w:tr>
    </w:tbl>
    <w:p>
      <w:pPr>
        <w:ind w:left="6820"/>
        <w:spacing w:after="0"/>
        <w:rPr>
          <w:sz w:val="20"/>
          <w:szCs w:val="20"/>
          <w:color w:val="auto"/>
        </w:rPr>
      </w:pPr>
      <w:r>
        <w:rPr>
          <w:rFonts w:ascii="Arial" w:cs="Arial" w:eastAsia="Arial" w:hAnsi="Arial"/>
          <w:sz w:val="18"/>
          <w:szCs w:val="18"/>
          <w:color w:val="auto"/>
        </w:rPr>
        <w:t>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18694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Senior Vice President –</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Finance, Treasurer and Chief Financial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740"/>
          </w:cols>
          <w:pgMar w:left="240" w:top="459" w:right="9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860" w:hanging="4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860" w:right="320" w:hanging="424"/>
        <w:spacing w:after="0" w:line="26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860" w:right="220" w:hanging="424"/>
        <w:spacing w:after="0" w:line="291"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8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hanging="538"/>
        <w:spacing w:after="0" w:line="286"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420" w:right="100" w:hanging="538"/>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20" w:right="180" w:hanging="538"/>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420" w:right="100" w:hanging="538"/>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860" w:right="360" w:hanging="424"/>
        <w:spacing w:after="0" w:line="26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420" w:right="160" w:hanging="538"/>
        <w:spacing w:after="0" w:line="342" w:lineRule="auto"/>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40" w:hanging="538"/>
        <w:spacing w:after="0" w:line="277"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020"/>
          </w:cols>
          <w:pgMar w:left="440" w:top="121"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860" w:hanging="4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860" w:right="32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6" w:lineRule="exact"/>
        <w:rPr>
          <w:rFonts w:ascii="Arial" w:cs="Arial" w:eastAsia="Arial" w:hAnsi="Arial"/>
          <w:sz w:val="18"/>
          <w:szCs w:val="18"/>
          <w:color w:val="auto"/>
        </w:rPr>
      </w:pPr>
    </w:p>
    <w:p>
      <w:pPr>
        <w:ind w:left="860" w:right="220" w:hanging="424"/>
        <w:spacing w:after="0" w:line="291"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w:t>
      </w:r>
    </w:p>
    <w:p>
      <w:pPr>
        <w:ind w:left="8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hanging="538"/>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420" w:right="100" w:hanging="538"/>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20" w:right="180" w:hanging="538"/>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420" w:right="100" w:hanging="538"/>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860" w:right="360" w:hanging="4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1420" w:right="160" w:hanging="538"/>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40" w:hanging="538"/>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020"/>
          </w:cols>
          <w:pgMar w:left="440" w:top="121" w:right="439" w:bottom="1440" w:gutter="0" w:footer="0" w:header="0"/>
        </w:sectPr>
      </w:pPr>
    </w:p>
    <w:bookmarkStart w:id="43" w:name="page44"/>
    <w:bookmarkEnd w:id="43"/>
    <w:p>
      <w:pPr>
        <w:ind w:left="1010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76" w:lineRule="exact"/>
        <w:rPr>
          <w:sz w:val="20"/>
          <w:szCs w:val="20"/>
          <w:color w:val="auto"/>
        </w:rPr>
      </w:pPr>
    </w:p>
    <w:p>
      <w:pPr>
        <w:ind w:left="860" w:right="6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2019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860" w:right="18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 Robert B. Kay</w:t>
            </w:r>
          </w:p>
        </w:tc>
        <w:tc>
          <w:tcPr>
            <w:tcW w:w="8120" w:type="dxa"/>
            <w:vAlign w:val="bottom"/>
            <w:gridSpan w:val="2"/>
          </w:tcPr>
          <w:p>
            <w:pPr>
              <w:ind w:left="3020"/>
              <w:spacing w:after="0"/>
              <w:rPr>
                <w:sz w:val="20"/>
                <w:szCs w:val="20"/>
                <w:color w:val="auto"/>
              </w:rPr>
            </w:pPr>
            <w:r>
              <w:rPr>
                <w:rFonts w:ascii="Arial" w:cs="Arial" w:eastAsia="Arial" w:hAnsi="Arial"/>
                <w:sz w:val="18"/>
                <w:szCs w:val="18"/>
                <w:color w:val="auto"/>
              </w:rPr>
              <w:t>/s/ Laurence Winoker</w:t>
            </w:r>
          </w:p>
        </w:tc>
      </w:tr>
      <w:tr>
        <w:trPr>
          <w:trHeight w:val="209"/>
        </w:trPr>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Kay</w:t>
            </w:r>
          </w:p>
        </w:tc>
        <w:tc>
          <w:tcPr>
            <w:tcW w:w="304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Winoker</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8120" w:type="dxa"/>
            <w:vAlign w:val="bottom"/>
            <w:gridSpan w:val="2"/>
          </w:tcPr>
          <w:p>
            <w:pPr>
              <w:ind w:left="3020"/>
              <w:spacing w:after="0"/>
              <w:rPr>
                <w:sz w:val="20"/>
                <w:szCs w:val="20"/>
                <w:color w:val="auto"/>
              </w:rPr>
            </w:pPr>
            <w:r>
              <w:rPr>
                <w:rFonts w:ascii="Arial" w:cs="Arial" w:eastAsia="Arial" w:hAnsi="Arial"/>
                <w:sz w:val="18"/>
                <w:szCs w:val="18"/>
                <w:color w:val="auto"/>
                <w:w w:val="90"/>
              </w:rPr>
              <w:t>Senior Vice President - Finance, Treasurer and Chief Financial Officer</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May 9, 2019</w:t>
            </w:r>
          </w:p>
        </w:tc>
        <w:tc>
          <w:tcPr>
            <w:tcW w:w="8120" w:type="dxa"/>
            <w:vAlign w:val="bottom"/>
            <w:gridSpan w:val="2"/>
          </w:tcPr>
          <w:p>
            <w:pPr>
              <w:ind w:left="3020"/>
              <w:spacing w:after="0"/>
              <w:rPr>
                <w:sz w:val="20"/>
                <w:szCs w:val="20"/>
                <w:color w:val="auto"/>
              </w:rPr>
            </w:pPr>
            <w:r>
              <w:rPr>
                <w:rFonts w:ascii="Arial" w:cs="Arial" w:eastAsia="Arial" w:hAnsi="Arial"/>
                <w:sz w:val="18"/>
                <w:szCs w:val="18"/>
                <w:color w:val="auto"/>
              </w:rPr>
              <w:t>Date: May 9, 2019</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required by Section 1350 has been provided to Lifetime Brands, Inc. and will be retained by Lifetime Brands,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2019-12-28T12:18:43Z</dcterms:created>
  <dcterms:modified xsi:type="dcterms:W3CDTF">2019-12-28T12:18:43Z</dcterms:modified>
</cp:coreProperties>
</file>