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7699478a03e148cfa2913893c6de103b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20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0-19254</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48"/>
        </w:rPr>
      </w:pPr>
      <w:r>
        <w:rPr>
          <w:rFonts w:ascii="Times New Roman;sans-serif" w:hAnsi="Times New Roman;sans-serif"/>
          <w:b/>
          <w:color w:val="000000"/>
          <w:sz w:val="48"/>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tbl>
      <w:tblPr>
        <w:tblW w:w="3854" w:type="dxa"/>
        <w:jc w:val="center"/>
        <w:tblInd w:w="0" w:type="dxa"/>
        <w:tblLayout w:type="fixed"/>
        <w:tblCellMar>
          <w:top w:w="28" w:type="dxa"/>
          <w:left w:w="28" w:type="dxa"/>
          <w:bottom w:w="28" w:type="dxa"/>
          <w:right w:w="28" w:type="dxa"/>
        </w:tblCellMar>
      </w:tblPr>
      <w:tblGrid>
        <w:gridCol w:w="857"/>
        <w:gridCol w:w="751"/>
        <w:gridCol w:w="762"/>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11-2682486</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1000 Stewart Avenue, Garden City, New York 11530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(516) 683-6000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192" w:type="dxa"/>
        <w:jc w:val="center"/>
        <w:tblInd w:w="0" w:type="dxa"/>
        <w:tblLayout w:type="fixed"/>
        <w:tblCellMar>
          <w:top w:w="28" w:type="dxa"/>
          <w:left w:w="28" w:type="dxa"/>
          <w:bottom w:w="28" w:type="dxa"/>
          <w:right w:w="28" w:type="dxa"/>
        </w:tblCellMar>
      </w:tblPr>
      <w:tblGrid>
        <w:gridCol w:w="981"/>
        <w:gridCol w:w="861"/>
        <w:gridCol w:w="872"/>
        <w:gridCol w:w="109"/>
        <w:gridCol w:w="109"/>
        <w:gridCol w:w="109"/>
        <w:gridCol w:w="274"/>
        <w:gridCol w:w="274"/>
        <w:gridCol w:w="276"/>
        <w:gridCol w:w="109"/>
        <w:gridCol w:w="109"/>
        <w:gridCol w:w="109"/>
        <w:gridCol w:w="878"/>
        <w:gridCol w:w="878"/>
        <w:gridCol w:w="1244"/>
      </w:tblGrid>
      <w:tr>
        <w:trPr/>
        <w:tc>
          <w:tcPr>
            <w:tcW w:w="981"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w:t>
              <w:br/>
              <w:t>on which registered</w:t>
            </w:r>
          </w:p>
        </w:tc>
      </w:tr>
      <w:tr>
        <w:trPr/>
        <w:tc>
          <w:tcPr>
            <w:tcW w:w="2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Global Select Market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8"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  Yes  ☐    No  ☒</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number of shares of the registrant’s common stock outstanding as of July 31, 2024 was 22,157,912.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JUNE 30,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286"/>
        <w:gridCol w:w="252"/>
        <w:gridCol w:w="255"/>
        <w:gridCol w:w="2898"/>
        <w:gridCol w:w="2846"/>
        <w:gridCol w:w="2855"/>
        <w:gridCol w:w="237"/>
        <w:gridCol w:w="237"/>
        <w:gridCol w:w="339"/>
      </w:tblGrid>
      <w:tr>
        <w:trPr/>
        <w:tc>
          <w:tcPr>
            <w:tcW w:w="28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46"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0">
              <w:r>
                <w:rPr>
                  <w:rStyle w:val="InternetLink"/>
                  <w:rFonts w:ascii="Times New Roman;sans-serif" w:hAnsi="Times New Roman;sans-serif"/>
                  <w:b/>
                  <w:color w:val="0000FF"/>
                  <w:sz w:val="20"/>
                  <w:u w:val="single"/>
                </w:rPr>
                <w:t>Financial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3">
              <w:r>
                <w:rPr>
                  <w:rStyle w:val="InternetLink"/>
                  <w:rFonts w:ascii="Times New Roman;sans-serif" w:hAnsi="Times New Roman;sans-serif"/>
                  <w:b w:val="false"/>
                  <w:color w:val="0000FF"/>
                  <w:sz w:val="20"/>
                  <w:u w:val="single"/>
                </w:rPr>
                <w:t>Financial Statements</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6">
              <w:r>
                <w:rPr>
                  <w:rStyle w:val="InternetLink"/>
                  <w:rFonts w:ascii="Times New Roman;sans-serif" w:hAnsi="Times New Roman;sans-serif"/>
                  <w:b w:val="false"/>
                  <w:color w:val="000080"/>
                  <w:sz w:val="20"/>
                  <w:u w:val="single"/>
                </w:rPr>
                <w:t xml:space="preserve">Condensed Consolidated Balance Sheets – </w:t>
              </w:r>
            </w:hyperlink>
            <w:r>
              <w:rPr>
                <w:rFonts w:ascii="Times New Roman;sans-serif" w:hAnsi="Times New Roman;sans-serif"/>
                <w:b w:val="false"/>
                <w:color w:val="0000FF"/>
                <w:sz w:val="20"/>
                <w:u w:val="single"/>
              </w:rPr>
              <w:t>June 30, 2024</w:t>
            </w:r>
            <w:hyperlink w:anchor="i7699478a03e148cfa2913893c6de103b_16">
              <w:r>
                <w:rPr>
                  <w:rStyle w:val="InternetLink"/>
                  <w:rFonts w:ascii="Times New Roman;sans-serif" w:hAnsi="Times New Roman;sans-serif"/>
                  <w:b w:val="false"/>
                  <w:color w:val="000080"/>
                  <w:sz w:val="20"/>
                  <w:u w:val="single"/>
                </w:rPr>
                <w:t xml:space="preserve"> (unaudited) and </w:t>
              </w:r>
            </w:hyperlink>
            <w:r>
              <w:rPr>
                <w:rFonts w:ascii="Times New Roman;sans-serif" w:hAnsi="Times New Roman;sans-serif"/>
                <w:b w:val="false"/>
                <w:color w:val="0000FF"/>
                <w:sz w:val="20"/>
                <w:u w:val="single"/>
              </w:rPr>
              <w:t>December 31, 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6">
              <w:r>
                <w:rPr>
                  <w:rStyle w:val="InternetLink"/>
                  <w:rFonts w:ascii="Times New Roman;sans-serif" w:hAnsi="Times New Roman;sans-serif"/>
                  <w:b w:val="false"/>
                  <w:color w:val="0000FF"/>
                  <w:sz w:val="20"/>
                  <w:u w:val="single"/>
                </w:rPr>
                <w:t>2</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9">
              <w:r>
                <w:rPr>
                  <w:rStyle w:val="InternetLink"/>
                  <w:rFonts w:ascii="Times New Roman;sans-serif" w:hAnsi="Times New Roman;sans-serif"/>
                  <w:b w:val="false"/>
                  <w:color w:val="000080"/>
                  <w:sz w:val="20"/>
                  <w:u w:val="single"/>
                </w:rPr>
                <w:t xml:space="preserve">Condensed Consolidated Statements of Operations (unaudited) – </w:t>
              </w:r>
            </w:hyperlink>
            <w:r>
              <w:rPr>
                <w:rFonts w:ascii="Times New Roman;sans-serif" w:hAnsi="Times New Roman;sans-serif"/>
                <w:b w:val="false"/>
                <w:color w:val="0000FF"/>
                <w:sz w:val="20"/>
                <w:u w:val="single"/>
              </w:rPr>
              <w:t>Three and Six Months Ended</w:t>
            </w:r>
            <w:hyperlink w:anchor="i7699478a03e148cfa2913893c6de103b_19">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June 30, 2024</w:t>
            </w:r>
            <w:hyperlink w:anchor="i7699478a03e148cfa2913893c6de103b_19">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9">
              <w:r>
                <w:rPr>
                  <w:rStyle w:val="InternetLink"/>
                  <w:rFonts w:ascii="Times New Roman;sans-serif" w:hAnsi="Times New Roman;sans-serif"/>
                  <w:b w:val="false"/>
                  <w:color w:val="0000FF"/>
                  <w:sz w:val="20"/>
                  <w:u w:val="single"/>
                </w:rPr>
                <w:t>3</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22">
              <w:r>
                <w:rPr>
                  <w:rStyle w:val="InternetLink"/>
                  <w:rFonts w:ascii="Times New Roman;sans-serif" w:hAnsi="Times New Roman;sans-serif"/>
                  <w:b w:val="false"/>
                  <w:color w:val="000080"/>
                  <w:sz w:val="20"/>
                  <w:u w:val="single"/>
                </w:rPr>
                <w:t xml:space="preserve">Condensed Consolidated Statements of Comprehensive </w:t>
              </w:r>
            </w:hyperlink>
            <w:r>
              <w:rPr>
                <w:rFonts w:ascii="Times New Roman;sans-serif" w:hAnsi="Times New Roman;sans-serif"/>
                <w:b w:val="false"/>
                <w:color w:val="0000FF"/>
                <w:sz w:val="20"/>
                <w:u w:val="single"/>
              </w:rPr>
              <w:t>Loss</w:t>
            </w:r>
            <w:hyperlink w:anchor="i7699478a03e148cfa2913893c6de103b_22">
              <w:r>
                <w:rPr>
                  <w:rStyle w:val="InternetLink"/>
                  <w:rFonts w:ascii="Times New Roman;sans-serif" w:hAnsi="Times New Roman;sans-serif"/>
                  <w:b w:val="false"/>
                  <w:color w:val="000080"/>
                  <w:sz w:val="20"/>
                  <w:u w:val="single"/>
                </w:rPr>
                <w:t xml:space="preserve"> (unaudited) –</w:t>
              </w:r>
            </w:hyperlink>
            <w:r>
              <w:rPr>
                <w:rFonts w:ascii="Times New Roman;sans-serif" w:hAnsi="Times New Roman;sans-serif"/>
                <w:b w:val="false"/>
                <w:color w:val="0000FF"/>
                <w:sz w:val="20"/>
                <w:u w:val="single"/>
              </w:rPr>
              <w:t xml:space="preserve"> Three and Six Months Ended June 30, 2024 and 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22">
              <w:r>
                <w:rPr>
                  <w:rStyle w:val="InternetLink"/>
                  <w:rFonts w:ascii="Times New Roman;sans-serif" w:hAnsi="Times New Roman;sans-serif"/>
                  <w:b w:val="false"/>
                  <w:color w:val="0000FF"/>
                  <w:sz w:val="20"/>
                  <w:u w:val="single"/>
                </w:rPr>
                <w:t>4</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25">
              <w:r>
                <w:rPr>
                  <w:rStyle w:val="InternetLink"/>
                  <w:rFonts w:ascii="Times New Roman;sans-serif" w:hAnsi="Times New Roman;sans-serif"/>
                  <w:b w:val="false"/>
                  <w:color w:val="000080"/>
                  <w:sz w:val="20"/>
                  <w:u w:val="single"/>
                </w:rPr>
                <w:t>Condensed Consolidated Statements of Stockholders’ Equity (unaudited) –</w:t>
              </w:r>
            </w:hyperlink>
            <w:r>
              <w:rPr>
                <w:rFonts w:ascii="Times New Roman;sans-serif" w:hAnsi="Times New Roman;sans-serif"/>
                <w:b w:val="false"/>
                <w:color w:val="0000FF"/>
                <w:sz w:val="20"/>
                <w:u w:val="single"/>
              </w:rPr>
              <w:t>Three and Six Months Ended June 30, 2024 and 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25">
              <w:r>
                <w:rPr>
                  <w:rStyle w:val="InternetLink"/>
                  <w:rFonts w:ascii="Times New Roman;sans-serif" w:hAnsi="Times New Roman;sans-serif"/>
                  <w:b w:val="false"/>
                  <w:color w:val="0000FF"/>
                  <w:sz w:val="20"/>
                  <w:u w:val="single"/>
                </w:rPr>
                <w:t>5</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28">
              <w:r>
                <w:rPr>
                  <w:rStyle w:val="InternetLink"/>
                  <w:rFonts w:ascii="Times New Roman;sans-serif" w:hAnsi="Times New Roman;sans-serif"/>
                  <w:b w:val="false"/>
                  <w:color w:val="000080"/>
                  <w:sz w:val="20"/>
                  <w:u w:val="single"/>
                </w:rPr>
                <w:t>Condensed Consolidated Statements of Cash Flows (unaudited) –</w:t>
              </w:r>
            </w:hyperlink>
            <w:r>
              <w:rPr>
                <w:rFonts w:ascii="Times New Roman;sans-serif" w:hAnsi="Times New Roman;sans-serif"/>
                <w:b w:val="false"/>
                <w:color w:val="0000FF"/>
                <w:sz w:val="20"/>
                <w:u w:val="single"/>
              </w:rPr>
              <w:t xml:space="preserve"> Six Months Ended June 30, 2024 and 2023</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28">
              <w:r>
                <w:rPr>
                  <w:rStyle w:val="InternetLink"/>
                  <w:rFonts w:ascii="Times New Roman;sans-serif" w:hAnsi="Times New Roman;sans-serif"/>
                  <w:b w:val="false"/>
                  <w:color w:val="0000FF"/>
                  <w:sz w:val="20"/>
                  <w:u w:val="single"/>
                </w:rPr>
                <w:t>6</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31">
              <w:r>
                <w:rPr>
                  <w:rStyle w:val="InternetLink"/>
                  <w:rFonts w:ascii="Times New Roman;sans-serif" w:hAnsi="Times New Roman;sans-serif"/>
                  <w:b w:val="false"/>
                  <w:color w:val="0000FF"/>
                  <w:sz w:val="20"/>
                  <w:u w:val="single"/>
                </w:rPr>
                <w:t>Notes to Condensed Consolidated Financial Statements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31">
              <w:r>
                <w:rPr>
                  <w:rStyle w:val="InternetLink"/>
                  <w:rFonts w:ascii="Times New Roman;sans-serif" w:hAnsi="Times New Roman;sans-serif"/>
                  <w:b w:val="false"/>
                  <w:color w:val="0000FF"/>
                  <w:sz w:val="20"/>
                  <w:u w:val="single"/>
                </w:rPr>
                <w:t>7</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7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79">
              <w:r>
                <w:rPr>
                  <w:rStyle w:val="InternetLink"/>
                  <w:rFonts w:ascii="Times New Roman;sans-serif" w:hAnsi="Times New Roman;sans-serif"/>
                  <w:b w:val="false"/>
                  <w:color w:val="0000FF"/>
                  <w:sz w:val="20"/>
                  <w:u w:val="single"/>
                </w:rPr>
                <w:t>28</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12">
              <w:r>
                <w:rPr>
                  <w:rStyle w:val="InternetLink"/>
                  <w:rFonts w:ascii="Times New Roman;sans-serif" w:hAnsi="Times New Roman;sans-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12">
              <w:r>
                <w:rPr>
                  <w:rStyle w:val="InternetLink"/>
                  <w:rFonts w:ascii="Times New Roman;sans-serif" w:hAnsi="Times New Roman;sans-serif"/>
                  <w:b w:val="false"/>
                  <w:color w:val="0000FF"/>
                  <w:sz w:val="20"/>
                  <w:u w:val="single"/>
                </w:rPr>
                <w:t>41</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15">
              <w:r>
                <w:rPr>
                  <w:rStyle w:val="InternetLink"/>
                  <w:rFonts w:ascii="Times New Roman;sans-serif" w:hAnsi="Times New Roman;sans-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15">
              <w:r>
                <w:rPr>
                  <w:rStyle w:val="InternetLink"/>
                  <w:rFonts w:ascii="Times New Roman;sans-serif" w:hAnsi="Times New Roman;sans-serif"/>
                  <w:b w:val="false"/>
                  <w:color w:val="0000FF"/>
                  <w:sz w:val="20"/>
                  <w:u w:val="single"/>
                </w:rPr>
                <w:t>41</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18">
              <w:r>
                <w:rPr>
                  <w:rStyle w:val="InternetLink"/>
                  <w:rFonts w:ascii="Times New Roman;sans-serif" w:hAnsi="Times New Roman;sans-serif"/>
                  <w:b/>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21">
              <w:r>
                <w:rPr>
                  <w:rStyle w:val="InternetLink"/>
                  <w:rFonts w:ascii="Times New Roman;sans-serif" w:hAnsi="Times New Roman;sans-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18">
              <w:r>
                <w:rPr>
                  <w:rStyle w:val="InternetLink"/>
                  <w:rFonts w:ascii="Times New Roman;sans-serif" w:hAnsi="Times New Roman;sans-serif"/>
                  <w:b w:val="false"/>
                  <w:color w:val="0000FF"/>
                  <w:sz w:val="20"/>
                  <w:u w:val="single"/>
                </w:rPr>
                <w:t>41</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599" w:type="dxa"/>
            <w:gridSpan w:val="3"/>
            <w:tcBorders/>
            <w:tcMar>
              <w:top w:w="0" w:type="dxa"/>
              <w:left w:w="0" w:type="dxa"/>
              <w:bottom w:w="0" w:type="dxa"/>
              <w:right w:w="0" w:type="dxa"/>
            </w:tcMar>
            <w:vAlign w:val="center"/>
          </w:tcPr>
          <w:p>
            <w:pPr>
              <w:pStyle w:val="TableContents"/>
              <w:bidi w:val="0"/>
              <w:spacing w:lineRule="auto" w:line="240" w:before="360" w:after="283"/>
              <w:jc w:val="left"/>
              <w:rPr/>
            </w:pPr>
            <w:hyperlink w:anchor="i7699478a03e148cfa2913893c6de103b_124">
              <w:r>
                <w:rPr>
                  <w:rStyle w:val="InternetLink"/>
                  <w:rFonts w:ascii="Times New Roman;sans-serif" w:hAnsi="Times New Roman;sans-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24">
              <w:r>
                <w:rPr>
                  <w:rStyle w:val="InternetLink"/>
                  <w:rFonts w:ascii="Times New Roman;sans-serif" w:hAnsi="Times New Roman;sans-serif"/>
                  <w:b w:val="false"/>
                  <w:color w:val="0000FF"/>
                  <w:sz w:val="20"/>
                  <w:u w:val="single"/>
                </w:rPr>
                <w:t>41</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27">
              <w:r>
                <w:rPr>
                  <w:rStyle w:val="InternetLink"/>
                  <w:rFonts w:ascii="Times New Roman;sans-serif" w:hAnsi="Times New Roman;sans-serif"/>
                  <w:b w:val="false"/>
                  <w:color w:val="0000FF"/>
                  <w:sz w:val="20"/>
                  <w:u w:val="singl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27">
              <w:r>
                <w:rPr>
                  <w:rStyle w:val="InternetLink"/>
                  <w:rFonts w:ascii="Times New Roman;sans-serif" w:hAnsi="Times New Roman;sans-serif"/>
                  <w:b w:val="false"/>
                  <w:color w:val="0000FF"/>
                  <w:sz w:val="20"/>
                  <w:u w:val="single"/>
                </w:rPr>
                <w:t>41</w:t>
              </w:r>
            </w:hyperlink>
          </w:p>
        </w:tc>
      </w:tr>
      <w:tr>
        <w:trPr/>
        <w:tc>
          <w:tcPr>
            <w:tcW w:w="793" w:type="dxa"/>
            <w:gridSpan w:val="3"/>
            <w:tcBorders/>
            <w:vAlign w:val="center"/>
          </w:tcPr>
          <w:p>
            <w:pPr>
              <w:pStyle w:val="TableContents"/>
              <w:bidi w:val="0"/>
              <w:spacing w:before="0" w:after="283"/>
              <w:jc w:val="left"/>
              <w:rPr>
                <w:sz w:val="4"/>
                <w:szCs w:val="4"/>
              </w:rPr>
            </w:pPr>
            <w:r>
              <w:rPr>
                <w:sz w:val="4"/>
                <w:szCs w:val="4"/>
              </w:rPr>
            </w:r>
          </w:p>
        </w:tc>
        <w:tc>
          <w:tcPr>
            <w:tcW w:w="8599" w:type="dxa"/>
            <w:gridSpan w:val="3"/>
            <w:tcBorders/>
            <w:vAlign w:val="center"/>
          </w:tcPr>
          <w:p>
            <w:pPr>
              <w:pStyle w:val="TableContents"/>
              <w:bidi w:val="0"/>
              <w:spacing w:before="0" w:after="283"/>
              <w:jc w:val="left"/>
              <w:rPr>
                <w:sz w:val="4"/>
                <w:szCs w:val="4"/>
              </w:rPr>
            </w:pPr>
            <w:r>
              <w:rPr>
                <w:sz w:val="4"/>
                <w:szCs w:val="4"/>
              </w:rPr>
            </w:r>
          </w:p>
        </w:tc>
        <w:tc>
          <w:tcPr>
            <w:tcW w:w="813" w:type="dxa"/>
            <w:gridSpan w:val="3"/>
            <w:tcBorders/>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30">
              <w:r>
                <w:rPr>
                  <w:rStyle w:val="InternetLink"/>
                  <w:rFonts w:ascii="Times New Roman;sans-serif" w:hAnsi="Times New Roman;sans-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30">
              <w:r>
                <w:rPr>
                  <w:rStyle w:val="InternetLink"/>
                  <w:rFonts w:ascii="Times New Roman;sans-serif" w:hAnsi="Times New Roman;sans-serif"/>
                  <w:b w:val="false"/>
                  <w:color w:val="0000FF"/>
                  <w:sz w:val="20"/>
                  <w:u w:val="single"/>
                </w:rPr>
                <w:t>42</w:t>
              </w:r>
            </w:hyperlink>
          </w:p>
        </w:tc>
      </w:tr>
      <w:tr>
        <w:trPr/>
        <w:tc>
          <w:tcPr>
            <w:tcW w:w="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33">
              <w:r>
                <w:rPr>
                  <w:rStyle w:val="InternetLink"/>
                  <w:rFonts w:ascii="Times New Roman;sans-serif" w:hAnsi="Times New Roman;sans-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33">
              <w:r>
                <w:rPr>
                  <w:rStyle w:val="InternetLink"/>
                  <w:rFonts w:ascii="Times New Roman;sans-serif" w:hAnsi="Times New Roman;sans-serif"/>
                  <w:b w:val="false"/>
                  <w:color w:val="0000FF"/>
                  <w:sz w:val="20"/>
                  <w:u w:val="single"/>
                </w:rPr>
                <w:t>43</w:t>
              </w:r>
            </w:hyperlink>
          </w:p>
        </w:tc>
      </w:tr>
      <w:tr>
        <w:trPr/>
        <w:tc>
          <w:tcPr>
            <w:tcW w:w="93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7699478a03e148cfa2913893c6de103b_136">
              <w:r>
                <w:rPr>
                  <w:rStyle w:val="InternetLink"/>
                  <w:rFonts w:ascii="Times New Roman;sans-serif" w:hAnsi="Times New Roman;sans-serif"/>
                  <w:b w:val="false"/>
                  <w:color w:val="0000FF"/>
                  <w:sz w:val="20"/>
                  <w:u w:val="single"/>
                </w:rPr>
                <w:t>Signatures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7699478a03e148cfa2913893c6de103b_136">
              <w:r>
                <w:rPr>
                  <w:rStyle w:val="InternetLink"/>
                  <w:rFonts w:ascii="Times New Roman;sans-serif" w:hAnsi="Times New Roman;sans-serif"/>
                  <w:b w:val="false"/>
                  <w:color w:val="0000FF"/>
                  <w:sz w:val="20"/>
                  <w:u w:val="single"/>
                </w:rPr>
                <w:t>44</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data)</w:t>
      </w:r>
    </w:p>
    <w:tbl>
      <w:tblPr>
        <w:tblW w:w="10205" w:type="dxa"/>
        <w:jc w:val="center"/>
        <w:tblInd w:w="0" w:type="dxa"/>
        <w:tblLayout w:type="fixed"/>
        <w:tblCellMar>
          <w:top w:w="28" w:type="dxa"/>
          <w:left w:w="28" w:type="dxa"/>
          <w:bottom w:w="28" w:type="dxa"/>
          <w:right w:w="28" w:type="dxa"/>
        </w:tblCellMar>
      </w:tblPr>
      <w:tblGrid>
        <w:gridCol w:w="3023"/>
        <w:gridCol w:w="2253"/>
        <w:gridCol w:w="2263"/>
        <w:gridCol w:w="211"/>
        <w:gridCol w:w="826"/>
        <w:gridCol w:w="109"/>
        <w:gridCol w:w="109"/>
        <w:gridCol w:w="109"/>
        <w:gridCol w:w="109"/>
        <w:gridCol w:w="211"/>
        <w:gridCol w:w="826"/>
        <w:gridCol w:w="156"/>
      </w:tblGrid>
      <w:tr>
        <w:trPr/>
        <w:tc>
          <w:tcPr>
            <w:tcW w:w="3023"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22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allowances of $13,684 at June 30, 2024 and $15,952 at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376,355 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maturity of term loan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151,968 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 LONG-TERM</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$1.00 par value, shares authorized: 100 shares of Series A and 2,000,000 shares of Series B; none issued and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$0.01 par value, shares authorized: 50,000,000 at June 30, 2024 and December 31, 2023; shares issued and outstanding: 22,157,912 at June 30, 2024 and 21,813,266 at December 31, 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230,879 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667,142 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- 2 -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per share data)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36"/>
        <w:gridCol w:w="1417"/>
        <w:gridCol w:w="14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55"/>
      </w:tblGrid>
      <w:tr>
        <w:trPr/>
        <w:tc>
          <w:tcPr>
            <w:tcW w:w="163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gain on interest rate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extinguishments of debt,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income before income taxes and equity in losses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BASIC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DILUTED LOSS PER COMMON SHARE</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(0.85)</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LOSS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8954" w:type="dxa"/>
        <w:jc w:val="center"/>
        <w:tblInd w:w="0" w:type="dxa"/>
        <w:tblLayout w:type="fixed"/>
        <w:tblCellMar>
          <w:top w:w="28" w:type="dxa"/>
          <w:left w:w="28" w:type="dxa"/>
          <w:bottom w:w="28" w:type="dxa"/>
          <w:right w:w="28" w:type="dxa"/>
        </w:tblCellMar>
      </w:tblPr>
      <w:tblGrid>
        <w:gridCol w:w="1292"/>
        <w:gridCol w:w="1128"/>
        <w:gridCol w:w="1149"/>
        <w:gridCol w:w="211"/>
        <w:gridCol w:w="796"/>
        <w:gridCol w:w="109"/>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1292"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translation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flow hedges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retirement benefit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net of taxes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56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0"/>
        <w:gridCol w:w="648"/>
        <w:gridCol w:w="65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37"/>
        <w:gridCol w:w="801"/>
        <w:gridCol w:w="132"/>
        <w:gridCol w:w="109"/>
        <w:gridCol w:w="109"/>
        <w:gridCol w:w="109"/>
        <w:gridCol w:w="252"/>
        <w:gridCol w:w="853"/>
        <w:gridCol w:w="141"/>
        <w:gridCol w:w="109"/>
        <w:gridCol w:w="109"/>
        <w:gridCol w:w="109"/>
        <w:gridCol w:w="196"/>
        <w:gridCol w:w="736"/>
        <w:gridCol w:w="157"/>
      </w:tblGrid>
      <w:tr>
        <w:trPr/>
        <w:tc>
          <w:tcPr>
            <w:tcW w:w="830"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comprehensive</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(13,568)</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(33,499)</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230,879 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22,073 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277,496 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(20,771)</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(33,245)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223,701 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(18,167)</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(18,167)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14,239 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 and directors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278,484 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(39,895)</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(19,006)</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219,805 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center"/>
        <w:tblInd w:w="0" w:type="dxa"/>
        <w:tblLayout w:type="fixed"/>
        <w:tblCellMar>
          <w:top w:w="28" w:type="dxa"/>
          <w:left w:w="28" w:type="dxa"/>
          <w:bottom w:w="28" w:type="dxa"/>
          <w:right w:w="28" w:type="dxa"/>
        </w:tblCellMar>
      </w:tblPr>
      <w:tblGrid>
        <w:gridCol w:w="746"/>
        <w:gridCol w:w="568"/>
        <w:gridCol w:w="571"/>
        <w:gridCol w:w="109"/>
        <w:gridCol w:w="109"/>
        <w:gridCol w:w="109"/>
        <w:gridCol w:w="323"/>
        <w:gridCol w:w="323"/>
        <w:gridCol w:w="196"/>
        <w:gridCol w:w="109"/>
        <w:gridCol w:w="109"/>
        <w:gridCol w:w="109"/>
        <w:gridCol w:w="196"/>
        <w:gridCol w:w="421"/>
        <w:gridCol w:w="109"/>
        <w:gridCol w:w="109"/>
        <w:gridCol w:w="109"/>
        <w:gridCol w:w="109"/>
        <w:gridCol w:w="196"/>
        <w:gridCol w:w="736"/>
        <w:gridCol w:w="109"/>
        <w:gridCol w:w="109"/>
        <w:gridCol w:w="109"/>
        <w:gridCol w:w="109"/>
        <w:gridCol w:w="290"/>
        <w:gridCol w:w="980"/>
        <w:gridCol w:w="163"/>
        <w:gridCol w:w="109"/>
        <w:gridCol w:w="109"/>
        <w:gridCol w:w="109"/>
        <w:gridCol w:w="248"/>
        <w:gridCol w:w="839"/>
        <w:gridCol w:w="139"/>
        <w:gridCol w:w="109"/>
        <w:gridCol w:w="109"/>
        <w:gridCol w:w="109"/>
        <w:gridCol w:w="196"/>
        <w:gridCol w:w="736"/>
        <w:gridCol w:w="158"/>
      </w:tblGrid>
      <w:tr>
        <w:trPr/>
        <w:tc>
          <w:tcPr>
            <w:tcW w:w="7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Retained earnings (accumulated 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ans-serif" w:hAnsi="Times New Roman;sans-serif"/>
                <w:b/>
                <w:color w:val="000000"/>
                <w:sz w:val="16"/>
              </w:rPr>
              <w:t>Total</w:t>
            </w:r>
          </w:p>
        </w:tc>
      </w:tr>
      <w:tr>
        <w:trPr/>
        <w:tc>
          <w:tcPr>
            <w:tcW w:w="1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21,780 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(35,854)</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240,088 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Performance shares issued to employees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repurchase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(11,126)</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(35,434)</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228,661 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(6,520)</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(6,520)</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issuance of restricted shares granted to employees and directors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effectively repurchased for required employee withholding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Dividends </w:t>
            </w:r>
            <w:r>
              <w:rPr>
                <w:rFonts w:ascii="Times New Roman;sans-serif" w:hAnsi="Times New Roman;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21,814 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275,915 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(18,596)</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(34,486)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223,051 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r>
        <w:trPr/>
        <w:tc>
          <w:tcPr>
            <w:tcW w:w="18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Cash dividends declared per share of common stock were $0.085 and $0.085 in the six months ended June 30, 2024 and 2023, respectively.</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LIFETIME BRANDS,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(unaudited)</w:t>
      </w:r>
    </w:p>
    <w:tbl>
      <w:tblPr>
        <w:tblW w:w="9039" w:type="dxa"/>
        <w:jc w:val="center"/>
        <w:tblInd w:w="0" w:type="dxa"/>
        <w:tblLayout w:type="fixed"/>
        <w:tblCellMar>
          <w:top w:w="28" w:type="dxa"/>
          <w:left w:w="28" w:type="dxa"/>
          <w:bottom w:w="28" w:type="dxa"/>
          <w:right w:w="28" w:type="dxa"/>
        </w:tblCellMar>
      </w:tblPr>
      <w:tblGrid>
        <w:gridCol w:w="2332"/>
        <w:gridCol w:w="2049"/>
        <w:gridCol w:w="2054"/>
        <w:gridCol w:w="211"/>
        <w:gridCol w:w="796"/>
        <w:gridCol w:w="109"/>
        <w:gridCol w:w="109"/>
        <w:gridCol w:w="109"/>
        <w:gridCol w:w="109"/>
        <w:gridCol w:w="211"/>
        <w:gridCol w:w="796"/>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financing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adjustment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(Recovery) provision for doubtful accounts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compensation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fair value adjustments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retirement of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other current assets and other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expenses and other liabilities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color w:val="000000"/>
                <w:sz w:val="20"/>
              </w:rPr>
              <w:t xml:space="preserve">NET CASH PROVIDED BY OPERATING ACTIVITIES </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revolving credit facility</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term loan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financing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finance lease obligations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tax withholding for stock 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stock repurchase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paid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NET CASH USED IN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on cash</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DECREASE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(12,793)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- 6 -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SUMMARY OF ACCOUNTING POLICIES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Organization and business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condensed consolidated financial statements should be read in conjunction with the consolidated financial statements and footnotes thereto included in the Company’s Annual Report on Form 10-K for the fiscal year ended December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and six months ended June 30, 2024 are not necessarily indicative of the results that may be expected for the year ending December 31,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and working capital needs are seasonal, with a majority of sales occurring in the third and fourth quarters. In 2023 and 2022, net sales for the third and fourth quarters accounted for 57% and 54%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Cost of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consist primarily of costs associated with the production and procurement of product, inbound freight costs, purchasing costs, royalties, and other product procurement related charges.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consist primarily of warehousing expenses and freight-out expenses. Handling costs of products sold are included in cost of sales.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Accounts receivable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periodically reviews the collectability of its accounts receivable and establishes allowances for estimated credit losses that could result from the inability of its customers to make required payments, taking into consideration customer credit history and financial condition, industry and market segment information, credit reports, and expectations of current and future economic conditions. A considerable amount of judgment is required to assess the ultimate realization of these receivables, including assessing the initial and on-going creditworthiness of the Company’s customers.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The Company did not sell receivables to HSBC during the three and six months ended June 30, 2024 and June 30, 2023.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$18.7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Inventory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product-by-product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inventory were as follows (in thousands):</w:t>
      </w:r>
    </w:p>
    <w:tbl>
      <w:tblPr>
        <w:tblW w:w="4441" w:type="dxa"/>
        <w:jc w:val="left"/>
        <w:tblInd w:w="0" w:type="dxa"/>
        <w:tblLayout w:type="fixed"/>
        <w:tblCellMar>
          <w:top w:w="28" w:type="dxa"/>
          <w:left w:w="28" w:type="dxa"/>
          <w:bottom w:w="28" w:type="dxa"/>
          <w:right w:w="28" w:type="dxa"/>
        </w:tblCellMar>
      </w:tblPr>
      <w:tblGrid>
        <w:gridCol w:w="516"/>
        <w:gridCol w:w="453"/>
        <w:gridCol w:w="455"/>
        <w:gridCol w:w="211"/>
        <w:gridCol w:w="826"/>
        <w:gridCol w:w="109"/>
        <w:gridCol w:w="109"/>
        <w:gridCol w:w="109"/>
        <w:gridCol w:w="109"/>
        <w:gridCol w:w="273"/>
        <w:gridCol w:w="1072"/>
        <w:gridCol w:w="199"/>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180,860 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208,480 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188,647 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Fair value of financial instruments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6 — DEBT to the unaudited condensed consolidated financial statements included in this Quarterly Report on Form 10-Q) approximate fair value since such borrowings bear interest at variable market rates.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pPr>
      <w:r>
        <w:rPr>
          <w:rFonts w:ascii="Times New Roman;sans-serif" w:hAnsi="Times New Roman;sans-serif"/>
          <w:b w:val="false"/>
          <w:color w:val="000000"/>
          <w:sz w:val="20"/>
        </w:rPr>
        <w:t xml:space="preserve">The Company accounts for derivative instruments in accordance with Accounting Standard Codification (“ASC”) Topic 815, </w:t>
      </w:r>
      <w:r>
        <w:rPr>
          <w:rFonts w:ascii="Times New Roman;sans-serif" w:hAnsi="Times New Roman;sans-serif"/>
          <w:b w:val="false"/>
          <w:i/>
          <w:color w:val="000000"/>
          <w:sz w:val="20"/>
        </w:rPr>
        <w:t>Derivatives and Hedging (</w:t>
      </w:r>
      <w:r>
        <w:rPr>
          <w:color w:val="000000"/>
        </w:rPr>
        <w:t>“</w:t>
      </w:r>
      <w:r>
        <w:rPr>
          <w:rFonts w:ascii="Times New Roman;sans-serif" w:hAnsi="Times New Roman;sans-serif"/>
          <w:b w:val="false"/>
          <w:color w:val="000000"/>
          <w:sz w:val="20"/>
        </w:rPr>
        <w:t>ASC 815”</w:t>
      </w:r>
      <w:r>
        <w:rPr>
          <w:rFonts w:ascii="Times New Roman;sans-serif" w:hAnsi="Times New Roman;sans-serif"/>
          <w:b w:val="false"/>
          <w:i/>
          <w:color w:val="000000"/>
          <w:sz w:val="20"/>
        </w:rPr>
        <w:t>)</w:t>
      </w:r>
      <w:r>
        <w:rPr>
          <w:rFonts w:ascii="Times New Roman;sans-serif" w:hAnsi="Times New Roman;sans-serif"/>
          <w:b w:val="false"/>
          <w:color w:val="000000"/>
          <w:sz w:val="20"/>
        </w:rPr>
        <w:t>. ASC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Goodwill, intangible assets and long-lived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 The Company performed its annual impairment assessment of its U.S. reporting unit as of October 1, 2023 by comparing the fair value of the reporting unit with its carrying value. The Company performed the analysis using a discounted cash flow and market multiple method. As of October 1, 2023, the fair value of the U.S. reporting unit exceeded the carrying value of goodwill by 4%.</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significant assumptions used under the income approach, or discounted cash flow method, are projected net sales, projected earnings before interest, tax, depreciation and amortization (“EBITDA”) and the cost of capital. Projected net sales and projected EBITDA were determined to be significant assumptions because they are the primary drivers of the projected cash flows in the discounted cash flow fair value model. Cost of capital was also determined to be a significant assumption as it is the discount rate used to calculate the current fair value of those projected cash flows.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evaluates qualitative factors to determine whether impairment indicators exist for its indefinite-lived intangibles and performs quantitative tests if required. These tests can include the relief from royalty model or other valuation models. The significant assumptions used in the relief from royalty model are future net sales for the related brands, royalty rates and the cost of capital to determine the fair value of the indefinite-lived intangibles. The Company completed the quantitative impairment analysis for its indefinite-lived asset as of October 1, 2023, by comparing the fair value of the indefinite-lived trade name to the carrying value using a relief from royalty method. As of October 1, 2023, the fair value of the Company’s indefinite-lived trade name exceeded its carrying value by 7%. While the indefinite-lived trade name was not determined to be impaired, if the indefinite-lived trade name does not perform as projected or if market factors utilized in the impairment analysis deteriorate, including an unfavorable change in the weighted average cost of capital, could materially affect the expected cash flows, and such impacts could potentially result in a material non-cash impairment charge.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5 — INTANGIBLE ASSETS to the unaudited condensed consolidated financial statements included in this Quarterly Report on Form 10-Q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certain equipment leases, the Company applies a portfolio approach to effectively account for any ROU assets and lease liabilities. Leases with an initial term of twelve months or less are not recorded on the balance sheet.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the practical expedient to account for each separate lease component of a contract and its associated non-lease components as a single lease component, thus causing all fixed payments to be capitalized.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Employee healthcare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Restructuring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associated with restructuring activities are recorded at fair value when a liability has been incurred. Generally, a liability has been incurred at the communication date for severance. Charges associated with lease terminations, related to restructuring activities, are recognized at the effective date of the lease modification.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the Company incurred $0.8 million of unallocated corporate expense related to the termination payment with its former Executive Chairman, Jeffrey Siegel (the “Executive Chairman”). On November 1, 2022, the Company entered into a transition agreement with its Executive Chairman which terminated his employment with the Company, effective March 31, 2023. The employment agreement provided for a one-time payment, which was paid on April 7,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New accounting pronouncements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Updates not listed below were assessed and either determined to not be applicable or are expected to have a minimal effect on the Company’s financial position, results of operations, and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enhances the disclosures required for operating segments in the Company’s annual and interim consolidated financial statements. The new guidance is effective for public business entities for fiscal years beginning after December 15, 2023, and interim periods within fiscal years beginning after December 15, 2024 on a retrospective basis. Early adoption is permitted. Management is currently evaluating the impact of this standard on its consolidated financial statements and related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This guidance is intended to enhance the transparency and decision usefulness of income tax disclosures. The amendments in ASU 2023-09 address investor requests for enhanced income tax information primarily through changes to the rate reconciliation and income taxes paid information. Early adoption is permitted. The new guidance is effective for public business entities for annual periods beginning after December 15, 2024 on a prospective basis. Retrospective application is permitted. Management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2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$0.6 million and $1.2 million for the three and six months ended June 30, 2024, respectively and $0.5 million and $0.9 million for the three and six months ended June 30, 2023, respectively. Net sales exclude taxes that are collected from customers and remitted to the taxing authorities.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sales incentives and promotions represent variable consideration and are reflected as reductions in net sales in the Company’s unaudited condensed consolidated statements of operations. While many of the sales incentives and promotions are contractually agreed upon with the Company’s customers, certain of the sales incentives and promotions are non-contractual and require the Company to estimate the amount of variable consideration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 </w:t>
      </w:r>
      <w:r>
        <w:rPr>
          <w:rFonts w:ascii="Times New Roman;sans-serif" w:hAnsi="Times New Roman;sans-serif"/>
          <w:b w:val="false"/>
          <w:color w:val="000000"/>
          <w:sz w:val="20"/>
          <w:shd w:fill="FFFFFF" w:val="clear"/>
        </w:rPr>
        <w:t>Payment terms vary by customer, but generally range from 30 to 90 days or at the point of sale for the Company’s retail direct sale</w:t>
      </w:r>
      <w:r>
        <w:rPr>
          <w:rFonts w:ascii="Times New Roman;sans-serif" w:hAnsi="Times New Roman;sans-serif"/>
          <w:b w:val="false"/>
          <w:color w:val="000000"/>
          <w:sz w:val="20"/>
        </w:rPr>
        <w:t>s.</w:t>
      </w:r>
    </w:p>
    <w:p>
      <w:pPr>
        <w:pStyle w:val="TextBody"/>
        <w:bidi w:val="0"/>
        <w:spacing w:lineRule="auto" w:line="288" w:before="240" w:after="283"/>
        <w:jc w:val="left"/>
        <w:rPr/>
      </w:pPr>
      <w:r>
        <w:rPr>
          <w:rFonts w:ascii="Times New Roman;sans-serif" w:hAnsi="Times New Roman;sans-serif"/>
          <w:b w:val="false"/>
          <w:color w:val="000000"/>
          <w:sz w:val="20"/>
          <w:shd w:fill="FFFFFF" w:val="clear"/>
        </w:rPr>
        <w:t>The Company incurs certain direct incremental costs to obtain contracts with customers, such as sales-related co</w:t>
      </w:r>
      <w:r>
        <w:rPr>
          <w:rFonts w:ascii="Times New Roman;sans-serif" w:hAnsi="Times New Roman;sans-serif"/>
          <w:b w:val="false"/>
          <w:color w:val="000000"/>
          <w:sz w:val="20"/>
        </w:rPr>
        <w:t>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net sales disaggregated by segment, product category and geographic region for the three and six months ended June 30, 2024 and 2023 (in thousands):</w:t>
      </w:r>
    </w:p>
    <w:tbl>
      <w:tblPr>
        <w:tblW w:w="7589" w:type="dxa"/>
        <w:jc w:val="left"/>
        <w:tblInd w:w="0" w:type="dxa"/>
        <w:tblLayout w:type="fixed"/>
        <w:tblCellMar>
          <w:top w:w="28" w:type="dxa"/>
          <w:left w:w="28" w:type="dxa"/>
          <w:bottom w:w="28" w:type="dxa"/>
          <w:right w:w="28" w:type="dxa"/>
        </w:tblCellMar>
      </w:tblPr>
      <w:tblGrid>
        <w:gridCol w:w="716"/>
        <w:gridCol w:w="631"/>
        <w:gridCol w:w="63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r>
          </w:p>
        </w:tc>
      </w:tr>
      <w:tr>
        <w:trPr/>
        <w:tc>
          <w:tcPr>
            <w:tcW w:w="1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U.S. segment</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Kitchenware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Tableware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 segment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International 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 LEASES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corporate offices, distribution facilities, a manufacturing plant, and certain vehicles.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for the three and six months ended June 30, 2024 and 2023 were as follows (in thousands):</w:t>
      </w:r>
    </w:p>
    <w:tbl>
      <w:tblPr>
        <w:tblW w:w="7582" w:type="dxa"/>
        <w:jc w:val="left"/>
        <w:tblInd w:w="0" w:type="dxa"/>
        <w:tblLayout w:type="fixed"/>
        <w:tblCellMar>
          <w:top w:w="28" w:type="dxa"/>
          <w:left w:w="28" w:type="dxa"/>
          <w:bottom w:w="28" w:type="dxa"/>
          <w:right w:w="28" w:type="dxa"/>
        </w:tblCellMar>
      </w:tblPr>
      <w:tblGrid>
        <w:gridCol w:w="863"/>
        <w:gridCol w:w="758"/>
        <w:gridCol w:w="763"/>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lease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Fixed lease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Expenses are recorded within distribution expenses and selling, general and administrative expenses on the unaudited condensed consolidated statement of operations.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for lease related liabilities and assets for the six months ended June 30, 2024 and 2023 were as follows (in thousands):</w:t>
      </w:r>
    </w:p>
    <w:tbl>
      <w:tblPr>
        <w:tblW w:w="8464" w:type="dxa"/>
        <w:jc w:val="left"/>
        <w:tblInd w:w="0" w:type="dxa"/>
        <w:tblLayout w:type="fixed"/>
        <w:tblCellMar>
          <w:top w:w="28" w:type="dxa"/>
          <w:left w:w="28" w:type="dxa"/>
          <w:bottom w:w="28" w:type="dxa"/>
          <w:right w:w="28" w:type="dxa"/>
        </w:tblCellMar>
      </w:tblPr>
      <w:tblGrid>
        <w:gridCol w:w="2197"/>
        <w:gridCol w:w="1933"/>
        <w:gridCol w:w="1944"/>
        <w:gridCol w:w="216"/>
        <w:gridCol w:w="633"/>
        <w:gridCol w:w="112"/>
        <w:gridCol w:w="112"/>
        <w:gridCol w:w="112"/>
        <w:gridCol w:w="112"/>
        <w:gridCol w:w="112"/>
        <w:gridCol w:w="211"/>
        <w:gridCol w:w="616"/>
        <w:gridCol w:w="154"/>
      </w:tblGrid>
      <w:tr>
        <w:trPr/>
        <w:tc>
          <w:tcPr>
            <w:tcW w:w="2197"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981" w:type="dxa"/>
            <w:gridSpan w:val="3"/>
            <w:tcBorders/>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color w:val="000000"/>
                <w:sz w:val="20"/>
              </w:rPr>
              <w:t>Cash paid for amounts included in the measurement of</w:t>
            </w:r>
            <w:r>
              <w:rPr>
                <w:color w:val="000000"/>
              </w:rPr>
              <w:t xml:space="preserve"> </w:t>
            </w:r>
            <w:r>
              <w:rPr>
                <w:rFonts w:ascii="Times New Roman;sans-serif" w:hAnsi="Times New Roman;sans-serif"/>
                <w:b/>
                <w:color w:val="000000"/>
                <w:sz w:val="20"/>
              </w:rPr>
              <w:t>lease liabilities:</w:t>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for operating leases</w:t>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697" w:type="dxa"/>
        <w:jc w:val="left"/>
        <w:tblInd w:w="0" w:type="dxa"/>
        <w:tblLayout w:type="fixed"/>
        <w:tblCellMar>
          <w:top w:w="28" w:type="dxa"/>
          <w:left w:w="28" w:type="dxa"/>
          <w:bottom w:w="28" w:type="dxa"/>
          <w:right w:w="28" w:type="dxa"/>
        </w:tblCellMar>
      </w:tblPr>
      <w:tblGrid>
        <w:gridCol w:w="1923"/>
        <w:gridCol w:w="1691"/>
        <w:gridCol w:w="1696"/>
        <w:gridCol w:w="243"/>
        <w:gridCol w:w="538"/>
        <w:gridCol w:w="125"/>
        <w:gridCol w:w="125"/>
        <w:gridCol w:w="125"/>
        <w:gridCol w:w="125"/>
        <w:gridCol w:w="125"/>
        <w:gridCol w:w="211"/>
        <w:gridCol w:w="616"/>
        <w:gridCol w:w="154"/>
      </w:tblGrid>
      <w:tr>
        <w:trPr/>
        <w:tc>
          <w:tcPr>
            <w:tcW w:w="1923"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c>
          <w:tcPr>
            <w:tcW w:w="981" w:type="dxa"/>
            <w:gridSpan w:val="3"/>
            <w:tcBorders/>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color w:val="000000"/>
                <w:sz w:val="20"/>
              </w:rPr>
            </w:pPr>
            <w:r>
              <w:rPr>
                <w:rFonts w:ascii="Times New Roman;sans-serif" w:hAnsi="Times New Roman;sans-serif"/>
                <w:b/>
                <w:color w:val="000000"/>
                <w:sz w:val="20"/>
              </w:rPr>
              <w:t>Right-of-use assets obtained in exchange for lease obligations:</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future lease payments for operating leases as of June 30, 2024 were as follows (in thousands):</w:t>
      </w:r>
    </w:p>
    <w:tbl>
      <w:tblPr>
        <w:tblW w:w="5570" w:type="dxa"/>
        <w:jc w:val="left"/>
        <w:tblInd w:w="0" w:type="dxa"/>
        <w:tblLayout w:type="fixed"/>
        <w:tblCellMar>
          <w:top w:w="28" w:type="dxa"/>
          <w:left w:w="28" w:type="dxa"/>
          <w:bottom w:w="28" w:type="dxa"/>
          <w:right w:w="28" w:type="dxa"/>
        </w:tblCellMar>
      </w:tblPr>
      <w:tblGrid>
        <w:gridCol w:w="1623"/>
        <w:gridCol w:w="1426"/>
        <w:gridCol w:w="1435"/>
        <w:gridCol w:w="211"/>
        <w:gridCol w:w="721"/>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2024 (excluding the six months ended June 30,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payments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77,453 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lease terms and discount rates were as follows:</w:t>
      </w:r>
    </w:p>
    <w:tbl>
      <w:tblPr>
        <w:tblW w:w="5084" w:type="dxa"/>
        <w:jc w:val="left"/>
        <w:tblInd w:w="0" w:type="dxa"/>
        <w:tblLayout w:type="fixed"/>
        <w:tblCellMar>
          <w:top w:w="28" w:type="dxa"/>
          <w:left w:w="28" w:type="dxa"/>
          <w:bottom w:w="28" w:type="dxa"/>
          <w:right w:w="28" w:type="dxa"/>
        </w:tblCellMar>
      </w:tblPr>
      <w:tblGrid>
        <w:gridCol w:w="1416"/>
        <w:gridCol w:w="1243"/>
        <w:gridCol w:w="1255"/>
        <w:gridCol w:w="239"/>
        <w:gridCol w:w="239"/>
        <w:gridCol w:w="692"/>
      </w:tblGrid>
      <w:tr>
        <w:trPr/>
        <w:tc>
          <w:tcPr>
            <w:tcW w:w="1416"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(years)</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—INVESTMENT</w:t>
      </w:r>
    </w:p>
    <w:p>
      <w:pPr>
        <w:pStyle w:val="TextBody"/>
        <w:bidi w:val="0"/>
        <w:spacing w:lineRule="auto" w:line="288" w:before="120" w:after="283"/>
        <w:jc w:val="left"/>
        <w:rPr/>
      </w:pPr>
      <w:r>
        <w:rPr>
          <w:rFonts w:ascii="Times New Roman;sans-serif" w:hAnsi="Times New Roman;sans-serif"/>
          <w:b w:val="false"/>
          <w:color w:val="000000"/>
          <w:sz w:val="20"/>
        </w:rPr>
        <w:t>As of June 30, 2024, the Company owned 24.7% of the outstanding capital stock of Grupo Vasconia S.A.B. (“Vasconia”), an integrated manufacturer of aluminum products and a housewares company in Mexico. Shares of Vasconia’s capital stock are traded on the Bolsa Mexicana de Valores, the Mexican Stock Exchange. The Quotation Key is VASCONI. During the second quarter of 2024, Vasconia’s shareholders’ approved a resolution to a reorganization process in terms of the Law of Commercial Bankruptcy in Mexico and subsequently a bankruptcy suit was filed against Vasconia by one of its largest suppliers. The Company concluded that the recent events constituted a loss of significant influence and resulted in the discontinuation of the equity method of accounting.</w:t>
      </w:r>
      <w:r>
        <w:rPr>
          <w:color w:val="000000"/>
        </w:rPr>
        <w:t xml:space="preserve"> </w:t>
      </w:r>
      <w:r>
        <w:rPr>
          <w:rFonts w:ascii="Times New Roman;sans-serif" w:hAnsi="Times New Roman;sans-serif"/>
          <w:b w:val="false"/>
          <w:color w:val="000000"/>
          <w:sz w:val="20"/>
        </w:rPr>
        <w:t xml:space="preserve">The Company will account for its Vasconia investment at fair value in accordance with Accounting Standards Codification (“ASC”) </w:t>
      </w:r>
      <w:r>
        <w:rPr>
          <w:rFonts w:ascii="Times New Roman;sans-serif" w:hAnsi="Times New Roman;sans-serif"/>
          <w:b w:val="false"/>
          <w:i/>
          <w:color w:val="000000"/>
          <w:sz w:val="20"/>
        </w:rPr>
        <w:t>Topic 321: Investments — Equity Securities</w:t>
      </w:r>
      <w:r>
        <w:rPr>
          <w:rFonts w:ascii="Times New Roman;sans-serif" w:hAnsi="Times New Roman;sans-serif"/>
          <w:b w:val="false"/>
          <w:color w:val="000000"/>
          <w:sz w:val="20"/>
        </w:rPr>
        <w:t>, with any changes in fair value recorded within income (loss) on equity securities on the consolidated statements of operations. As a result of the loss of significant influence, the accumulated other comprehensive losses previously recognized under the equity method of accounting was reclassified to the carrying value of the Vasconia investment and subsequently resulted in a non-cash loss of $14.2 million to reduce the investment to its fair value. The fair value of the Vasconia investment was not material as of June 30,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Given Vasconia's limited trading activity, recent operating results of Vasconia and impact of the bankruptcy related activity, the fair value of the Vasconia investment was measured using the income approach based on Level 3 unobservable inputs.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accounting for the investment in Vasconia at fair value, equity in losses, net of taxes recognized for the six months ended June 30, 2024 and the three and six months ended June 30, 2023, included the following:</w:t>
      </w:r>
    </w:p>
    <w:tbl>
      <w:tblPr>
        <w:tblW w:w="8040" w:type="dxa"/>
        <w:jc w:val="left"/>
        <w:tblInd w:w="0" w:type="dxa"/>
        <w:tblLayout w:type="fixed"/>
        <w:tblCellMar>
          <w:top w:w="28" w:type="dxa"/>
          <w:left w:w="28" w:type="dxa"/>
          <w:bottom w:w="28" w:type="dxa"/>
          <w:right w:w="28" w:type="dxa"/>
        </w:tblCellMar>
      </w:tblPr>
      <w:tblGrid>
        <w:gridCol w:w="1177"/>
        <w:gridCol w:w="1035"/>
        <w:gridCol w:w="1043"/>
        <w:gridCol w:w="211"/>
        <w:gridCol w:w="406"/>
        <w:gridCol w:w="109"/>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17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Vasconia equity in losses, net of taxes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on investment in Vasconia</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net of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325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 INTANGIBLE ASSETS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 as of June 30, 2024 and December 31, 2023 (in thousands):</w:t>
      </w:r>
    </w:p>
    <w:tbl>
      <w:tblPr>
        <w:tblW w:w="10205" w:type="dxa"/>
        <w:jc w:val="left"/>
        <w:tblInd w:w="0" w:type="dxa"/>
        <w:tblLayout w:type="fixed"/>
        <w:tblCellMar>
          <w:top w:w="28" w:type="dxa"/>
          <w:left w:w="28" w:type="dxa"/>
          <w:bottom w:w="28" w:type="dxa"/>
          <w:right w:w="28" w:type="dxa"/>
        </w:tblCellMar>
      </w:tblPr>
      <w:tblGrid>
        <w:gridCol w:w="629"/>
        <w:gridCol w:w="552"/>
        <w:gridCol w:w="557"/>
        <w:gridCol w:w="196"/>
        <w:gridCol w:w="736"/>
        <w:gridCol w:w="109"/>
        <w:gridCol w:w="109"/>
        <w:gridCol w:w="109"/>
        <w:gridCol w:w="109"/>
        <w:gridCol w:w="109"/>
        <w:gridCol w:w="109"/>
        <w:gridCol w:w="196"/>
        <w:gridCol w:w="787"/>
        <w:gridCol w:w="109"/>
        <w:gridCol w:w="109"/>
        <w:gridCol w:w="109"/>
        <w:gridCol w:w="109"/>
        <w:gridCol w:w="196"/>
        <w:gridCol w:w="736"/>
        <w:gridCol w:w="109"/>
        <w:gridCol w:w="109"/>
        <w:gridCol w:w="109"/>
        <w:gridCol w:w="109"/>
        <w:gridCol w:w="196"/>
        <w:gridCol w:w="736"/>
        <w:gridCol w:w="109"/>
        <w:gridCol w:w="109"/>
        <w:gridCol w:w="109"/>
        <w:gridCol w:w="109"/>
        <w:gridCol w:w="109"/>
        <w:gridCol w:w="109"/>
        <w:gridCol w:w="196"/>
        <w:gridCol w:w="787"/>
        <w:gridCol w:w="109"/>
        <w:gridCol w:w="109"/>
        <w:gridCol w:w="109"/>
        <w:gridCol w:w="109"/>
        <w:gridCol w:w="196"/>
        <w:gridCol w:w="736"/>
        <w:gridCol w:w="157"/>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78"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2617" w:type="dxa"/>
            <w:gridSpan w:val="10"/>
            <w:tcBorders/>
          </w:tcPr>
          <w:p>
            <w:pPr>
              <w:pStyle w:val="TableContents"/>
              <w:bidi w:val="0"/>
              <w:spacing w:before="0" w:after="283"/>
              <w:jc w:val="left"/>
              <w:rPr>
                <w:sz w:val="4"/>
                <w:szCs w:val="4"/>
              </w:rPr>
            </w:pPr>
            <w:r>
              <w:rPr>
                <w:sz w:val="4"/>
                <w:szCs w:val="4"/>
              </w:rPr>
            </w:r>
          </w:p>
        </w:tc>
      </w:tr>
      <w:tr>
        <w:trPr/>
        <w:tc>
          <w:tcPr>
            <w:tcW w:w="1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Goodwill</w:t>
            </w:r>
            <w:r>
              <w:rPr>
                <w:rFonts w:ascii="Times New Roman;sans-serif" w:hAnsi="Times New Roman;sans-serif"/>
                <w:b/>
                <w:color w:val="000000"/>
                <w:sz w:val="12"/>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33,237 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Indefinite-lived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names</w:t>
            </w:r>
            <w:r>
              <w:rPr>
                <w:rFonts w:ascii="Times New Roman;sans-serif" w:hAnsi="Times New Roman;sans-serif"/>
                <w:b w:val="false"/>
                <w:color w:val="000000"/>
                <w:sz w:val="12"/>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Finite-lived intangible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names</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Customer relationships</w:t>
            </w:r>
            <w:r>
              <w:rPr>
                <w:rFonts w:ascii="Times New Roman;sans-serif" w:hAnsi="Times New Roman;sans-serif"/>
                <w:b w:val="false"/>
                <w:color w:val="000000"/>
                <w:sz w:val="12"/>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79,528 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302,590 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(110,966)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191,624 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302,607 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199,133 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3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The gross and net value at June 30, 2024 and December 31, 2023 reflect a reduction of $91.7 million in impairment charges on goodwill and $1.0 million in impairment charges on indefinite-lived intangible assets.</w:t>
      </w:r>
    </w:p>
    <w:p>
      <w:pPr>
        <w:pStyle w:val="TextBody"/>
        <w:bidi w:val="0"/>
        <w:spacing w:lineRule="auto" w:line="288" w:before="60" w:after="283"/>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The gross value and accumulated amortization at June 30, 2024 and December 31, 2023 reflect a reduction of $44.1 million and $(29.3) million, respectively, for the net $14.8 million previous impairment charge on finite-lived intangible assets within the international segment and a $6.5 million reduction in gross value for previous impairment charges on finite-lived intangible assets within the U.S.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requires the Company to make quarterly payments of principal each equal to 1.25% of the aggregate principal amount of the Term Loan, commencing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maximum borrowing amount under the ABL Agreement may be increased to up to $250.0 million if certain conditions are met. One or more tranches of additional term loans (the “Incremental Term Facilities”) may be added under the Term Loan if 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the total availability under the ABL Agreement were as follows (in thousands):</w:t>
      </w:r>
    </w:p>
    <w:tbl>
      <w:tblPr>
        <w:tblW w:w="719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17"/>
        <w:gridCol w:w="817"/>
        <w:gridCol w:w="121"/>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135,531 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118,630 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June 30, 2024, the availability under the ABL Agreement, limited by the Term Loan financial covenant, was $97.2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096"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217"/>
        <w:gridCol w:w="817"/>
        <w:gridCol w:w="121"/>
        <w:gridCol w:w="109"/>
        <w:gridCol w:w="109"/>
        <w:gridCol w:w="109"/>
        <w:gridCol w:w="291"/>
        <w:gridCol w:w="1093"/>
        <w:gridCol w:w="161"/>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Excess Cash Flow principal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133,278 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Excess Cash Flow principal payment recorded at June 30, 2024 represents the Company’s estimate for the Excess Cash Flow Payment due in 2025. There was no Excess Cash Flow payment due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June 30, 2024 was between 4.91% and 8.75%. The Company paid a commitment fee of 0.25% on the unused portion of the ABL Agreement during the six months ended June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June 30, 2024 was 10.94%.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covenants of the Debt Agreements at June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2023, the Company completed the repurchase of $47.2 million in principal amount of the Term Loan, for $95 per $100 of principal. The repurchase was executed by way of a reverse Dutch auction, pursuant to and in accordance with the terms and conditions provided for in the Term Loan. In connection therewith, debt issuance costs of $0.5 million were written off and fees of $0.4 million were incurred. The gain on the early retirement of the Term Loan of $1.5 million, net of fees and expenses, was recognized during the three and six months ended June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it will continue to borrow, subject to availability, and repay funds under the ABL Agreement based on working capital and other corporate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NOTE 7</w:t>
      </w:r>
      <w:r>
        <w:rPr>
          <w:color w:val="000000"/>
        </w:rPr>
        <w:t xml:space="preserve"> — </w:t>
      </w:r>
      <w:r>
        <w:rPr>
          <w:rFonts w:ascii="Times New Roman;sans-serif" w:hAnsi="Times New Roman;sans-serif"/>
          <w:b/>
          <w:color w:val="000000"/>
          <w:sz w:val="20"/>
        </w:rPr>
        <w:t xml:space="preserve">DERIVATIVES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2019 the Company entered into interest rate swap agreements, with an aggregate notional value of $25.0 million and expire in February 2025. In March 2024, the Company entered into a new interest rate swap agreement,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June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swaps that were designated as cash flow hedges of the Company’s exposure to the variability of the payment of interest on a portion of its Term Loan borrowings expired in March 2023. The Company has no designated interest rate swaps at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Exchange Contracts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gross notional value of foreign exchange contracts at June 30, 2024 was $5.2 million. These foreign exchange contracts have been designated as hedges in order to apply hedge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June 30, 2024, these foreign exchange contracts have been designated as hedges in to order to apply hedge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derivative financial instruments included in the condensed consolidated balance sheets are presented as follows (in thousands):</w:t>
      </w:r>
    </w:p>
    <w:tbl>
      <w:tblPr>
        <w:tblW w:w="9817" w:type="dxa"/>
        <w:jc w:val="left"/>
        <w:tblInd w:w="0" w:type="dxa"/>
        <w:tblLayout w:type="fixed"/>
        <w:tblCellMar>
          <w:top w:w="28" w:type="dxa"/>
          <w:left w:w="28" w:type="dxa"/>
          <w:bottom w:w="28" w:type="dxa"/>
          <w:right w:w="28" w:type="dxa"/>
        </w:tblCellMar>
      </w:tblPr>
      <w:tblGrid>
        <w:gridCol w:w="1249"/>
        <w:gridCol w:w="1098"/>
        <w:gridCol w:w="1102"/>
        <w:gridCol w:w="1014"/>
        <w:gridCol w:w="1014"/>
        <w:gridCol w:w="1017"/>
        <w:gridCol w:w="109"/>
        <w:gridCol w:w="109"/>
        <w:gridCol w:w="109"/>
        <w:gridCol w:w="347"/>
        <w:gridCol w:w="586"/>
        <w:gridCol w:w="192"/>
        <w:gridCol w:w="109"/>
        <w:gridCol w:w="109"/>
        <w:gridCol w:w="109"/>
        <w:gridCol w:w="443"/>
        <w:gridCol w:w="750"/>
        <w:gridCol w:w="351"/>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designated as hedging instruments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56 </w:t>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vAlign w:val="center"/>
          </w:tcPr>
          <w:p>
            <w:pPr>
              <w:pStyle w:val="TableContents"/>
              <w:bidi w:val="0"/>
              <w:spacing w:before="0" w:after="283"/>
              <w:jc w:val="left"/>
              <w:rPr>
                <w:sz w:val="4"/>
                <w:szCs w:val="4"/>
              </w:rPr>
            </w:pPr>
            <w:r>
              <w:rPr>
                <w:sz w:val="4"/>
                <w:szCs w:val="4"/>
              </w:rPr>
            </w:r>
          </w:p>
        </w:tc>
        <w:tc>
          <w:tcPr>
            <w:tcW w:w="3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101" w:type="dxa"/>
        <w:jc w:val="left"/>
        <w:tblInd w:w="0" w:type="dxa"/>
        <w:tblLayout w:type="fixed"/>
        <w:tblCellMar>
          <w:top w:w="28" w:type="dxa"/>
          <w:left w:w="28" w:type="dxa"/>
          <w:bottom w:w="28" w:type="dxa"/>
          <w:right w:w="28" w:type="dxa"/>
        </w:tblCellMar>
      </w:tblPr>
      <w:tblGrid>
        <w:gridCol w:w="1352"/>
        <w:gridCol w:w="1189"/>
        <w:gridCol w:w="1193"/>
        <w:gridCol w:w="1014"/>
        <w:gridCol w:w="1014"/>
        <w:gridCol w:w="1017"/>
        <w:gridCol w:w="109"/>
        <w:gridCol w:w="109"/>
        <w:gridCol w:w="109"/>
        <w:gridCol w:w="303"/>
        <w:gridCol w:w="652"/>
        <w:gridCol w:w="169"/>
        <w:gridCol w:w="109"/>
        <w:gridCol w:w="109"/>
        <w:gridCol w:w="109"/>
        <w:gridCol w:w="399"/>
        <w:gridCol w:w="828"/>
        <w:gridCol w:w="317"/>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Derivatives not designated as hedging instruments</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7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793 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As of June 30, 2024, the Company did not anticipate non-performance by any of its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amounts of gains and losses, realized and unrealized, related to the Company’s derivative financial instruments designated as hedging instruments are recognized in other comprehensive income, net of taxes, as follows (in thousands):</w:t>
      </w:r>
    </w:p>
    <w:tbl>
      <w:tblPr>
        <w:tblW w:w="7889" w:type="dxa"/>
        <w:jc w:val="left"/>
        <w:tblInd w:w="0" w:type="dxa"/>
        <w:tblLayout w:type="fixed"/>
        <w:tblCellMar>
          <w:top w:w="28" w:type="dxa"/>
          <w:left w:w="28" w:type="dxa"/>
          <w:bottom w:w="28" w:type="dxa"/>
          <w:right w:w="28" w:type="dxa"/>
        </w:tblCellMar>
      </w:tblPr>
      <w:tblGrid>
        <w:gridCol w:w="1338"/>
        <w:gridCol w:w="1172"/>
        <w:gridCol w:w="1179"/>
        <w:gridCol w:w="196"/>
        <w:gridCol w:w="406"/>
        <w:gridCol w:w="109"/>
        <w:gridCol w:w="109"/>
        <w:gridCol w:w="109"/>
        <w:gridCol w:w="109"/>
        <w:gridCol w:w="196"/>
        <w:gridCol w:w="496"/>
        <w:gridCol w:w="109"/>
        <w:gridCol w:w="109"/>
        <w:gridCol w:w="109"/>
        <w:gridCol w:w="109"/>
        <w:gridCol w:w="196"/>
        <w:gridCol w:w="421"/>
        <w:gridCol w:w="109"/>
        <w:gridCol w:w="109"/>
        <w:gridCol w:w="109"/>
        <w:gridCol w:w="109"/>
        <w:gridCol w:w="196"/>
        <w:gridCol w:w="631"/>
        <w:gridCol w:w="154"/>
      </w:tblGrid>
      <w:tr>
        <w:trPr/>
        <w:tc>
          <w:tcPr>
            <w:tcW w:w="133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designated as hedging instruments</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exchange contracts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the interest rate swaps that are reported in other comprehensive income are reclassified into earnings as the interest expense on the debt is recognized. The Company’s interest rate swaps that were designated as hedging instruments had an aggregate notional value of $25.0 million and matured during the three months ended March 31,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gains and losses on foreign exchange contracts that are reported in other comprehensive income are reclassified into cost of sales as the underlying inventory purchased is sold.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the Company reclassified $0.02 million and $0.2 million, respectively, of cash flow hedges in accumulated other comprehensive losses to earnings, related to foreign exchange contracts recognized in cost of sales. At June 30, 2024, the estimated amount of existing net losses expected to be reclassified into earnings within the next 12 months was below $0.1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2023, the Company reclassified $0.04 million of cash flow hedges in accumulated other comprehensive losses to earnings. This was a gain of $0.04 million related to foreign exchange contracts recognized in cost of sales. During the six months ended June 30, 2023, the Company reclassified $0.9 million of cash flow hedges in accumulated other comprehensive losses to earnings. This was comprised of a gain of $0.1 million related to realized interest rate swap and a gain of $0.8 million related to foreign exchange contracts recognized in cost of sales.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mark to market (losses) gains related to the Company’s derivative financial instruments not designated as hedging instruments that were recognized in earnings are as follows (in thousands):</w:t>
      </w:r>
    </w:p>
    <w:tbl>
      <w:tblPr>
        <w:tblW w:w="10205" w:type="dxa"/>
        <w:jc w:val="left"/>
        <w:tblInd w:w="0" w:type="dxa"/>
        <w:tblLayout w:type="fixed"/>
        <w:tblCellMar>
          <w:top w:w="28" w:type="dxa"/>
          <w:left w:w="28" w:type="dxa"/>
          <w:bottom w:w="28" w:type="dxa"/>
          <w:right w:w="28" w:type="dxa"/>
        </w:tblCellMar>
      </w:tblPr>
      <w:tblGrid>
        <w:gridCol w:w="1031"/>
        <w:gridCol w:w="904"/>
        <w:gridCol w:w="909"/>
        <w:gridCol w:w="1015"/>
        <w:gridCol w:w="1015"/>
        <w:gridCol w:w="1019"/>
        <w:gridCol w:w="109"/>
        <w:gridCol w:w="109"/>
        <w:gridCol w:w="109"/>
        <w:gridCol w:w="196"/>
        <w:gridCol w:w="421"/>
        <w:gridCol w:w="109"/>
        <w:gridCol w:w="109"/>
        <w:gridCol w:w="109"/>
        <w:gridCol w:w="109"/>
        <w:gridCol w:w="196"/>
        <w:gridCol w:w="421"/>
        <w:gridCol w:w="109"/>
        <w:gridCol w:w="109"/>
        <w:gridCol w:w="109"/>
        <w:gridCol w:w="109"/>
        <w:gridCol w:w="196"/>
        <w:gridCol w:w="472"/>
        <w:gridCol w:w="109"/>
        <w:gridCol w:w="109"/>
        <w:gridCol w:w="109"/>
        <w:gridCol w:w="109"/>
        <w:gridCol w:w="196"/>
        <w:gridCol w:w="421"/>
        <w:gridCol w:w="158"/>
      </w:tblGrid>
      <w:tr>
        <w:trPr/>
        <w:tc>
          <w:tcPr>
            <w:tcW w:w="1031"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2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3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swaps</w:t>
            </w:r>
          </w:p>
        </w:tc>
        <w:tc>
          <w:tcPr>
            <w:tcW w:w="3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gain on interest rate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844" w:type="dxa"/>
            <w:gridSpan w:val="3"/>
            <w:tcBorders/>
            <w:vAlign w:val="center"/>
          </w:tcPr>
          <w:p>
            <w:pPr>
              <w:pStyle w:val="TableContents"/>
              <w:bidi w:val="0"/>
              <w:spacing w:before="0" w:after="283"/>
              <w:jc w:val="left"/>
              <w:rPr>
                <w:sz w:val="4"/>
                <w:szCs w:val="4"/>
              </w:rPr>
            </w:pPr>
            <w:r>
              <w:rPr>
                <w:sz w:val="4"/>
                <w:szCs w:val="4"/>
              </w:rPr>
            </w:r>
          </w:p>
        </w:tc>
        <w:tc>
          <w:tcPr>
            <w:tcW w:w="3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ans-serif" w:hAnsi="Times New Roman;sans-serif"/>
          <w:b/>
          <w:color w:val="000000"/>
          <w:sz w:val="20"/>
        </w:rPr>
        <w:t>NOTE 8</w:t>
      </w:r>
      <w:r>
        <w:rPr>
          <w:color w:val="000000"/>
        </w:rPr>
        <w:t xml:space="preserve"> — </w:t>
      </w:r>
      <w:r>
        <w:rPr>
          <w:rFonts w:ascii="Times New Roman;sans-serif" w:hAnsi="Times New Roman;sans-serif"/>
          <w:b/>
          <w:color w:val="000000"/>
          <w:sz w:val="20"/>
        </w:rPr>
        <w:t>STOCK COMPENSATION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20, 2024, the stockholders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1,500,000 shares. As of June 30, 2024, there were 1,804,161 shares available for the grant of awards under the Plan, assuming maximum performance of performance-based awards.</w:t>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Option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and related information for the six months ended June 30, 2024 is as follows:</w:t>
      </w:r>
    </w:p>
    <w:tbl>
      <w:tblPr>
        <w:tblW w:w="10205" w:type="dxa"/>
        <w:jc w:val="left"/>
        <w:tblInd w:w="0" w:type="dxa"/>
        <w:tblLayout w:type="fixed"/>
        <w:tblCellMar>
          <w:top w:w="28" w:type="dxa"/>
          <w:left w:w="28" w:type="dxa"/>
          <w:bottom w:w="28" w:type="dxa"/>
          <w:right w:w="28" w:type="dxa"/>
        </w:tblCellMar>
      </w:tblPr>
      <w:tblGrid>
        <w:gridCol w:w="1816"/>
        <w:gridCol w:w="1574"/>
        <w:gridCol w:w="1577"/>
        <w:gridCol w:w="253"/>
        <w:gridCol w:w="552"/>
        <w:gridCol w:w="109"/>
        <w:gridCol w:w="109"/>
        <w:gridCol w:w="109"/>
        <w:gridCol w:w="109"/>
        <w:gridCol w:w="252"/>
        <w:gridCol w:w="717"/>
        <w:gridCol w:w="142"/>
        <w:gridCol w:w="109"/>
        <w:gridCol w:w="109"/>
        <w:gridCol w:w="109"/>
        <w:gridCol w:w="325"/>
        <w:gridCol w:w="325"/>
        <w:gridCol w:w="326"/>
        <w:gridCol w:w="109"/>
        <w:gridCol w:w="109"/>
        <w:gridCol w:w="109"/>
        <w:gridCol w:w="317"/>
        <w:gridCol w:w="683"/>
        <w:gridCol w:w="256"/>
      </w:tblGrid>
      <w:tr>
        <w:trPr/>
        <w:tc>
          <w:tcPr>
            <w:tcW w:w="181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4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remaining</w:t>
              <w:br/>
              <w:t>contractual</w:t>
              <w:br/>
              <w:t>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w:t>
              <w:br/>
              <w:t>intrinsic</w:t>
              <w:br/>
              <w:t xml:space="preserve">value </w:t>
              <w:br/>
              <w:t>(in thousands)</w:t>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outstanding, January 1, 2024</w:t>
            </w:r>
          </w:p>
        </w:tc>
        <w:tc>
          <w:tcPr>
            <w:tcW w:w="8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8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496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Expirations</w:t>
            </w:r>
          </w:p>
        </w:tc>
        <w:tc>
          <w:tcPr>
            <w:tcW w:w="8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outstanding, June 30, 2024</w:t>
            </w:r>
          </w:p>
        </w:tc>
        <w:tc>
          <w:tcPr>
            <w:tcW w:w="8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Options exercisable, June 30, 2024</w:t>
            </w:r>
          </w:p>
        </w:tc>
        <w:tc>
          <w:tcPr>
            <w:tcW w:w="80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674,500 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stock option expense remaining (in thousands)</w:t>
            </w:r>
          </w:p>
        </w:tc>
        <w:tc>
          <w:tcPr>
            <w:tcW w:w="25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in the table above represents the total pre-tax intrinsic value that would have been received by the option holders had all option holders exercised their stock options on June 30, 2024. The intrinsic value is calculated for each in-the-money stock option as the difference between the closing price of the Company’s common stock on June 30, 2024 and the exercise price.</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restricted stock activity and related information for the six months ended June 30, 2024 is as follows:</w:t>
      </w:r>
    </w:p>
    <w:tbl>
      <w:tblPr>
        <w:tblW w:w="7791" w:type="dxa"/>
        <w:jc w:val="left"/>
        <w:tblInd w:w="0" w:type="dxa"/>
        <w:tblLayout w:type="fixed"/>
        <w:tblCellMar>
          <w:top w:w="28" w:type="dxa"/>
          <w:left w:w="28" w:type="dxa"/>
          <w:bottom w:w="28" w:type="dxa"/>
          <w:right w:w="28" w:type="dxa"/>
        </w:tblCellMar>
      </w:tblPr>
      <w:tblGrid>
        <w:gridCol w:w="1934"/>
        <w:gridCol w:w="1698"/>
        <w:gridCol w:w="1708"/>
        <w:gridCol w:w="210"/>
        <w:gridCol w:w="600"/>
        <w:gridCol w:w="113"/>
        <w:gridCol w:w="109"/>
        <w:gridCol w:w="109"/>
        <w:gridCol w:w="109"/>
        <w:gridCol w:w="288"/>
        <w:gridCol w:w="685"/>
        <w:gridCol w:w="228"/>
      </w:tblGrid>
      <w:tr>
        <w:trPr/>
        <w:tc>
          <w:tcPr>
            <w:tcW w:w="1934"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January 1, 2024</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597,528 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313,199 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(306,425)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restricted shares, June 30, 2024</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595,703 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unrecognized compensation expense remaining (in thousands)</w:t>
            </w:r>
          </w:p>
        </w:tc>
        <w:tc>
          <w:tcPr>
            <w:tcW w:w="21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4,976 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restricted stock that vested during the six months ended June 30, 2024 was $2.8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Each performance award represents the right to receive up to 150% of the target number of shares of common stock. The number of shares of common stock earned will be determined based on the attainment of specified performance goals at the end of the performance period, as determined by the Compensation Committee of the Board. The shares are subject to the terms and conditions of the Company’s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performance-based award activity and related information for the six months ended June 30, 2024 is as follows:</w:t>
      </w:r>
    </w:p>
    <w:tbl>
      <w:tblPr>
        <w:tblW w:w="8156" w:type="dxa"/>
        <w:jc w:val="left"/>
        <w:tblInd w:w="0" w:type="dxa"/>
        <w:tblLayout w:type="fixed"/>
        <w:tblCellMar>
          <w:top w:w="28" w:type="dxa"/>
          <w:left w:w="28" w:type="dxa"/>
          <w:bottom w:w="28" w:type="dxa"/>
          <w:right w:w="28" w:type="dxa"/>
        </w:tblCellMar>
      </w:tblPr>
      <w:tblGrid>
        <w:gridCol w:w="1989"/>
        <w:gridCol w:w="1746"/>
        <w:gridCol w:w="1754"/>
        <w:gridCol w:w="259"/>
        <w:gridCol w:w="736"/>
        <w:gridCol w:w="144"/>
        <w:gridCol w:w="109"/>
        <w:gridCol w:w="109"/>
        <w:gridCol w:w="109"/>
        <w:gridCol w:w="259"/>
        <w:gridCol w:w="737"/>
        <w:gridCol w:w="205"/>
      </w:tblGrid>
      <w:tr>
        <w:trPr/>
        <w:tc>
          <w:tcPr>
            <w:tcW w:w="1989"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Performance-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based stock</w:t>
            </w:r>
          </w:p>
          <w:p>
            <w:pPr>
              <w:pStyle w:val="TableContents"/>
              <w:bidi w:val="0"/>
              <w:spacing w:lineRule="auto" w:line="240" w:before="0" w:after="0"/>
              <w:jc w:val="center"/>
              <w:rPr/>
            </w:pPr>
            <w:r>
              <w:rPr>
                <w:rFonts w:ascii="Times New Roman;sans-serif" w:hAnsi="Times New Roman;sans-serif"/>
                <w:b/>
                <w:color w:val="000000"/>
                <w:sz w:val="18"/>
              </w:rPr>
              <w:t xml:space="preserve">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grant</w:t>
              <w:br/>
              <w:t>date fair</w:t>
              <w:br/>
              <w:t>value</w:t>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January 1, 2024</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486,972 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219,975 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(152,188)</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(23,815)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performance-based awards, June 30, 2024</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530,944 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Total unrecognized compensation expense remaining (in thousands)</w:t>
            </w:r>
            <w:r>
              <w:rPr>
                <w:rFonts w:ascii="Times New Roman;sans-serif" w:hAnsi="Times New Roman;sans-serif"/>
                <w:b w:val="false"/>
                <w:color w:val="000000"/>
                <w:sz w:val="12"/>
              </w:rPr>
              <w:t>(2)</w:t>
            </w:r>
          </w:p>
        </w:tc>
        <w:tc>
          <w:tcPr>
            <w:tcW w:w="25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2,437 </w:t>
            </w:r>
          </w:p>
        </w:tc>
        <w:tc>
          <w:tcPr>
            <w:tcW w:w="1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Represents the target number of shares to be issued for each performance-based award.</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The performance metric for the performance-based awards granted in 2022 is not probable of achievement. Therefore, no compensation expense has been recorded on these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fair value of performance-based awards that vested during the six months ended June 30, 2024 was $1.5 million.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Cash-settled performance-based awards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The cash-settled performance-based awards are subject to the terms and conditions of the Company’s Plan.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cash-settled performance-based awards activity and related information for the six months ended June 30, 2024 is as follows:</w:t>
      </w:r>
    </w:p>
    <w:tbl>
      <w:tblPr>
        <w:tblW w:w="10205" w:type="dxa"/>
        <w:jc w:val="left"/>
        <w:tblInd w:w="0" w:type="dxa"/>
        <w:tblLayout w:type="fixed"/>
        <w:tblCellMar>
          <w:top w:w="28" w:type="dxa"/>
          <w:left w:w="28" w:type="dxa"/>
          <w:bottom w:w="28" w:type="dxa"/>
          <w:right w:w="28" w:type="dxa"/>
        </w:tblCellMar>
      </w:tblPr>
      <w:tblGrid>
        <w:gridCol w:w="1973"/>
        <w:gridCol w:w="1732"/>
        <w:gridCol w:w="1740"/>
        <w:gridCol w:w="931"/>
        <w:gridCol w:w="1931"/>
        <w:gridCol w:w="520"/>
        <w:gridCol w:w="109"/>
        <w:gridCol w:w="109"/>
        <w:gridCol w:w="109"/>
        <w:gridCol w:w="251"/>
        <w:gridCol w:w="598"/>
        <w:gridCol w:w="202"/>
      </w:tblGrid>
      <w:tr>
        <w:trPr/>
        <w:tc>
          <w:tcPr>
            <w:tcW w:w="197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Cash-settled performance-based awards </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w:t>
              <w:br/>
              <w:t>average fair</w:t>
              <w:br/>
              <w:t>value</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January 1, 2024</w:t>
            </w:r>
          </w:p>
        </w:tc>
        <w:tc>
          <w:tcPr>
            <w:tcW w:w="2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83,611 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6.71 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3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Cancellations</w:t>
            </w:r>
          </w:p>
        </w:tc>
        <w:tc>
          <w:tcPr>
            <w:tcW w:w="2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w:t>
            </w:r>
          </w:p>
        </w:tc>
        <w:tc>
          <w:tcPr>
            <w:tcW w:w="5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Non-vested cash-settled performance-based awards, June 30, 2024</w:t>
            </w:r>
          </w:p>
        </w:tc>
        <w:tc>
          <w:tcPr>
            <w:tcW w:w="28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82,342 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Total unrecognized compensation expense remaining (in thousands)</w:t>
            </w:r>
            <w:r>
              <w:rPr>
                <w:rFonts w:ascii="Times New Roman;sans-serif" w:hAnsi="Times New Roman;sans-serif"/>
                <w:b w:val="false"/>
                <w:color w:val="000000"/>
                <w:sz w:val="12"/>
              </w:rPr>
              <w:t>(2)</w:t>
            </w:r>
          </w:p>
        </w:tc>
        <w:tc>
          <w:tcPr>
            <w:tcW w:w="9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9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years expected to be recognized over</w:t>
            </w:r>
          </w:p>
        </w:tc>
        <w:tc>
          <w:tcPr>
            <w:tcW w:w="3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 xml:space="preserve">Represents the target number of units to be settled in cash. </w:t>
      </w:r>
    </w:p>
    <w:p>
      <w:pPr>
        <w:pStyle w:val="TextBody"/>
        <w:bidi w:val="0"/>
        <w:spacing w:lineRule="auto" w:line="288" w:before="60" w:after="283"/>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performance metric for the cash-settled performance-based awards granted in 2022 is not probable of achievement. Therefore, no compensation expense has been recorded on these awards.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 compensation expense as follows (in thousands):</w:t>
      </w:r>
    </w:p>
    <w:tbl>
      <w:tblPr>
        <w:tblW w:w="8684" w:type="dxa"/>
        <w:jc w:val="left"/>
        <w:tblInd w:w="0" w:type="dxa"/>
        <w:tblLayout w:type="fixed"/>
        <w:tblCellMar>
          <w:top w:w="28" w:type="dxa"/>
          <w:left w:w="28" w:type="dxa"/>
          <w:bottom w:w="28" w:type="dxa"/>
          <w:right w:w="28" w:type="dxa"/>
        </w:tblCellMar>
      </w:tblPr>
      <w:tblGrid>
        <w:gridCol w:w="1526"/>
        <w:gridCol w:w="1342"/>
        <w:gridCol w:w="1346"/>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Six Months Ended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Components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based stock option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and performance-based stock awards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 compensation expense for equity based awards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based stock option expense</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 Compensation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—LOSS PER COMMON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loss per common share has been computed by dividing net loss by the weighted-average number of shares of the Company’s common stock outstanding during the relevant period. Diluted loss per common share adjusts net loss and basic loss per common share for the effect of all potentially dilutive shares of the Company’s common stock. Anti-dilutive securities are not included in the computation of diluted earnings per share under the treasury stock method.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calculations of basic and diluted loss per common share for the three and six months ended June 30, 2024 and 2023 are as follows:</w:t>
      </w:r>
    </w:p>
    <w:tbl>
      <w:tblPr>
        <w:tblW w:w="8805" w:type="dxa"/>
        <w:jc w:val="left"/>
        <w:tblInd w:w="0" w:type="dxa"/>
        <w:tblLayout w:type="fixed"/>
        <w:tblCellMar>
          <w:top w:w="28" w:type="dxa"/>
          <w:left w:w="28" w:type="dxa"/>
          <w:bottom w:w="28" w:type="dxa"/>
          <w:right w:w="28" w:type="dxa"/>
        </w:tblCellMar>
      </w:tblPr>
      <w:tblGrid>
        <w:gridCol w:w="1362"/>
        <w:gridCol w:w="1199"/>
        <w:gridCol w:w="1204"/>
        <w:gridCol w:w="196"/>
        <w:gridCol w:w="721"/>
        <w:gridCol w:w="109"/>
        <w:gridCol w:w="109"/>
        <w:gridCol w:w="109"/>
        <w:gridCol w:w="109"/>
        <w:gridCol w:w="196"/>
        <w:gridCol w:w="631"/>
        <w:gridCol w:w="109"/>
        <w:gridCol w:w="109"/>
        <w:gridCol w:w="109"/>
        <w:gridCol w:w="109"/>
        <w:gridCol w:w="196"/>
        <w:gridCol w:w="721"/>
        <w:gridCol w:w="109"/>
        <w:gridCol w:w="109"/>
        <w:gridCol w:w="109"/>
        <w:gridCol w:w="109"/>
        <w:gridCol w:w="196"/>
        <w:gridCol w:w="721"/>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 except per share amounts)</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Net loss –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Weighted-average shares outstanding – Basic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Effect of dilutive securities: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18"/>
              </w:rPr>
              <w:t>Stock options and other stock awards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Weighted-average shares outstanding – Diluted</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Basic loss per common share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Diluted loss per common share</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Antidilutive Securities</w:t>
            </w:r>
            <w:r>
              <w:rPr>
                <w:rFonts w:ascii="Times New Roman;sans-serif" w:hAnsi="Times New Roman;sans-serif"/>
                <w:b/>
                <w:color w:val="000000"/>
                <w:sz w:val="12"/>
              </w:rPr>
              <w:t>(1)</w:t>
            </w:r>
          </w:p>
        </w:tc>
        <w:tc>
          <w:tcPr>
            <w:tcW w:w="1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1,603</w:t>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Stock options and other stock awards that have been excluded from the denominator as their inclusion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of $0.1 million and income tax provision of $0.2 million for the three and six months ended June 30, 2024, respectively, represent taxes on both U.S. and foreign earnings at a combined effective income tax benefit rate of 0.3% and provision rate of (0.7)%, respectively. The effective tax rate for the three months ended June 30, 2024 differs from the federal statutory income tax rate of 21.0% primarily due to the expiration of non-qualified stock options and the vesting of equity-based awards, where the book expense exceeded the tax deduction upon vesting, and foreign losses for which no tax benefit is recognized as such amounts are fully offset with a valuation allowance. The negative rate for the six months ended June 30, 2024 reflects tax expense on a pretax financial reporting loss. The effective tax rate for the six months ended June 30, 2024 differs from the federal statutory income tax rate of 21.0% primarily due to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of $1.2 million and income tax benefit of $0.1 million for the three and six months ended June 30, 2023, respectively, represent taxes on both U.S. and foreign earnings at a combined effective income tax provision rate of 212.3% and income tax benefit rate of 1.6%, respectively. The effective tax rate for the three months ended June 30, 2023 differs from the federal statutory income tax rate of 21.0% primarily due to state and local tax expense, the impact of non-deductible expenses, and foreign losses for which no tax benefit is recognized as such amounts are fully offset with a valuation allowance, partially offset by a benefit for federal credits. The effective tax rate for the six months ended June 30, 2023 differs from the federal statutory income tax rate of 21.0% primarily due to state and local tax expense and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identified the following jurisdictions as “major” tax jurisdictions: U.S. Federal, California, Massachusetts, New Jersey, New York and the United Kingdom.</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its tax positions on a quarterly basis and revises its estimates accordingly. There were no material changes to the Company’s uncertain tax positions, interest, or penalties during the three-month periods ended June 30, 2024 and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 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tbl>
      <w:tblPr>
        <w:tblW w:w="8654" w:type="dxa"/>
        <w:jc w:val="left"/>
        <w:tblInd w:w="0" w:type="dxa"/>
        <w:tblLayout w:type="fixed"/>
        <w:tblCellMar>
          <w:top w:w="28" w:type="dxa"/>
          <w:left w:w="28" w:type="dxa"/>
          <w:bottom w:w="28" w:type="dxa"/>
          <w:right w:w="28" w:type="dxa"/>
        </w:tblCellMar>
      </w:tblPr>
      <w:tblGrid>
        <w:gridCol w:w="1097"/>
        <w:gridCol w:w="966"/>
        <w:gridCol w:w="9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9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June 30,</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sales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291,871 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Depreciation and amortization</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tbl>
      <w:tblPr>
        <w:tblW w:w="4696" w:type="dxa"/>
        <w:jc w:val="left"/>
        <w:tblInd w:w="0" w:type="dxa"/>
        <w:tblLayout w:type="fixed"/>
        <w:tblCellMar>
          <w:top w:w="28" w:type="dxa"/>
          <w:left w:w="28" w:type="dxa"/>
          <w:bottom w:w="28" w:type="dxa"/>
          <w:right w:w="28" w:type="dxa"/>
        </w:tblCellMar>
      </w:tblPr>
      <w:tblGrid>
        <w:gridCol w:w="693"/>
        <w:gridCol w:w="611"/>
        <w:gridCol w:w="615"/>
        <w:gridCol w:w="211"/>
        <w:gridCol w:w="826"/>
        <w:gridCol w:w="109"/>
        <w:gridCol w:w="109"/>
        <w:gridCol w:w="109"/>
        <w:gridCol w:w="109"/>
        <w:gridCol w:w="231"/>
        <w:gridCol w:w="905"/>
        <w:gridCol w:w="168"/>
      </w:tblGrid>
      <w:tr>
        <w:trPr/>
        <w:tc>
          <w:tcPr>
            <w:tcW w:w="69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560,716 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90,237 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667,142 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12</w:t>
      </w:r>
      <w:r>
        <w:rPr>
          <w:color w:val="000000"/>
        </w:rPr>
        <w:t xml:space="preserve"> — </w:t>
      </w:r>
      <w:r>
        <w:rPr>
          <w:rFonts w:ascii="Times New Roman;sans-serif" w:hAnsi="Times New Roman;sans-serif"/>
          <w:b/>
          <w:color w:val="000000"/>
          <w:sz w:val="20"/>
        </w:rPr>
        <w:t>CONTINGENCIES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Wallace EPA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13, 2015, the EPA released its remedial investigation and feasibility study (“RI/FS”) for the Site. On December 11, 2015, the EPA issued the Record of Decision (“ROD”) for an initial operable unit (“OU-1”),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In February 2017, the EPA indicated that it planned to expand its field investigation for the RI/FS to a second operable unit (“OU-2”) to determine the nature and extent of the groundwater contamination at and from the Site and to determine the nature of the remedial action needed to address the contamination. The EPA requested access to the property occupied by WSPR to install monitoring wells and to undertake groundwater sampling as part of this expanded investigation. WSPR consented to the EPA’s access request, provided that the EPA received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2018, the Company, WSPR, and other identified potentially responsible parties affiliated with the Site entered into tolling agreements with the U.S. government to extend the statute of limitations for potential claims for the recovery of response costs for the initial operable unit under Section 107 of CERCLA. The tolling agreements have been extended multiple times and currently expire in November 2025. The tolling agreements do not constitute in any way an admission or acknowledgment of any fact, conclusion of law, or liability by the parties to the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EPA released its proposed plan for OU-2 in July 2019, and on September 30, 2019, the EPA issued the ROD for OU-2. The EPA elected to implement its preferred remedy consisting of in-situ treatment of groundwater and a monitored natural attenuation program including monitoring of the plume fringe at the Site. The EPA’s estimated total net present worth cost for its selected remedy for OU-2 is $17.3 million, and the EPA is currently leading remediation of OU-2.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WSPR received a Notice of Liability for the Site from the Department of Justice on behalf of the EPA, and in September 2021, WSPR responded with a good faith offer to conduct additional testing and remedial design work for OU-1. WSPR has actively participated in negotiations among the U.S. Government (the Department of Justice and the EPA) and other potentially responsible parties with respect to the remedial work at OU-1, which negotiations culminated in the finalization of a Consent Decree for Remedial Design and Remedial Action at Operable Unit One of the San German Groundwater Contamination Site (“Consent Decree”). On July 26, 2023, the U.S. Government filed a complaint in United States District Court for the District of Puerto Rico for the purpose of seeking judicial approval of the Consent Decree. As required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0" w:after="0"/>
        <w:jc w:val="left"/>
        <w:rPr/>
      </w:pPr>
      <w:r>
        <w:rPr>
          <w:rFonts w:ascii="Times New Roman;sans-serif" w:hAnsi="Times New Roman;sans-serif"/>
          <w:b w:val="false"/>
          <w:color w:val="000000"/>
          <w:sz w:val="20"/>
        </w:rPr>
        <w:t>applicable regulations, the U.S. Government simultaneously lodged the Consent Decree for public comment. No comments were received during the public comment period. On September 6, 2023, at the conclusion of the public comment period, the U.S. Government filed a Motion to Enter the Consent Decree, which the court granted on December 1, 2023, thereby effectuating the Consent Decree. On January 10, 2024, EPA issued a notice to proceed with the OU-1 remedial work.</w:t>
      </w:r>
      <w:r>
        <w:rPr>
          <w:color w:val="000000"/>
        </w:rPr>
        <w:t xml:space="preserve"> </w:t>
      </w:r>
      <w:r>
        <w:rPr>
          <w:rFonts w:ascii="Times New Roman;sans-serif" w:hAnsi="Times New Roman;sans-serif"/>
          <w:b w:val="false"/>
          <w:color w:val="000000"/>
          <w:sz w:val="20"/>
        </w:rPr>
        <w:t>The Company thereafter commenced remedial work on OU-1 in accordance with the Consent Decree.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reserved $5.6 million to cover probable and estimable liabilities with respect to the above remedial design and remedial action for the initial operable unit. However, it is not possible at this time for the Company to estimate its share of its ultimate liability for the Site. In the event of one or more adverse determinations related to this matter, it is possible that the ultimate liability resulting from this matter and the impact on the Company’s results of operations could be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U.S. Customs and Border Protection matter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period of investigation covers a five-year period, the Company is compiling supporting documentation packages for all tableware collections imported during this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CBP accepts the evidence presented, then no additional duties or penalties will be owed. If CBP rejects the Company’s position, then the estimated amount of duties that could be owed is $0.1 million. In such event, it is reasonably possible that additional penalties could be assessed, depending upon the level of culpability found, of up to $0.3 million for negligence and up to $0.6 million for gross negligence. In the event penalties are assessed, the Company will have the opportunity to further contest CBP’s findings and seek cancellation or mitigation of such assessments.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360" w:after="283"/>
        <w:jc w:val="left"/>
        <w:rPr/>
      </w:pPr>
      <w:r>
        <w:rPr>
          <w:rFonts w:ascii="Times New Roman;sans-serif" w:hAnsi="Times New Roman;sans-serif"/>
          <w:b/>
          <w:color w:val="000000"/>
          <w:sz w:val="20"/>
        </w:rPr>
        <w:t>NOTE 13 </w:t>
      </w:r>
      <w:r>
        <w:rPr>
          <w:color w:val="000000"/>
        </w:rPr>
        <w:t>— </w:t>
      </w:r>
      <w:r>
        <w:rPr>
          <w:rFonts w:ascii="Times New Roman;sans-serif" w:hAnsi="Times New Roman;sans-serif"/>
          <w:b/>
          <w:color w:val="000000"/>
          <w:sz w:val="20"/>
        </w:rPr>
        <w:t>OTHER</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dividends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declared in the six months ended June 30, 2024 were as follows: </w:t>
      </w:r>
    </w:p>
    <w:tbl>
      <w:tblPr>
        <w:tblW w:w="6130" w:type="dxa"/>
        <w:jc w:val="left"/>
        <w:tblInd w:w="0" w:type="dxa"/>
        <w:tblLayout w:type="fixed"/>
        <w:tblCellMar>
          <w:top w:w="28" w:type="dxa"/>
          <w:left w:w="28" w:type="dxa"/>
          <w:bottom w:w="28" w:type="dxa"/>
          <w:right w:w="28" w:type="dxa"/>
        </w:tblCellMar>
      </w:tblPr>
      <w:tblGrid>
        <w:gridCol w:w="576"/>
        <w:gridCol w:w="507"/>
        <w:gridCol w:w="508"/>
        <w:gridCol w:w="109"/>
        <w:gridCol w:w="109"/>
        <w:gridCol w:w="109"/>
        <w:gridCol w:w="385"/>
        <w:gridCol w:w="385"/>
        <w:gridCol w:w="386"/>
        <w:gridCol w:w="109"/>
        <w:gridCol w:w="109"/>
        <w:gridCol w:w="109"/>
        <w:gridCol w:w="400"/>
        <w:gridCol w:w="400"/>
        <w:gridCol w:w="401"/>
        <w:gridCol w:w="109"/>
        <w:gridCol w:w="109"/>
        <w:gridCol w:w="109"/>
        <w:gridCol w:w="351"/>
        <w:gridCol w:w="351"/>
        <w:gridCol w:w="499"/>
      </w:tblGrid>
      <w:tr>
        <w:trPr/>
        <w:tc>
          <w:tcPr>
            <w:tcW w:w="57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Dividend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Date of record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Payment date</w:t>
            </w:r>
          </w:p>
        </w:tc>
      </w:tr>
      <w:tr>
        <w:trPr/>
        <w:tc>
          <w:tcPr>
            <w:tcW w:w="15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5/15/2024</w:t>
            </w:r>
          </w:p>
        </w:tc>
      </w:tr>
      <w:tr>
        <w:trPr/>
        <w:tc>
          <w:tcPr>
            <w:tcW w:w="1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$0.0425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6/20/2024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8/15/2024</w:t>
            </w:r>
          </w:p>
        </w:tc>
      </w:tr>
      <w:tr>
        <w:trPr/>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the Company paid dividends of $2.0 million. This included payments made on February 15, 2024 and May 15, 2024 of $0.9 million and $0.9 million to stockholders of record on February 1, 2024 and May 1, 2024, and payments of $0.2 million for dividends payable upon the vesting of restricted shares and performance shares.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three months ended June 30, 2024, the Company reduced retained earnings for the accrual of $1.0 million relating to the dividend payable on August 15,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6, 2024, the Board declared a quarterly dividend of 0.0425 per share of common stock payable on November 15, 2024 to stockholders of record on November 1, 2024.</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14, 2022, the Company announced that its Board authorized the repurchase of up to $20.0 million of the Company’s common stock, replacing the Company’s previously-authorized $10.0 million share repurchase program. The repurchase authorization permits the Company to effect the repurchases from time to time through open market purchases and privately negotiated transactions. No repurchases were effected during the six months ended June 30, 2024. As of June 30, 2024, the remaining dollar amount available for repurchases under the Board authorized plan was $11.1 million.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bl>
      <w:tblPr>
        <w:tblW w:w="6158" w:type="dxa"/>
        <w:jc w:val="left"/>
        <w:tblInd w:w="0" w:type="dxa"/>
        <w:tblLayout w:type="fixed"/>
        <w:tblCellMar>
          <w:top w:w="28" w:type="dxa"/>
          <w:left w:w="28" w:type="dxa"/>
          <w:bottom w:w="28" w:type="dxa"/>
          <w:right w:w="28" w:type="dxa"/>
        </w:tblCellMar>
      </w:tblPr>
      <w:tblGrid>
        <w:gridCol w:w="1441"/>
        <w:gridCol w:w="1263"/>
        <w:gridCol w:w="1270"/>
        <w:gridCol w:w="196"/>
        <w:gridCol w:w="556"/>
        <w:gridCol w:w="109"/>
        <w:gridCol w:w="109"/>
        <w:gridCol w:w="109"/>
        <w:gridCol w:w="109"/>
        <w:gridCol w:w="196"/>
        <w:gridCol w:w="646"/>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net of refunds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9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LIFETIME BRANDS,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Components of accumulated other comprehensive loss, net</w:t>
      </w:r>
    </w:p>
    <w:tbl>
      <w:tblPr>
        <w:tblW w:w="10155" w:type="dxa"/>
        <w:jc w:val="left"/>
        <w:tblInd w:w="0" w:type="dxa"/>
        <w:tblLayout w:type="fixed"/>
        <w:tblCellMar>
          <w:top w:w="28" w:type="dxa"/>
          <w:left w:w="28" w:type="dxa"/>
          <w:bottom w:w="28" w:type="dxa"/>
          <w:right w:w="28" w:type="dxa"/>
        </w:tblCellMar>
      </w:tblPr>
      <w:tblGrid>
        <w:gridCol w:w="1819"/>
        <w:gridCol w:w="1600"/>
        <w:gridCol w:w="1606"/>
        <w:gridCol w:w="196"/>
        <w:gridCol w:w="721"/>
        <w:gridCol w:w="109"/>
        <w:gridCol w:w="109"/>
        <w:gridCol w:w="109"/>
        <w:gridCol w:w="109"/>
        <w:gridCol w:w="196"/>
        <w:gridCol w:w="721"/>
        <w:gridCol w:w="109"/>
        <w:gridCol w:w="109"/>
        <w:gridCol w:w="109"/>
        <w:gridCol w:w="109"/>
        <w:gridCol w:w="196"/>
        <w:gridCol w:w="721"/>
        <w:gridCol w:w="109"/>
        <w:gridCol w:w="109"/>
        <w:gridCol w:w="109"/>
        <w:gridCol w:w="109"/>
        <w:gridCol w:w="196"/>
        <w:gridCol w:w="721"/>
        <w:gridCol w:w="154"/>
      </w:tblGrid>
      <w:tr>
        <w:trPr/>
        <w:tc>
          <w:tcPr>
            <w:tcW w:w="1819"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translation adjustment: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Translation adjustment during period</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Amounts reclassified from accumulated other comprehensive loss </w:t>
            </w:r>
            <w:r>
              <w:rPr>
                <w:rFonts w:ascii="Times New Roman;sans-serif" w:hAnsi="Times New Roman;sans-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change in translation adjustment </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(33,274)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deferred gains (losses) on cash flow hedges:</w:t>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gains (losses)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loss: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Settlement of cash flow hedge </w:t>
            </w:r>
            <w:r>
              <w:rPr>
                <w:rFonts w:ascii="Times New Roman;sans-serif" w:hAnsi="Times New Roman;sans-serif"/>
                <w:b w:val="false"/>
                <w:color w:val="000000"/>
                <w:sz w:val="12"/>
              </w:rPr>
              <w:t>(2)</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flow hedges, net of taxes of $0, $0, $0, $(2)</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Accumulated effect of retirement benefit obligations:</w:t>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Amounts reclassified from accumulated other comprehensive loss:</w:t>
            </w:r>
            <w:r>
              <w:rPr>
                <w:color w:val="000000"/>
              </w:rPr>
              <w:t xml:space="preserve"> </w:t>
            </w:r>
            <w:r>
              <w:rPr>
                <w:rFonts w:ascii="Times New Roman;sans-serif" w:hAnsi="Times New Roman;sans-serif"/>
                <w:b w:val="false"/>
                <w:color w:val="000000"/>
                <w:sz w:val="12"/>
              </w:rPr>
              <w:t>(3)</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actuarial loss, net of taxes of $(4), $(4), $(8), $(8)</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accumulated other comprehensive loss at end of period</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(19,006)</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(34,486)</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025"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 xml:space="preserve">Amounts reclassified to the Vasconia investment carrying value as a result of the discontinuation of the equity method investment of accounting and subsequently recognized as a loss on equity securities in the unaudited condensed consolidated statements of operations, to reduce the Vasconia investment to its fair value. Refer to NOTE 4 —INVESTMENT for additional information. </w:t>
      </w:r>
    </w:p>
    <w:p>
      <w:pPr>
        <w:pStyle w:val="TextBody"/>
        <w:bidi w:val="0"/>
        <w:spacing w:lineRule="auto" w:line="288" w:before="12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Amounts reclassified are recorded in interest expense and cost of sales on the unaudited condensed consolidated statement of operations.</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(3)</w:t>
      </w:r>
      <w:r>
        <w:rPr>
          <w:rFonts w:ascii="Times New Roman;sans-serif" w:hAnsi="Times New Roman;sans-serif"/>
          <w:b w:val="false"/>
          <w:color w:val="000000"/>
          <w:sz w:val="16"/>
        </w:rPr>
        <w:t>Amounts are recorded in selling, general and administrative expense on the unaudited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jc w:val="left"/>
        <w:rPr/>
      </w:pPr>
      <w:r>
        <w:rPr>
          <w:rFonts w:ascii="Times New Roman;sans-serif" w:hAnsi="Times New Roman;sans-serif"/>
          <w:b w:val="false"/>
          <w:color w:val="000000"/>
          <w:sz w:val="20"/>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When used in this Quarterly Report on Form 10-Q, the words “estimates,” “expects,”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pStyle w:val="TextBody"/>
        <w:bidi w:val="0"/>
        <w:spacing w:lineRule="auto" w:line="288" w:before="240" w:after="283"/>
        <w:jc w:val="left"/>
        <w:rPr/>
      </w:pPr>
      <w:r>
        <w:rPr>
          <w:rFonts w:ascii="Times New Roman;sans-serif" w:hAnsi="Times New Roman;sans-serif"/>
          <w:b w:val="false"/>
          <w:color w:val="000000"/>
          <w:sz w:val="20"/>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2023 (the “2023 Annual Report on Form 10-K”) in Part I, Item 1A under the heading </w:t>
      </w:r>
      <w:r>
        <w:rPr>
          <w:rFonts w:ascii="Times New Roman;sans-serif" w:hAnsi="Times New Roman;sans-serif"/>
          <w:b w:val="false"/>
          <w:i/>
          <w:color w:val="000000"/>
          <w:sz w:val="20"/>
        </w:rPr>
        <w:t xml:space="preserve">Risk Factors, </w:t>
      </w:r>
      <w:r>
        <w:rPr>
          <w:rFonts w:ascii="Times New Roman;sans-serif" w:hAnsi="Times New Roman;sans-serif"/>
          <w:b w:val="false"/>
          <w:color w:val="000000"/>
          <w:sz w:val="20"/>
        </w:rPr>
        <w:t>and in the Company’s subsequent filings with the U.S. Securities and Exchange Commission (the “SEC”). Such risks, uncertainties and other important factors include, among others, risks related to:</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Macroeconomic conditions, including inflationary impacts and disruptions to the global supply chain;</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Increase in supply chain costs, including raw materials, sourcing, transportation and energy;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the United Kingdom’s exit from the European Union on the Company’s U.K. operations;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tariffs and trade policies, particularly with respect to China;</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Legislative or regulatory risks relating to climate change;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Indebtedness, compliance with credit agreements, and access to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Access to the capital markets and credit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seasonality of the Company’s cash flows;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Company’s ability to complete acquisitions or successfully integrate acquisitions;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Intense market competition, changing customer practices or preferences and inventory rationalization among retailers;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Dependence on third-party manufacturers;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Technology, cybersecurity and data privacy risks;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Geopolitical conditions, including political instability in the U.S. and abroad, war, conflict, unrest and sanctions, including those related to the conflicts in Ukraine, Israel and surrounding areas;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Product liability claims;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Reputational risks.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pStyle w:val="TextBody"/>
        <w:bidi w:val="0"/>
        <w:spacing w:lineRule="auto" w:line="288" w:before="240" w:after="283"/>
        <w:jc w:val="left"/>
        <w:rPr/>
      </w:pPr>
      <w:r>
        <w:rPr>
          <w:rFonts w:ascii="Times New Roman;sans-serif" w:hAnsi="Times New Roman;sans-serif"/>
          <w:b w:val="false"/>
          <w:color w:val="000000"/>
          <w:sz w:val="20"/>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Times New Roman;sans-serif" w:hAnsi="Times New Roman;sans-serif"/>
          <w:b w:val="false"/>
          <w:i/>
          <w:color w:val="000000"/>
          <w:sz w:val="20"/>
          <w:u w:val="single"/>
        </w:rPr>
        <w:t>http://www.lifetimebrands.com</w:t>
      </w:r>
      <w:r>
        <w:rPr>
          <w:rFonts w:ascii="Times New Roman;sans-serif" w:hAnsi="Times New Roman;sans-serif"/>
          <w:b w:val="false"/>
          <w:color w:val="000000"/>
          <w:sz w:val="20"/>
        </w:rPr>
        <w:t xml:space="preserve">.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 practicable after these reports are filed with or furnished to the SEC. Users can access these reports free of charge on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val="false"/>
          <w:color w:val="000000"/>
          <w:sz w:val="20"/>
        </w:rPr>
        <w:t xml:space="preserve">Company’s website. The SEC also maintains a website that contains reports, proxy and information statements, and other information regarding the Company’s electronic filings with the SEC at </w:t>
      </w:r>
      <w:r>
        <w:rPr>
          <w:rFonts w:ascii="Times New Roman;sans-serif" w:hAnsi="Times New Roman;sans-serif"/>
          <w:b w:val="false"/>
          <w:i/>
          <w:color w:val="000000"/>
          <w:sz w:val="20"/>
          <w:u w:val="single"/>
        </w:rPr>
        <w:t>http://www.sec.gov.</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ABOUT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w:t>
      </w:r>
    </w:p>
    <w:p>
      <w:pPr>
        <w:pStyle w:val="TextBody"/>
        <w:bidi w:val="0"/>
        <w:spacing w:lineRule="auto" w:line="288" w:before="240" w:after="283"/>
        <w:jc w:val="left"/>
        <w:rPr/>
      </w:pPr>
      <w:r>
        <w:rPr>
          <w:rFonts w:ascii="Times New Roman;sans-serif" w:hAnsi="Times New Roman;sans-serif"/>
          <w:b w:val="false"/>
          <w:color w:val="000000"/>
          <w:sz w:val="20"/>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Times New Roman;sans-serif" w:hAnsi="Times New Roman;sans-serif"/>
          <w:b w:val="false"/>
          <w:color w:val="000000"/>
          <w:sz w:val="13"/>
        </w:rPr>
        <w:t>®</w:t>
      </w:r>
      <w:r>
        <w:rPr>
          <w:rFonts w:ascii="Times New Roman;sans-serif" w:hAnsi="Times New Roman;sans-serif"/>
          <w:b w:val="false"/>
          <w:color w:val="000000"/>
          <w:sz w:val="20"/>
        </w:rPr>
        <w:t>, Mikasa</w:t>
      </w:r>
      <w:r>
        <w:rPr>
          <w:rFonts w:ascii="Times New Roman;sans-serif" w:hAnsi="Times New Roman;sans-serif"/>
          <w:b w:val="false"/>
          <w:color w:val="000000"/>
          <w:sz w:val="13"/>
        </w:rPr>
        <w:t>®</w:t>
      </w:r>
      <w:r>
        <w:rPr>
          <w:rFonts w:ascii="Times New Roman;sans-serif" w:hAnsi="Times New Roman;sans-serif"/>
          <w:b w:val="false"/>
          <w:color w:val="000000"/>
          <w:sz w:val="20"/>
        </w:rPr>
        <w:t>, KitchenAid</w:t>
      </w:r>
      <w:r>
        <w:rPr>
          <w:rFonts w:ascii="Times New Roman;sans-serif" w:hAnsi="Times New Roman;sans-serif"/>
          <w:b w:val="false"/>
          <w:color w:val="000000"/>
          <w:sz w:val="13"/>
        </w:rPr>
        <w:t>®</w:t>
      </w:r>
      <w:r>
        <w:rPr>
          <w:rFonts w:ascii="Times New Roman;sans-serif" w:hAnsi="Times New Roman;sans-serif"/>
          <w:b w:val="false"/>
          <w:color w:val="000000"/>
          <w:sz w:val="20"/>
        </w:rPr>
        <w:t>, Taylor</w:t>
      </w:r>
      <w:r>
        <w:rPr>
          <w:rFonts w:ascii="Times New Roman;sans-serif" w:hAnsi="Times New Roman;sans-serif"/>
          <w:b w:val="false"/>
          <w:color w:val="000000"/>
          <w:sz w:val="13"/>
        </w:rPr>
        <w:t>®</w:t>
      </w:r>
      <w:r>
        <w:rPr>
          <w:rFonts w:ascii="Times New Roman;sans-serif" w:hAnsi="Times New Roman;sans-serif"/>
          <w:b w:val="false"/>
          <w:color w:val="000000"/>
          <w:sz w:val="20"/>
        </w:rPr>
        <w:t>, Rabbit</w:t>
      </w:r>
      <w:r>
        <w:rPr>
          <w:rFonts w:ascii="Times New Roman;sans-serif" w:hAnsi="Times New Roman;sans-serif"/>
          <w:b w:val="false"/>
          <w:color w:val="000000"/>
          <w:sz w:val="13"/>
        </w:rPr>
        <w:t>®</w:t>
      </w:r>
      <w:r>
        <w:rPr>
          <w:rFonts w:ascii="Times New Roman;sans-serif" w:hAnsi="Times New Roman;sans-serif"/>
          <w:b w:val="false"/>
          <w:color w:val="000000"/>
          <w:sz w:val="20"/>
        </w:rPr>
        <w:t>, Pfaltzgraff</w:t>
      </w:r>
      <w:r>
        <w:rPr>
          <w:rFonts w:ascii="Times New Roman;sans-serif" w:hAnsi="Times New Roman;sans-serif"/>
          <w:b w:val="false"/>
          <w:color w:val="000000"/>
          <w:sz w:val="13"/>
        </w:rPr>
        <w:t>®</w:t>
      </w:r>
      <w:r>
        <w:rPr>
          <w:rFonts w:ascii="Times New Roman;sans-serif" w:hAnsi="Times New Roman;sans-serif"/>
          <w:b w:val="false"/>
          <w:color w:val="000000"/>
          <w:sz w:val="20"/>
        </w:rPr>
        <w:t>, Built NY</w:t>
      </w:r>
      <w:r>
        <w:rPr>
          <w:rFonts w:ascii="Times New Roman;sans-serif" w:hAnsi="Times New Roman;sans-serif"/>
          <w:b w:val="false"/>
          <w:color w:val="000000"/>
          <w:sz w:val="13"/>
        </w:rPr>
        <w:t>®</w:t>
      </w:r>
      <w:r>
        <w:rPr>
          <w:rFonts w:ascii="Times New Roman;sans-serif" w:hAnsi="Times New Roman;sans-serif"/>
          <w:b w:val="false"/>
          <w:color w:val="000000"/>
          <w:sz w:val="20"/>
        </w:rPr>
        <w:t>, Sabatier</w:t>
      </w:r>
      <w:r>
        <w:rPr>
          <w:rFonts w:ascii="Times New Roman;sans-serif" w:hAnsi="Times New Roman;sans-serif"/>
          <w:b w:val="false"/>
          <w:color w:val="000000"/>
          <w:sz w:val="13"/>
        </w:rPr>
        <w:t>®</w:t>
      </w:r>
      <w:r>
        <w:rPr>
          <w:rFonts w:ascii="Times New Roman;sans-serif" w:hAnsi="Times New Roman;sans-serif"/>
          <w:b w:val="false"/>
          <w:color w:val="000000"/>
          <w:sz w:val="20"/>
        </w:rPr>
        <w:t>, Fred</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&amp; Friends, Kamenstein</w:t>
      </w:r>
      <w:r>
        <w:rPr>
          <w:rFonts w:ascii="Times New Roman;sans-serif" w:hAnsi="Times New Roman;sans-serif"/>
          <w:b w:val="false"/>
          <w:color w:val="000000"/>
          <w:sz w:val="13"/>
        </w:rPr>
        <w:t>®</w:t>
      </w:r>
      <w:r>
        <w:rPr>
          <w:rFonts w:ascii="Times New Roman;sans-serif" w:hAnsi="Times New Roman;sans-serif"/>
          <w:b w:val="false"/>
          <w:color w:val="000000"/>
          <w:sz w:val="20"/>
        </w:rPr>
        <w:t>, S'well</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and Dolly</w:t>
      </w:r>
      <w:r>
        <w:rPr>
          <w:rFonts w:ascii="Times New Roman;sans-serif" w:hAnsi="Times New Roman;sans-serif"/>
          <w:b w:val="false"/>
          <w:color w:val="000000"/>
          <w:sz w:val="13"/>
        </w:rPr>
        <w:t>®</w:t>
      </w:r>
      <w:r>
        <w:rPr>
          <w:rFonts w:ascii="Times New Roman;sans-serif" w:hAnsi="Times New Roman;sans-serif"/>
          <w:b w:val="false"/>
          <w:color w:val="000000"/>
          <w:sz w:val="20"/>
        </w:rPr>
        <w:t>. Historically, the Company’s sales growth has come from expanding product offerings within its product categories,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lineRule="auto" w:line="288" w:before="120" w:after="283"/>
        <w:jc w:val="left"/>
        <w:rPr/>
      </w:pPr>
      <w:r>
        <w:rPr>
          <w:rFonts w:ascii="Times New Roman;sans-serif" w:hAnsi="Times New Roman;sans-serif"/>
          <w:b w:val="false"/>
          <w:color w:val="000000"/>
          <w:sz w:val="20"/>
        </w:rPr>
        <w:t xml:space="preserve">The global economy experienced relatively high inflation throughout 2023. As global inflation levels moderate, the impact of elevated inflation and high interest rates have negatively impacted, and may continue to negatively impact consumer spending and buying patterns in 2024. Shifts in consumer spending and buying patterns may directly impact our retailer ordering patterns, which may adversely impact the Company’s results. In addition, disruptions in the global supply chain due to attacks on commercial vessels in the Red Sea, have and may continue to adversely impact the Company’s results due to supply delays leading to an increase in safety stock levels and an increase in transportation costs. </w:t>
      </w:r>
      <w:r>
        <w:rPr>
          <w:rFonts w:ascii="Times New Roman;sans-serif" w:hAnsi="Times New Roman;sans-serif"/>
          <w:b w:val="false"/>
          <w:color w:val="000000"/>
          <w:sz w:val="20"/>
          <w:shd w:fill="FFFFFF" w:val="clear"/>
        </w:rPr>
        <w:t xml:space="preserve">The Company expects continued </w:t>
      </w:r>
      <w:r>
        <w:rPr>
          <w:rFonts w:ascii="Times New Roman;sans-serif" w:hAnsi="Times New Roman;sans-serif"/>
          <w:b w:val="false"/>
          <w:color w:val="000000"/>
          <w:sz w:val="20"/>
        </w:rPr>
        <w:t>uncertainty as result of these trends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BUSINESS SEGMENTS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EQUITY INVESTMENT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Company owned 24.7% of the outstanding capital stock of Grupo Vasconia S.A.B. (“Vasconia”), an integrated manufacturer of aluminum products and a housewares company in Mexico. Shares of Vasconia’s capital stock are traded on the Bolsa Mexicana de Valores, the Mexican Stock Exchange. The Quotation Key is VASCONI. During the second quarter of 2024, Vasconia’s shareholders’ approved a resolution to a reorganization process in terms of the Law of Commercial Bankruptcy in Mexico and subsequently a bankruptcy suit was filed against Vasconia by one of its largest suppliers. The Company concluded that the recent events constituted a loss of significant influence and resulted in the discontinuation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120" w:after="283"/>
        <w:jc w:val="left"/>
        <w:rPr/>
      </w:pPr>
      <w:r>
        <w:rPr>
          <w:rFonts w:ascii="Times New Roman;sans-serif" w:hAnsi="Times New Roman;sans-serif"/>
          <w:b w:val="false"/>
          <w:color w:val="000000"/>
          <w:sz w:val="20"/>
        </w:rPr>
        <w:t>equity method of accounting.</w:t>
      </w:r>
      <w:r>
        <w:rPr>
          <w:color w:val="000000"/>
        </w:rPr>
        <w:t xml:space="preserve"> </w:t>
      </w:r>
      <w:r>
        <w:rPr>
          <w:rFonts w:ascii="Times New Roman;sans-serif" w:hAnsi="Times New Roman;sans-serif"/>
          <w:b w:val="false"/>
          <w:color w:val="000000"/>
          <w:sz w:val="20"/>
        </w:rPr>
        <w:t xml:space="preserve">The Company will account for its Vasconia investment at fair value in accordance with Accounting Standards Codification (“ASC”) </w:t>
      </w:r>
      <w:r>
        <w:rPr>
          <w:rFonts w:ascii="Times New Roman;sans-serif" w:hAnsi="Times New Roman;sans-serif"/>
          <w:b w:val="false"/>
          <w:i/>
          <w:color w:val="000000"/>
          <w:sz w:val="20"/>
        </w:rPr>
        <w:t>Topic 321: Investments — Equity Securities</w:t>
      </w:r>
      <w:r>
        <w:rPr>
          <w:rFonts w:ascii="Times New Roman;sans-serif" w:hAnsi="Times New Roman;sans-serif"/>
          <w:b w:val="false"/>
          <w:color w:val="000000"/>
          <w:sz w:val="20"/>
        </w:rPr>
        <w:t>, with any changes in fair value recorded within income (loss) on equity securities on the consolidated statements of operations. As a result of the loss of significant influence, the accumulated other comprehensive losses previously recognized under the equity method of accounting was reclassified to the carrying value of the Vasconia investment and subsequently resulted in a non-cash loss of $14.2 million to reduce the investment to its fair value. The fair value of the Vasconia investment was not material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and working capital needs are seasonal, with a majority of sales occurring in the third and fourth quarters. In 2023 and 2022, net sales for the third and fourth quarters accounted for 57% and 54% of total annual net sales, respectively. In anticipation of the pre-holiday shipping season, inventory levels increase primarily in the June through October time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Consistent with the seasonality of the Company’s net sales and inventory levels, the Company also experiences seasonality in its inventory turnover and turnover days from one quarter to the next.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120" w:after="283"/>
        <w:jc w:val="left"/>
        <w:rPr/>
      </w:pPr>
      <w:r>
        <w:rPr>
          <w:rFonts w:ascii="Times New Roman;sans-serif" w:hAnsi="Times New Roman;sans-serif"/>
          <w:b w:val="false"/>
          <w:color w:val="000000"/>
          <w:sz w:val="20"/>
        </w:rPr>
        <w:t xml:space="preserve">There have been no material changes to the Company’s critical accounting estimates discussed in the 2023 Annual Report on Form 10-K in Item 7 under the heading </w:t>
      </w:r>
      <w:r>
        <w:rPr>
          <w:rFonts w:ascii="Times New Roman;sans-serif" w:hAnsi="Times New Roman;sans-serif"/>
          <w:b w:val="false"/>
          <w:i/>
          <w:color w:val="000000"/>
          <w:sz w:val="20"/>
        </w:rPr>
        <w:t>Management’s Discussion and Analysis of Financial Condition and Results of Operations – Critical Accounting Policies and Estimates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statements of operations data of the Company as a percentage of net sales for the periods indicated:</w:t>
      </w:r>
    </w:p>
    <w:tbl>
      <w:tblPr>
        <w:tblW w:w="8909" w:type="dxa"/>
        <w:jc w:val="left"/>
        <w:tblInd w:w="0" w:type="dxa"/>
        <w:tblLayout w:type="fixed"/>
        <w:tblCellMar>
          <w:top w:w="28" w:type="dxa"/>
          <w:left w:w="28" w:type="dxa"/>
          <w:bottom w:w="28" w:type="dxa"/>
          <w:right w:w="28" w:type="dxa"/>
        </w:tblCellMar>
      </w:tblPr>
      <w:tblGrid>
        <w:gridCol w:w="1453"/>
        <w:gridCol w:w="1282"/>
        <w:gridCol w:w="1299"/>
        <w:gridCol w:w="278"/>
        <w:gridCol w:w="278"/>
        <w:gridCol w:w="352"/>
        <w:gridCol w:w="150"/>
        <w:gridCol w:w="150"/>
        <w:gridCol w:w="150"/>
        <w:gridCol w:w="278"/>
        <w:gridCol w:w="278"/>
        <w:gridCol w:w="352"/>
        <w:gridCol w:w="109"/>
        <w:gridCol w:w="109"/>
        <w:gridCol w:w="109"/>
        <w:gridCol w:w="278"/>
        <w:gridCol w:w="278"/>
        <w:gridCol w:w="310"/>
        <w:gridCol w:w="132"/>
        <w:gridCol w:w="132"/>
        <w:gridCol w:w="132"/>
        <w:gridCol w:w="278"/>
        <w:gridCol w:w="278"/>
        <w:gridCol w:w="310"/>
        <w:gridCol w:w="154"/>
      </w:tblGrid>
      <w:tr>
        <w:trPr/>
        <w:tc>
          <w:tcPr>
            <w:tcW w:w="145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sales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37.6 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Restructuring expenses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operations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gain on interest rate derivatives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early retirement of debt</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equity securities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income taxes and equity in losses</w:t>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(provision)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net of taxes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 COMPARED TO THE THREE MONTHS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30, 2023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for the three months ended June 30, 2024 were $141.7 million, representing a decrease of $4.7 million, or 3.2%, as compared to net sales of $146.4 million for the corresponding period in 2023. In constant currency, a non-GAAP financial measure, which excludes the impact of foreign exchange fluctuations and was determined by applying 2024 average rates to 2023 local currency amounts, consolidated net sales decreased by $4.8 million, or 3.3%, as compared to consolidated net sales in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 for the three months ended June 30, 2024 were $130.5 million, a decrease of $4.5 million, or 3.3%, as compared to net sales of $135.0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Kitchenware product category were $80.8 million for the three months ended June 30, 2024, a decrease of $3.2 million, or 3.8%, as compared to $84.0 million for the corresponding period in 2023. The decrease was driven by a reduction in sales for kitchen tools and gadgets and kitchen measurement products. This was partially offset by higher sales for bakeware products driven by sales of a new licensed product brand.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segment’s Tableware product category were $26.3 million for the three months ended June 30, 2024, an increase of $0.2 million, or 0.8%, as compared to $26.1 million for the corresponding period in 2023. The increase was attributable to higher dinnerware sales due to a new warehouse club program introduced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Home Solutions product category were $23.4 million for the three months ended June 30, 2024, a decrease of $1.5 million, or 6.0%, as compared to $24.9 million for the corresponding period in 2023. The decrease was attributable to lower sales of hydration products and decreased sales of Taylor branded bath measurement products. The decrease was partially offset by higher sales for Home Décor products driven by sales of a new licensed product brand.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International segment were $11.2 million for the three months ended June 30, 2024, a decrease of $0.2 million, or 1.8%, as compared to net sales of $11.4 million for the corresponding period in 2023. In constant currency, a non-GAAP financial measure, which excludes the impact of foreign exchange fluctuations, net sales decreased $0.3 million, or 2.8%, as compared to consolidated net sales in the corresponding period in 2023. The decrease was attributable to lower replenishment orders for e-commerce and brick-and-mortar customers, partially offset by higher sales in Australia for the Company's global trading business in Asia.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three months ended June 30, 2024 was $54.6 million, or 38.5%, as compared to $56.0 million, or 38.2%,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U.S. segment was $50.5 million, or 38.7%, for the three months ended June 30, 2024, as compared to $51.7 million, or 38.3%, for the corresponding period in 2023. The increase in the gross margin percentage was driven by favorable product mix.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International segment was $4.1 million, or 36.6%, for the three months ended June 30, 2024, as compared to $4.3 million, or 37.7%, for the corresponding period in 2023. The decrease in the gross margin percentage was driven by customer mix.</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for the three months ended June 30, 2024 were $15.1 million, as compared to $15.7 million for the corresponding period in 2023. Distribution expenses as a percentage of net sales were 10.6% for the three months ended June 30, 2024, as compared to 10.7% for the three months ended June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Distribution expenses as a percentage of net sales for the U.S. segment were 9.1% and 9.3% for the three months ended June 30, 2024 and 2023, respectively. Distribution expense during the three months ended June 30, 2023 included $0.1 million for redesign costs related to upgrading the Company's U.S. warehouse management system. As a percentage of sales shipped from the Company’s U.S. warehouses, excluding non-recurring expenses, distribution expenses were 9.5% and 9.7%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three months ended June 30, 2024 and 2023, respectively. The decrease in expenses as a percentage of sales was a result of lower freight out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as a percentage of net sales for the International segment were 28.5% for the three months ended June 30, 2024, compared to 27.7% for the corresponding period in 2023. As a percentage of sales shipped from the Company’s international warehouses distribution expenses were 25.1% for the three months ended June 30, 2024 and 2023. The increase in expenses as a percentage of net sales was primarily attributed to lower sales, partially offset by lower freight out expense rates.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three months ended June 30, 2024 were $38.3 million, an increase of $2.4 million, or 6.7%, as compared to $35.9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U.S. segment were $29.4 million for the three months ended June 30, 2024, as compared to $27.4 million for the corresponding period in 2023. As a percentage of net sales, selling, general and administrative expenses were 22.5% and 20.3% for the three months ended June 30, 2024 and 2023, respectively. The increase in expenses was attributable to higher employee expenses, including incentive compensation, expenses related to the start-up of the Company's manufacturing operations in Mexico, and inflationary increases across several expense categories. This was partially offset by a decrease in the provision for doubtful accounts in the current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International segment were $3.8 million for the three months ended June 30, 2024, as compared to $4.0 million for the corresponding period in 2023. As a percentage of net sales, selling, general and administrative expenses were 33.9% and 35.1% for the three months ended June 30, 2024 and 2023, respectively. The decrease in expenses was attributable to lower advertising and commission expenses, partially offset by higher employee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for the three months ended June 30, 2024 were $5.1 million, as compared to $4.5 million for the corresponding period in 2023. The current period increase was driven by higher incentive compensation, legal expenses and professional fees.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$5.2 million and $5.5 million for the three months ended June 30, 2024 and 2023, respectively. The decrease in expense was a result of lower average outstanding borrowings, partially offset by higher interest rates on outstanding borrowings.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to market (loss) gain on interest rate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 was $0.1 million for the three months ended June 30, 2024, as compared to a mark to market gain on interest rate derivatives of $0.2 million for the three months ended June 30, 2023. The loss and gain recognized for the three months ended June 30, 2024 and 2023, respectively, was attributable to the change in the fair value due to the change in the projected interest rate environment.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June 30, 2024, the intent of the Company is to hold these derivative contracts until their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Gain on early retirement of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retirement of debt was $1.5 million for the three months ended June 30, 2023. The gain recognized for the three months ended June 30, 2023 was attributable to the repurchase of $47.2 million in principal amount of the Term Loan. Refer to NOTE 6 — DEBT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Loss on equity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securities was $14.2 million for the three months ended June 30, 2024. In the second quarter of 2024, the Company loss significant influence over its investment in Vasconia and discontinued the equity method of accounting. This change resulted in the reclassification of previously recognized accumulated other comprehensive losses to the investment balance and subsequently resulted in a non-cash loss of $14.2 million, to reduce the investment to its fair value. NOTE 4 —INVESTMENT for additional information.</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benefit of $0.1 million and income tax provision of $1.2 million for the three months ended June 30, 2024 and 2023, respectively, represent taxes on both U.S. and foreign earnings at a combined effective income tax benefit rate of 0.3% and provision rate of 212.3%, respectively. The effective tax rate for the three months ended June 30, 2024 differs from the federal statutory income tax rate of 21.0% primarily due to the expiration of non-qualified stock options and the vesting of equity-based awards, where the book expense exceeded the tax deduction upon vesting, and foreign losses for which no tax benefit is recognized as such amounts are fully offset with a valuation allowance. The effective tax rate for the three months ended June 30, 2023 differs from the federal statutory income tax rate of 21.0% primarily due to state and local tax expense, the impact of non-deductible expenses, and foreign losses for which no tax benefit is recognized as such amounts are fully offset with a valuation allowance, partially offset by a benefit for federal credits.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in losses, net of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losses of Vasconia, net of taxes, was $5.9 million for the three months ended June 30, 2023. Equity in losses included a non-cash impairment charge of $4.4 million, to reduce the carrying value of the Company’s equity method investment in Vasconia to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SIX MONTHS ENDED JUNE 30, 2024 COMPARED TO THE SIX MONTHS ENDED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JUNE 30, 2023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sales for the six months ended June 30, 2024 were $283.9 million, a decrease of $8.0 million, or 2.7%, as compared to net sales of $291.9 million for the corresponding period in 2023. In constant currency, a non-GAAP financial measure, which excludes the impact of foreign exchange fluctuations and was determined by applying 2024 average rates to 2023 local currency amounts, consolidated net sales decreased by $8.4 million, or 2.9%, as compared to consolidated net sales in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 for the six months ended June 30, 2024 were $261.0 million, a decrease of $7.5 million, or 2.8%, as compared to net sales of $268.5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Kitchenware product category were $164.3 million for the six months ended June 30, 2024, a decrease of $5.4 million, or 3.2%, as compared to $169.7 million for the corresponding period in 2023. The decrease was mainly driven by lower consumer demand for kitchen tools and gadgets and barware products, partially offset by higher sales for cutlery &amp; boards and bakeware products.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U.S. segment’s Tableware product category were $52.1 million for the six months ended June 30, 2024, an increase of $2.0 million, or 4.0%, as compared to $50.1 million for the corresponding period in 2023. The increase was primarily driven by dinnerware sales primarily due to a new warehouse club program introduced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for the U.S. segment’s Home Solutions product category were $44.6 million for the six months ended June 30, 2024, a decrease of $4.1 million, or 8.4%, as compared to $48.7 million for the corresponding period in 2023. The decrease was attributable to lower sales of hydration products and decreased sales of Taylor branded bath measurement products. The decrease was partially offset by higher sales for Home Décor products driven by sales of a new licensed product brand.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 for the International segment were $22.9 million for the six months ended June 30, 2024, a decrease of $0.5 million, or 2.1%, as compared to net sales of $23.4 million for the corresponding period in 2023. In constant currency, a non-GAAP financial measure, which excludes the impact of foreign exchange fluctuations, net sales decreased $1.0 million, or 4.1%, as compared to consolidated net sales in the corresponding period in 2023. The decrease was attributable to lower replenishment orders for e-commerce and brick-and-mortar customers, partially offset by higher sales in Australia for the Company's global trading business in Asia.</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Gross margin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six months ended June 30, 2024 was $112.1 million, or 39.5%, as compared to $109.8 million, or 37.6%, for the corresponding period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U.S. segment was $103.8 million, or 39.8%, for the six months ended June 30, 2024, as compared to $100.6 million, or 37.5%, for the corresponding period in 2023. The improvement in gross margin percentage was due to lower inbound freight costs and product mix.</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 for the International segment was $8.3 million, or 36.2%, for the six months ended June 30, 2024, as compared to $9.2 million, or 39.3%, for the corresponding period in 2023. The decrease in gross margin was driven by lower sales. The decrease in gross margin percentage was driven by higher product costs due to unfavorable fluctuations in foreign currency exchange rates.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Distribution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for the six months ended June 30, 2024 were $31.2 million, as compared to $32.6 million for the corresponding period in 2023. Distribution expenses as a percentage of net sales were 11.0% for the six months ended June 30, 2024, as compared to 11.2% for the six months ended June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as a percentage of net sales for the U.S. segment were 9.5% and 9.7% for the six months ended June 30, 2024 and 2023, respectively. Distribution expenses during the six months ended June 30, 2024 and 2023 include $0.1 million and $0.4 million, respectively, for redesign costs related to upgrading the Company's U.S. warehouse management system. As a percentage of sales shipped from the Company’s U.S. warehouses, excluding non-recurring expenses, distribution expenses were 10.0% and for the six months ended June 30, 2024 and 2023. The decrease in expenses as a percentage of net sales was a result of improved labor management efficiencies resulting in a decrease of employee expenses, lower storage expenses from lower inventory levels, and lower pallet expenses, partially offset by higher labor rates and software maintenance expenses.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expenses as a percentage of net sales for the International segment were 27.7% for the six months ended June 30, 2024, compared to 27.6% for the corresponding period in 2023. As a percentage of sales shipped from the Company’s international warehouse, distribution expenses were 24.3% and 24.5% for the six months ended June 30, 2024 and 2023, respectively. The decrease in expenses as a percentage of sales was a result of lower freight out expenses, partially offset by lower shipment volume.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Selling, general and administrative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six months ended June 30, 2024 were $77.9 million, an increase of $4.1 million, or 5.6%, as compared to $73.8 million for the corresponding period in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U.S. segment were $60.3 million for the six months ended June 30, 2024, as compared to $56.7 million for the corresponding period in 2023. As a percentage of net sales, selling, general and administrative expenses were 23.1% and 21.1% for the six months ended June 30, 2024 and 2023, respectively. The increase in expenses was attributable to higher employee expenses, including incentive compensation, expenses related to the start-up of the Company's manufacturing operations in Mexico, legal expenses, and inflationary increases across several expense categories. This was partially offset by a decrease in the provision for doubtful accounts in the current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for the International segment were $8.0 million for the six months ended June 30, 2024, as compared to $7.5 million for the corresponding period in 2023. The increase was primarily attributable to higher employee expenses, partially due to unfavorable currency translation.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Unallocated corporate expenses for the six months ended June 30, 2024 were $9.6 million, as compared to $9.5 million for the corresponding period in 2023. The increase was driven by higher incentive compensation, legal expenses, partially offset by lower professional services.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Restructuring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2023, the Company incurred $0.8 million of unallocated corporate expense related to the termination payment with its Executive Chairman.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was $10.8 million and $10.9 million for the six months ended June 30, 2024 and 2023, respectively. The decrease in expense was a result of lower average outstanding borrowings, partially offset by higher interest rates on outstanding borrowings.</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 to market (loss) gain on interest rate derivatives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 to market loss on interest rate derivatives was $0.3 million for the six months ended June 30, 2024, as compared to $0.04 million for the six months ended June 30, 2023. The increase was attributable to the change in the fair value based on the increase in interest rates.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June 30, 2024, the intent of the Company is to hold these derivative contracts until their maturity.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Gain on early retirement of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early retirement of debt was $1.5 million for the six months ended June 30, 2023. The gain recognized for the six months ended June 30, 2023 was attributable to the repurchase of $47.2 million in principal amount of the Term Loan. Refer to NOTE 6 — DEBT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Loss on equity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equity securities was $14.2 million for the six months ended June 30, 2024. In the second quarter of 2024, the Company loss significant influence over its investment in Vasconia and discontinued the equity method of accounting. This change resulted in the reclassification of previously recognized accumulated other comprehensive losses to the investment balance and subsequently resulted in a non-cash loss of $14.2 million, to reduce the investment to its fair value. NOTE 4 —INVESTMENT for additional information.</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120" w:after="283"/>
        <w:jc w:val="left"/>
        <w:rPr/>
      </w:pPr>
      <w:r>
        <w:rPr>
          <w:rFonts w:ascii="Times New Roman;sans-serif" w:hAnsi="Times New Roman;sans-serif"/>
          <w:b w:val="false"/>
          <w:color w:val="000000"/>
          <w:sz w:val="20"/>
        </w:rPr>
        <w:t>Income tax provision of $0.2 million and income tax benefit of $0.1 million for the six months ended June 30, 2024 and 2023, respectively, represent taxes on both US and foreign earnings at a combined</w:t>
      </w:r>
      <w:r>
        <w:rPr>
          <w:color w:val="000000"/>
        </w:rPr>
        <w:t xml:space="preserve"> </w:t>
      </w:r>
      <w:r>
        <w:rPr>
          <w:rFonts w:ascii="Times New Roman;sans-serif" w:hAnsi="Times New Roman;sans-serif"/>
          <w:b w:val="false"/>
          <w:color w:val="000000"/>
          <w:sz w:val="20"/>
        </w:rPr>
        <w:t>effective income tax provision rate of (0.7)% and an income tax benefit rate of 1.6%, respectively. The negative rate for the six months ended June 30, 2024 reflects tax expense on a pretax financial reporting loss. The effective tax rate for the six months ended June 30, 2024 differs from the federal statutory income tax rate of 21.0% primarily due to foreign losses for which no tax benefit is recognized as such amounts are fully offset with a valuation allowance. The effective tax rate for the six months ended June 30, 2023 differs from the federal statutory income tax rate of 21.0% primarily due to state and local tax expense and foreign losses for which no tax benefit is recognized as such amounts are fully offset with a valuation allowance.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Equity in losses, net of taxes</w:t>
      </w:r>
    </w:p>
    <w:p>
      <w:pPr>
        <w:pStyle w:val="TextBody"/>
        <w:bidi w:val="0"/>
        <w:spacing w:lineRule="auto" w:line="288" w:before="120" w:after="283"/>
        <w:jc w:val="left"/>
        <w:rPr/>
      </w:pPr>
      <w:r>
        <w:rPr>
          <w:rFonts w:ascii="Times New Roman;sans-serif" w:hAnsi="Times New Roman;sans-serif"/>
          <w:b w:val="false"/>
          <w:color w:val="000000"/>
          <w:sz w:val="20"/>
        </w:rPr>
        <w:t>Equity in losses of Vasconia, net of taxes</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was $2.1 million for the six months ended June 30, 2024, as compared to $8.6 million for the six months ended June 30, 2023. For the six months ended June 30, 2023, equity in losses included a non-cash impairment charge of $6.5 million to reduce the carrying value of the Company’s equity method investment in Vasconia to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payments of dividends, and payments of principal and interest on its debt.</w:t>
      </w:r>
    </w:p>
    <w:p>
      <w:pPr>
        <w:pStyle w:val="TextBody"/>
        <w:bidi w:val="0"/>
        <w:spacing w:lineRule="auto" w:line="288" w:before="240" w:after="283"/>
        <w:jc w:val="left"/>
        <w:rPr/>
      </w:pPr>
      <w:r>
        <w:rPr>
          <w:rFonts w:ascii="Times New Roman;sans-serif" w:hAnsi="Times New Roman;sans-serif"/>
          <w:b w:val="false"/>
          <w:color w:val="000000"/>
          <w:sz w:val="20"/>
        </w:rPr>
        <w:t xml:space="preserve">At June 30, 2024, the Company had cash and cash equivalents of $3.4 million, compared to </w:t>
      </w:r>
      <w:r>
        <w:rPr>
          <w:rFonts w:ascii="Times New Roman;sans-serif" w:hAnsi="Times New Roman;sans-serif"/>
          <w:b w:val="false"/>
          <w:color w:val="000000"/>
          <w:sz w:val="20"/>
          <w:shd w:fill="FFFFFF" w:val="clear"/>
        </w:rPr>
        <w:t>$16.2 million</w:t>
      </w:r>
      <w:r>
        <w:rPr>
          <w:color w:val="000000"/>
        </w:rPr>
        <w:t xml:space="preserve"> </w:t>
      </w:r>
      <w:r>
        <w:rPr>
          <w:rFonts w:ascii="Times New Roman;sans-serif" w:hAnsi="Times New Roman;sans-serif"/>
          <w:b w:val="false"/>
          <w:color w:val="000000"/>
          <w:sz w:val="20"/>
        </w:rPr>
        <w:t>at December 31, 2023. Working capital was $197.5 million at June 30, 2024, compared to $224.4 million at December 31, 2023. Liquidity as of June 30, 2024 was $119.3 million, consisting of $3.4 million of cash and cash equivalents, $97.2 million of availability under the ABL Agreement, limited by the Term Loan financial covenant, and $18.7 million of available funding under the Receivables Purchase Agreement.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June 30, 2024, inventory turnover was 1.8 times, or 208 days, as compared to 1.7 times, or 213 days, for the three months ended June 30, 2023. Inventory turns have remained relatively consistent.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7, 2024, in connection with the Wallace EPA Matter, the Company provided financial assurance of $5.6 million in the form of a letter of credit. This reduced the availability under the revolving credit facility in the period.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future changes in these conditions.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Indebtedness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The ABL Agreement provides for a senior secured asset-based revolving credit facility in the maximum aggregate principal amount of $200.0 million, which facility will mature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14, 2023, the Company entered into Amendment No. 2 to amend the Loan Agreement, dated as of March 2, 2018, among the Company, as borrower, the other loan parties from time to time party thereto, the lenders from time to time party thereto, and JPMorgan Chase Bank, N.A., as Administrative Agent (as amended, the “Term Loan” and together with the ABL Agreement, the “Debt Agreements”). The Term Loan has a principal amount of $150.0 million, and matures on August 26, 2027.</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requires the Company to make quarterly payments of principal each equal to 1.25% of the aggregate principal amount of the Term Loan, commencing on March 31, 2024, with the remaining balance payable on the maturity date. The Term Loan requires the Company to make an annual prepayment of principal, beginning with those for the fiscal year ending December 31, 2024,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Per the Term Loan, when the Company makes an Excess Cash Flow prepayment, the payment is first applied to satisfy the next eight (8) scheduled future quarterly required payments of the Term Loan in order of maturity and then to the remaining scheduled installments on a pro rata basis.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maximum borrowing amount under the ABL Agreement may be increased to up to $250.0 million if certain conditions are met. One or more tranches of additional term loans (the “Incremental Term Facilities”) may be added under the Term Loan if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conditions are met. The Incremental Facilities may not exceed the sum of (i) $50.0 million plus (ii) an unlimited amount so long as, in the case of (ii) only, the Company’s secured net leverage ratio, as defined in and computed on a pro forma basis pursuant to the Term Loan, after giving effect to such increase, is no greater than 3.25 to 1.00, subject to certain limitations and for the period defined pursuant to the Term Loan but not to mature earlier than the maturity date of the then existing term loans.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the total availability under the ABL Agreement were as follows (in thousands): </w:t>
      </w:r>
    </w:p>
    <w:tbl>
      <w:tblPr>
        <w:tblW w:w="7194" w:type="dxa"/>
        <w:jc w:val="left"/>
        <w:tblInd w:w="0" w:type="dxa"/>
        <w:tblLayout w:type="fixed"/>
        <w:tblCellMar>
          <w:top w:w="28" w:type="dxa"/>
          <w:left w:w="28" w:type="dxa"/>
          <w:bottom w:w="28" w:type="dxa"/>
          <w:right w:w="28" w:type="dxa"/>
        </w:tblCellMar>
      </w:tblPr>
      <w:tblGrid>
        <w:gridCol w:w="1375"/>
        <w:gridCol w:w="1206"/>
        <w:gridCol w:w="1214"/>
        <w:gridCol w:w="109"/>
        <w:gridCol w:w="109"/>
        <w:gridCol w:w="109"/>
        <w:gridCol w:w="217"/>
        <w:gridCol w:w="817"/>
        <w:gridCol w:w="121"/>
        <w:gridCol w:w="109"/>
        <w:gridCol w:w="109"/>
        <w:gridCol w:w="109"/>
        <w:gridCol w:w="287"/>
        <w:gridCol w:w="1077"/>
        <w:gridCol w:w="226"/>
      </w:tblGrid>
      <w:tr>
        <w:trPr/>
        <w:tc>
          <w:tcPr>
            <w:tcW w:w="1375"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Maximum aggregate principal allowed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181,919 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borrowings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(60,395)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Standby letters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(2,894)</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availability under the ABL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135,531 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118,630 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the Company may have greater borrowing availability during the third and fourth quarters of each year. Consequently, the $200.0 million commitment thereunder may not represent actual borrowing capacity. The Company’s borrowing capacity may be further limited by the Term Loan financial covenant of 5.00 to 1.00 maximum Total Net Leverage Ratio. As of June 30, 2024, the availability under the ABL Agreement, limited by the Term Loan financial covenant, was $97.2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current and non-current portions of the Company’s Term Loan included in the condensed consolidated balance sheets were as follows (in thousands):</w:t>
      </w:r>
    </w:p>
    <w:tbl>
      <w:tblPr>
        <w:tblW w:w="7096" w:type="dxa"/>
        <w:jc w:val="left"/>
        <w:tblInd w:w="0" w:type="dxa"/>
        <w:tblLayout w:type="fixed"/>
        <w:tblCellMar>
          <w:top w:w="28" w:type="dxa"/>
          <w:left w:w="28" w:type="dxa"/>
          <w:bottom w:w="28" w:type="dxa"/>
          <w:right w:w="28" w:type="dxa"/>
        </w:tblCellMar>
      </w:tblPr>
      <w:tblGrid>
        <w:gridCol w:w="1258"/>
        <w:gridCol w:w="1105"/>
        <w:gridCol w:w="1116"/>
        <w:gridCol w:w="109"/>
        <w:gridCol w:w="109"/>
        <w:gridCol w:w="109"/>
        <w:gridCol w:w="217"/>
        <w:gridCol w:w="817"/>
        <w:gridCol w:w="121"/>
        <w:gridCol w:w="109"/>
        <w:gridCol w:w="109"/>
        <w:gridCol w:w="109"/>
        <w:gridCol w:w="291"/>
        <w:gridCol w:w="1093"/>
        <w:gridCol w:w="161"/>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Excess Cash Flow principal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138,625 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(5,347)</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(6,666)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Non-current portion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133,278 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135,834 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Excess Cash Flow principal payment recorded at June 30, 2024 represents the Company’s estimate for the Excess Cash Flow Payment due in 2025. There was no Excess Cash Flow payment due in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certain of its subsidiaries (the “Term Loan Collateral”) pledged as collateral in favor of lenders under the Term Loan and a second-priority lien in the Term Loan Collateral in favor of the lenders under the ABL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June 30, 2024 was between 4.91% and 8.75%. The Company paid a commitment fee of 0.25% on the unused portion of the ABL Agreement during the six months ended June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bears interest, at the Company’s option, at one of the following rates: (i) alternate base rate, defined, for any day, as the greater of (x) the prime rate, (y) a federal funds and overnight bank funding based rate plus 0.5% or (z) one-month Adjusted Term SOFR, but not less than 1.0%, plus 1.0%, plus a margin of 4.5% or (ii) Adjusted Term SOFR (Term SOFR plus the Term SOFR Adjustment) for the applicable interest period, but not less than 1.0%, plus a margin of 5.5%. The interest rate on outstanding borrowings under the Term Loan at June 30, 2024 was 10.94%.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Agreements provide for customary restrictions and events of default. Restrictions include limitations on additional indebtedness, liens, acquisitions, investments and payment of dividends, among other things. Under the Term Loan, the Total Net Leverage Ratio is not permitted to be greater than 5.00 to 1.00 determined as of the end of each fiscal quarters.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was in compliance with the covenants of the Debt Agreements at June 30, 2024.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June 8, 2023, the Company completed the repurchase of $47.2 million in principal amount of the Term Loan, for $95 per $100 of principal. The repurchase was executed by way of a reverse Dutch auction, pursuant to and in accordance with the terms and conditions provided for in the Term Loan. In connection therewith, debt issuance costs of $0.5 million were written off and fees of $0.4 million were incurred. The gain on the early retirement of the Term Loan of $1.5 million, net of fees and expenses, was recognized during the three and six months ended June 30, 2023.</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expects that it will continue to borrow, subject to availability, and repay funds under the ABL Agreement based on working capital and other corporate needs.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Covenant Calculations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adjusted EBITDA for the trailing twelve months ended June 30, 2024 was $56.6 million.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Capital expenditures for the six months ended June 30, 2024 were $1.1 million. </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the net income (loss), as reported, to adjusted EBITDA, for each of the last four quarters and the 12 months ended June 30, 2024:</w:t>
      </w:r>
    </w:p>
    <w:tbl>
      <w:tblPr>
        <w:tblW w:w="10205" w:type="dxa"/>
        <w:jc w:val="left"/>
        <w:tblInd w:w="0" w:type="dxa"/>
        <w:tblLayout w:type="fixed"/>
        <w:tblCellMar>
          <w:top w:w="28" w:type="dxa"/>
          <w:left w:w="28" w:type="dxa"/>
          <w:bottom w:w="28" w:type="dxa"/>
          <w:right w:w="28" w:type="dxa"/>
        </w:tblCellMar>
      </w:tblPr>
      <w:tblGrid>
        <w:gridCol w:w="1065"/>
        <w:gridCol w:w="718"/>
        <w:gridCol w:w="721"/>
        <w:gridCol w:w="270"/>
        <w:gridCol w:w="893"/>
        <w:gridCol w:w="150"/>
        <w:gridCol w:w="109"/>
        <w:gridCol w:w="109"/>
        <w:gridCol w:w="109"/>
        <w:gridCol w:w="217"/>
        <w:gridCol w:w="717"/>
        <w:gridCol w:w="120"/>
        <w:gridCol w:w="109"/>
        <w:gridCol w:w="109"/>
        <w:gridCol w:w="109"/>
        <w:gridCol w:w="196"/>
        <w:gridCol w:w="604"/>
        <w:gridCol w:w="109"/>
        <w:gridCol w:w="109"/>
        <w:gridCol w:w="109"/>
        <w:gridCol w:w="109"/>
        <w:gridCol w:w="196"/>
        <w:gridCol w:w="694"/>
        <w:gridCol w:w="109"/>
        <w:gridCol w:w="109"/>
        <w:gridCol w:w="109"/>
        <w:gridCol w:w="109"/>
        <w:gridCol w:w="391"/>
        <w:gridCol w:w="1413"/>
        <w:gridCol w:w="314"/>
      </w:tblGrid>
      <w:tr>
        <w:trPr/>
        <w:tc>
          <w:tcPr>
            <w:tcW w:w="106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Twelve Months Ended June 30, 2024</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b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1"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as reported</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(17,514)</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equity securities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in losses, net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Mark to market loss on interest rate derivatives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compensation expense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fair value adjustments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extinguishments of debt</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related expenses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1,329 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Warehouse redesign expenses</w:t>
            </w:r>
            <w:r>
              <w:rPr>
                <w:rFonts w:ascii="Times New Roman;sans-serif" w:hAnsi="Times New Roman;sans-serif"/>
                <w:b w:val="false"/>
                <w:color w:val="000000"/>
                <w:sz w:val="12"/>
              </w:rPr>
              <w:t>(1)</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Adjusted EBITDA</w:t>
            </w:r>
            <w:r>
              <w:rPr>
                <w:rFonts w:ascii="Times New Roman;sans-serif" w:hAnsi="Times New Roman;sans-serif"/>
                <w:b w:val="false"/>
                <w:color w:val="000000"/>
                <w:sz w:val="12"/>
              </w:rPr>
              <w:t>(2)</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21,469 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56,625 </w:t>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6"/>
        </w:rPr>
        <w:t>For the twelve months ended June 30, 2024, the warehouse redesign expenses were related to the U.S. segment.</w:t>
      </w:r>
    </w:p>
    <w:p>
      <w:pPr>
        <w:pStyle w:val="TextBody"/>
        <w:bidi w:val="0"/>
        <w:spacing w:lineRule="auto" w:line="288" w:before="60" w:after="283"/>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6"/>
        </w:rPr>
        <w:t>Adjusted EBITDA is a non-GAAP financial measure that is defined in the Company’s debt agreements. Adjusted EBITDA is defined as net income (loss), adjusted to exclude loss on equity securities, equity in losses, income tax provision (benefit), interest expense, depreciation and amortization, mark to market loss on interest rate derivatives, stock compensation expense, loss on extinguishments of debt, and other items detailed in the table above that are consistent with exclusions permitted by our debt agreements.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Accounts Receivable Purchase Agreement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did not sell receivables to HSBC during the three and six months ended June 30, 2024 and June 30, 2023. At June 30, 2024, $18.7 million of accounts receivables were available for sale to HSBC, net of applicable charges.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Derivatives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June 2019 the Company entered into interest rate swap agreements, with an aggregate notional value of $25.0 million and expire in February 2025. In March 2024, the Company entered into a new interest rate swap agreement, with an aggregate notional value of $25.0 million and expire in August 2027. These non-designated interest rate swaps serve as cash flow hedges of the Company’s exposure to the variability of the payment of interest on a portion of its Term Loan borrowings. The Company’s total outstanding notional value of interest rate swaps was $50.0 million at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swaps that were designated as cash flow hedges of the Company’s exposure to the variability of the payment of interest on a portion of its Term Loan borrowings expired in March 2023. The Company has no designated interest rate swaps at June 30, 2024.</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Contracts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aggregate gross notional value of foreign exchange contracts at June 30, 2024 was $5.2 million. These foreign exchange contracts have been designated as hedges in order to apply hedge accounting.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June 30, 2024, these foreign exchange contracts have been designated as hedges in to order to apply hedge accounting.</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$20.9 million for the six months ended June 30, 2024, as compared to net cash provided by operating activities of $29.0 million for the six months ended June 30, 2023. The decrease from 2024 compared to 2023 was attributable to higher use of cash related to inventory purchases, partially offset by timing of collections related to the Company's accounts receivables.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was $1.1 million and $1.0 million for the six months ended June 30, 2024 and 2023,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was $32.5 million for the six months ended June 30, 2024, as compared to net cash used in financing activities of $36.5 million for the six months ended June 30, 2023. The change was attributable to the repurchase of a portion of the term loan and stock repurchases in the 2023 period, partially offset by higher repayments of revolving credit facility in the 2024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14, 2022, the Company announced that its Board authorized the repurchase of up to $20.0 million of the Company’s common stock, replacing the Company’s previously-authorized $10.0 million share repurchase program. The repurchase authorization permits the Company to effect the repurchases from time to time through open market purchases and privately negotiated transactions. No repurchases were effected during the six months ended June 30, 2024. As of June 30, 2024, the remaining dollar amount available for repurchases under the Board authorized plan was $11.1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market risk for changes in foreign currency exchange rates and interest rates from the information provided in Item 7A – Quantitative and Qualitative Disclosures About Market Risk in the 2023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(a)Evaluation of 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Chief Executive Officer and the Chief Financial Officer of the Company (its principal executive officer and principal financial officer, respectively) have concluded, based on their evaluation as of June 30, 2024,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pStyle w:val="TextBody"/>
        <w:bidi w:val="0"/>
        <w:spacing w:lineRule="auto" w:line="288" w:before="120" w:after="283"/>
        <w:ind w:left="0" w:right="0" w:hanging="540"/>
        <w:jc w:val="left"/>
        <w:rPr>
          <w:rFonts w:ascii="Times New Roman;sans-serif" w:hAnsi="Times New Roman;sans-serif"/>
          <w:b/>
          <w:color w:val="000000"/>
          <w:sz w:val="20"/>
        </w:rPr>
      </w:pPr>
      <w:r>
        <w:rPr>
          <w:rFonts w:ascii="Times New Roman;sans-serif" w:hAnsi="Times New Roman;sans-serif"/>
          <w:b/>
          <w:color w:val="000000"/>
          <w:sz w:val="20"/>
        </w:rPr>
        <w:t>(b)Changes in Internal Controls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 description of the Company’s legal proceedings, please see NOTE 12 — CONTINGENCIES, to the Company's condensed consolidated financial statements included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pPr>
      <w:r>
        <w:rPr>
          <w:rFonts w:ascii="Times New Roman;sans-serif" w:hAnsi="Times New Roman;sans-serif"/>
          <w:b w:val="false"/>
          <w:color w:val="000000"/>
          <w:sz w:val="20"/>
        </w:rPr>
        <w:t>In addition to the other information set forth in this Quarterly Report on Form 10-Q, readers should carefully consider the factors discussed in Part I, Item 1A—Risk Factors in the 2023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2023 Annual Report on Form 10-K</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Issuer Purchases of Equity Securities</w:t>
      </w:r>
    </w:p>
    <w:tbl>
      <w:tblPr>
        <w:tblW w:w="8695" w:type="dxa"/>
        <w:jc w:val="left"/>
        <w:tblInd w:w="0" w:type="dxa"/>
        <w:tblLayout w:type="fixed"/>
        <w:tblCellMar>
          <w:top w:w="28" w:type="dxa"/>
          <w:left w:w="28" w:type="dxa"/>
          <w:bottom w:w="28" w:type="dxa"/>
          <w:right w:w="28" w:type="dxa"/>
        </w:tblCellMar>
      </w:tblPr>
      <w:tblGrid>
        <w:gridCol w:w="629"/>
        <w:gridCol w:w="552"/>
        <w:gridCol w:w="558"/>
        <w:gridCol w:w="109"/>
        <w:gridCol w:w="109"/>
        <w:gridCol w:w="109"/>
        <w:gridCol w:w="455"/>
        <w:gridCol w:w="455"/>
        <w:gridCol w:w="456"/>
        <w:gridCol w:w="109"/>
        <w:gridCol w:w="109"/>
        <w:gridCol w:w="109"/>
        <w:gridCol w:w="309"/>
        <w:gridCol w:w="734"/>
        <w:gridCol w:w="173"/>
        <w:gridCol w:w="109"/>
        <w:gridCol w:w="109"/>
        <w:gridCol w:w="109"/>
        <w:gridCol w:w="500"/>
        <w:gridCol w:w="500"/>
        <w:gridCol w:w="501"/>
        <w:gridCol w:w="109"/>
        <w:gridCol w:w="109"/>
        <w:gridCol w:w="109"/>
        <w:gridCol w:w="218"/>
        <w:gridCol w:w="1071"/>
        <w:gridCol w:w="122"/>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w:t>
            </w:r>
          </w:p>
          <w:p>
            <w:pPr>
              <w:pStyle w:val="TableContents"/>
              <w:bidi w:val="0"/>
              <w:spacing w:lineRule="auto" w:line="240" w:before="0" w:after="0"/>
              <w:jc w:val="center"/>
              <w:rPr/>
            </w:pPr>
            <w:r>
              <w:rPr>
                <w:rFonts w:ascii="Times New Roman;sans-serif" w:hAnsi="Times New Roman;sans-serif"/>
                <w:b/>
                <w:color w:val="000000"/>
                <w:sz w:val="18"/>
              </w:rPr>
              <w:t>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Total number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purchased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as part of publicly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announced plans</w:t>
            </w:r>
          </w:p>
          <w:p>
            <w:pPr>
              <w:pStyle w:val="TableContents"/>
              <w:bidi w:val="0"/>
              <w:spacing w:lineRule="auto" w:line="240" w:before="0" w:after="0"/>
              <w:jc w:val="center"/>
              <w:rPr/>
            </w:pPr>
            <w:r>
              <w:rPr>
                <w:rFonts w:ascii="Times New Roman;sans-serif" w:hAnsi="Times New Roman;sans-serif"/>
                <w:b/>
                <w:color w:val="000000"/>
                <w:sz w:val="18"/>
              </w:rPr>
              <w:t>or programs</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Maximum</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approximate</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dollar value of</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shares that may</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yet be purchased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under the plans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or programs</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subsequent to</w:t>
            </w:r>
          </w:p>
          <w:p>
            <w:pPr>
              <w:pStyle w:val="TableContents"/>
              <w:bidi w:val="0"/>
              <w:spacing w:lineRule="auto" w:line="240" w:before="0" w:after="0"/>
              <w:jc w:val="center"/>
              <w:rPr/>
            </w:pPr>
            <w:r>
              <w:rPr>
                <w:rFonts w:ascii="Times New Roman;sans-serif" w:hAnsi="Times New Roman;sans-serif"/>
                <w:b/>
                <w:color w:val="000000"/>
                <w:sz w:val="18"/>
              </w:rPr>
              <w:t xml:space="preserve">end of period </w:t>
            </w:r>
            <w:r>
              <w:rPr>
                <w:rFonts w:ascii="Times New Roman;sans-serif" w:hAnsi="Times New Roman;sans-serif"/>
                <w:b/>
                <w:color w:val="000000"/>
                <w:sz w:val="12"/>
              </w:rPr>
              <w:t>(2)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1 - June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6,783 </w:t>
            </w:r>
          </w:p>
        </w:tc>
        <w:tc>
          <w:tcPr>
            <w:tcW w:w="4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8.07 </w:t>
            </w:r>
          </w:p>
        </w:tc>
        <w:tc>
          <w:tcPr>
            <w:tcW w:w="17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11,140,752 </w:t>
            </w:r>
          </w:p>
        </w:tc>
        <w:tc>
          <w:tcPr>
            <w:tcW w:w="1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Times New Roman;sans-serif" w:hAnsi="Times New Roman;sans-serif"/>
          <w:b w:val="false"/>
          <w:color w:val="000000"/>
          <w:sz w:val="10"/>
        </w:rPr>
        <w:t>(1)</w:t>
      </w:r>
      <w:r>
        <w:rPr>
          <w:rFonts w:ascii="Times New Roman;sans-serif" w:hAnsi="Times New Roman;sans-serif"/>
          <w:b w:val="false"/>
          <w:color w:val="000000"/>
          <w:sz w:val="16"/>
        </w:rPr>
        <w:t>The repurchased shares were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foregoing number does not include unvested shares forfeited back to the Company pursuant to the terms of its stock compensation plans.</w:t>
      </w:r>
    </w:p>
    <w:p>
      <w:pPr>
        <w:pStyle w:val="TextBody"/>
        <w:bidi w:val="0"/>
        <w:spacing w:lineRule="auto" w:line="288" w:before="60" w:after="283"/>
        <w:ind w:left="0" w:right="0" w:hanging="360"/>
        <w:jc w:val="left"/>
        <w:rPr/>
      </w:pPr>
      <w:r>
        <w:rPr>
          <w:rFonts w:ascii="Times New Roman;sans-serif" w:hAnsi="Times New Roman;sans-serif"/>
          <w:b w:val="false"/>
          <w:color w:val="000000"/>
          <w:sz w:val="10"/>
        </w:rPr>
        <w:t>(2)</w:t>
      </w:r>
      <w:r>
        <w:rPr>
          <w:rFonts w:ascii="Times New Roman;sans-serif" w:hAnsi="Times New Roman;sans-serif"/>
          <w:b w:val="false"/>
          <w:color w:val="000000"/>
          <w:sz w:val="16"/>
        </w:rPr>
        <w:t>On March 14, 2022, the Company announced that its Board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No repurchases occurred during the three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Rule 10b5-1 Trading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Company’s fiscal quarter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Exhibit Index below, which is incorporated by reference herein.</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91"/>
        <w:gridCol w:w="344"/>
        <w:gridCol w:w="346"/>
        <w:gridCol w:w="109"/>
        <w:gridCol w:w="109"/>
        <w:gridCol w:w="109"/>
        <w:gridCol w:w="2572"/>
        <w:gridCol w:w="2572"/>
        <w:gridCol w:w="365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2572" w:type="dxa"/>
            <w:tcBorders/>
            <w:vAlign w:val="center"/>
          </w:tcPr>
          <w:p>
            <w:pPr>
              <w:pStyle w:val="TableContents"/>
              <w:bidi w:val="0"/>
              <w:spacing w:before="0" w:after="283"/>
              <w:jc w:val="left"/>
              <w:rPr>
                <w:sz w:val="4"/>
                <w:szCs w:val="4"/>
              </w:rPr>
            </w:pPr>
            <w:r>
              <w:rPr>
                <w:sz w:val="4"/>
                <w:szCs w:val="4"/>
              </w:rPr>
            </w:r>
          </w:p>
        </w:tc>
        <w:tc>
          <w:tcPr>
            <w:tcW w:w="3653"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06302024.htm">
              <w:r>
                <w:rPr>
                  <w:rStyle w:val="InternetLink"/>
                  <w:rFonts w:ascii="Times New Roman;sans-serif" w:hAnsi="Times New Roman;sans-serif"/>
                  <w:b w:val="false"/>
                  <w:color w:val="0000FF"/>
                  <w:sz w:val="20"/>
                  <w:u w:val="single"/>
                </w:rPr>
                <w:t>Certification by Robert B. Kay, Chief Executive Officer and Director,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06302024.htm">
              <w:r>
                <w:rPr>
                  <w:rStyle w:val="InternetLink"/>
                  <w:rFonts w:ascii="Times New Roman;sans-serif" w:hAnsi="Times New Roman;sans-serif"/>
                  <w:b w:val="false"/>
                  <w:color w:val="0000FF"/>
                  <w:sz w:val="20"/>
                  <w:u w:val="single"/>
                </w:rPr>
                <w:t>Certification by Laurence Winoker, Executive Vice President, Treasurer and Chief Financial Officer, pursuant to Rule 13a-14(a) or Rule 15d-14(a) of the Securities and Exchange Act of 1934, as adopted pursuant to Section 302 of the Sarbanes-Oxley Act of 2002</w:t>
              </w:r>
            </w:hyperlink>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06302024.htm">
              <w:r>
                <w:rPr>
                  <w:rStyle w:val="InternetLink"/>
                  <w:rFonts w:ascii="Times New Roman;sans-serif" w:hAnsi="Times New Roman;sans-serif"/>
                  <w:b w:val="false"/>
                  <w:color w:val="0000FF"/>
                  <w:sz w:val="20"/>
                  <w:u w:val="single"/>
                </w:rPr>
                <w:t>Certification by Robert B. Kay, Chief Executive Officer and Director, and Laurence Winoker, Executive Vice President, Treasurer and Chief Financial Officer, pursuant to 18 U.S.C. Section 1350, as adopted pursuant to Section 906 of the Sarbanes-Oxley Act of 2002</w:t>
              </w:r>
            </w:hyperlink>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Labels Linkbase Document</w:t>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4"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7"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Quarterly Report on Form 10-Q, formatted in Inline XBRL and contained in Exhibit 101</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7699478a03e148cfa2913893c6de103b_7">
        <w:r>
          <w:rPr>
            <w:rStyle w:val="InternetLink"/>
            <w:rFonts w:ascii="Times New Roman;sans-serif" w:hAnsi="Times New Roman;sans-serif"/>
            <w:b/>
            <w:color w:val="0000FF"/>
            <w:sz w:val="20"/>
            <w:u w:val="single"/>
          </w:rPr>
          <w:t>Table of Contents</w:t>
        </w:r>
      </w:hyperlink>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thereunto duly authorized.</w:t>
      </w:r>
    </w:p>
    <w:tbl>
      <w:tblPr>
        <w:tblW w:w="6970" w:type="dxa"/>
        <w:jc w:val="left"/>
        <w:tblInd w:w="0" w:type="dxa"/>
        <w:tblLayout w:type="fixed"/>
        <w:tblCellMar>
          <w:top w:w="28" w:type="dxa"/>
          <w:left w:w="28" w:type="dxa"/>
          <w:bottom w:w="28" w:type="dxa"/>
          <w:right w:w="28" w:type="dxa"/>
        </w:tblCellMar>
      </w:tblPr>
      <w:tblGrid>
        <w:gridCol w:w="124"/>
        <w:gridCol w:w="109"/>
        <w:gridCol w:w="109"/>
        <w:gridCol w:w="1743"/>
        <w:gridCol w:w="1743"/>
        <w:gridCol w:w="1748"/>
        <w:gridCol w:w="407"/>
        <w:gridCol w:w="407"/>
        <w:gridCol w:w="5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Lifetime Brands, Inc.</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August 8, 2024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Treasurer and Chief Financial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- 44 -</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certify that: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3135" w:type="dxa"/>
        <w:jc w:val="left"/>
        <w:tblInd w:w="0" w:type="dxa"/>
        <w:tblLayout w:type="fixed"/>
        <w:tblCellMar>
          <w:top w:w="28" w:type="dxa"/>
          <w:left w:w="28" w:type="dxa"/>
          <w:bottom w:w="28" w:type="dxa"/>
          <w:right w:w="28" w:type="dxa"/>
        </w:tblCellMar>
      </w:tblPr>
      <w:tblGrid>
        <w:gridCol w:w="998"/>
        <w:gridCol w:w="878"/>
        <w:gridCol w:w="1259"/>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r>
      <w:tr>
        <w:trPr/>
        <w:tc>
          <w:tcPr>
            <w:tcW w:w="3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B. Kay</w:t>
              <w:br/>
              <w:t>Chief Executive Officer and Director</w:t>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Laurence Winoker, certify that: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Lifetime Brands, Inc. (“the registrant”);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ind w:left="0" w:right="0" w:hanging="360"/>
        <w:jc w:val="left"/>
        <w:rPr/>
      </w:pPr>
      <w:r>
        <w:rPr/>
      </w:r>
    </w:p>
    <w:tbl>
      <w:tblPr>
        <w:tblW w:w="3491" w:type="dxa"/>
        <w:jc w:val="left"/>
        <w:tblInd w:w="0" w:type="dxa"/>
        <w:tblLayout w:type="fixed"/>
        <w:tblCellMar>
          <w:top w:w="28" w:type="dxa"/>
          <w:left w:w="28" w:type="dxa"/>
          <w:bottom w:w="28" w:type="dxa"/>
          <w:right w:w="28" w:type="dxa"/>
        </w:tblCellMar>
      </w:tblPr>
      <w:tblGrid>
        <w:gridCol w:w="1129"/>
        <w:gridCol w:w="993"/>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Laurence Winoker</w:t>
              <w:br/>
              <w:t>Executive Vice President,</w:t>
              <w:br/>
              <w:t>Treasurer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ind w:left="0" w:right="0" w:hanging="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Certification by Robert B. Kay, Chief Executive Officer and Director, and Laurence Winoker, Executive Vice President, Treasurer and Chief Financial Officer, Pursuant to 18 U.S.C. Section 1350, as Adopted Pursuant to Section 906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Robert B. Kay, Chief Executive Officer and Director, and I, Laurence Winoker, Executive Vice President, Treasurer and Chief Financial Officer, of Lifetime Brands, Inc., a Delaware corporation (the “Company”), each hereby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periodic report on Form 10-Q for the period ended June 30, 2024 (the “Form 10-Q”)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Form 10-Q fairly presents, in all material respects, the financial condition and results of operations of the Company.</w:t>
      </w:r>
    </w:p>
    <w:p>
      <w:pPr>
        <w:pStyle w:val="TextBody"/>
        <w:bidi w:val="0"/>
        <w:spacing w:before="240" w:after="283"/>
        <w:jc w:val="left"/>
        <w:rPr/>
      </w:pPr>
      <w:r>
        <w:rPr/>
      </w:r>
    </w:p>
    <w:tbl>
      <w:tblPr>
        <w:tblW w:w="7720" w:type="dxa"/>
        <w:jc w:val="left"/>
        <w:tblInd w:w="0" w:type="dxa"/>
        <w:tblLayout w:type="fixed"/>
        <w:tblCellMar>
          <w:top w:w="28" w:type="dxa"/>
          <w:left w:w="28" w:type="dxa"/>
          <w:bottom w:w="28" w:type="dxa"/>
          <w:right w:w="28" w:type="dxa"/>
        </w:tblCellMar>
      </w:tblPr>
      <w:tblGrid>
        <w:gridCol w:w="986"/>
        <w:gridCol w:w="865"/>
        <w:gridCol w:w="878"/>
        <w:gridCol w:w="109"/>
        <w:gridCol w:w="109"/>
        <w:gridCol w:w="109"/>
        <w:gridCol w:w="1362"/>
        <w:gridCol w:w="1362"/>
        <w:gridCol w:w="1940"/>
      </w:tblGrid>
      <w:tr>
        <w:trPr/>
        <w:tc>
          <w:tcPr>
            <w:tcW w:w="9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B. Kay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Laurence Winoker</w:t>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Robert B. Kay</w:t>
              <w:b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Laurence Winoker</w:t>
              <w:br/>
              <w:t>Executive Vice President, Treasurer and Chief Financial Officer</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8, 2024</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certification required by 18 U.S.C. Section 1350 has been provided to Lifetime Brands, Inc. and will be retained by Lifetime Brands, Inc. and furnished to the SEC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24161</Words>
  <Characters>132073</Characters>
  <CharactersWithSpaces>154735</CharactersWithSpaces>
  <Paragraphs>2507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