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26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240" w:hanging="387"/>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740" w:type="dxa"/>
            <w:vAlign w:val="bottom"/>
            <w:gridSpan w:val="3"/>
          </w:tcPr>
          <w:p>
            <w:pPr>
              <w:ind w:left="38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3"/>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8"/>
                <w:szCs w:val="18"/>
                <w:b w:val="1"/>
                <w:bCs w:val="1"/>
                <w:color w:val="auto"/>
                <w:w w:val="91"/>
              </w:rPr>
              <w:t>Commission File Number: 0-19254</w:t>
            </w: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43"/>
                <w:szCs w:val="43"/>
                <w:b w:val="1"/>
                <w:bCs w:val="1"/>
                <w:color w:val="auto"/>
              </w:rPr>
              <w:t>LIFETIME BRANDS, INC.</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180" w:type="dxa"/>
            <w:vAlign w:val="bottom"/>
            <w:gridSpan w:val="9"/>
          </w:tcPr>
          <w:p>
            <w:pPr>
              <w:jc w:val="center"/>
              <w:ind w:right="292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392"/>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640" w:type="dxa"/>
            <w:vAlign w:val="bottom"/>
            <w:gridSpan w:val="5"/>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gridSpan w:val="5"/>
          </w:tcPr>
          <w:p>
            <w:pPr>
              <w:jc w:val="center"/>
              <w:ind w:right="1004"/>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44"/>
        </w:trPr>
        <w:tc>
          <w:tcPr>
            <w:tcW w:w="6640" w:type="dxa"/>
            <w:vAlign w:val="bottom"/>
            <w:gridSpan w:val="5"/>
          </w:tcPr>
          <w:p>
            <w:pPr>
              <w:jc w:val="center"/>
              <w:ind w:right="108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tcPr>
          <w:p>
            <w:pPr>
              <w:jc w:val="center"/>
              <w:ind w:right="2124"/>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64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2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66"/>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0" w:type="dxa"/>
            <w:vAlign w:val="bottom"/>
          </w:tcPr>
          <w:p>
            <w:pPr>
              <w:spacing w:after="0"/>
              <w:rPr>
                <w:sz w:val="1"/>
                <w:szCs w:val="1"/>
                <w:color w:val="auto"/>
              </w:rPr>
            </w:pPr>
          </w:p>
        </w:tc>
      </w:tr>
      <w:tr>
        <w:trPr>
          <w:trHeight w:val="381"/>
        </w:trPr>
        <w:tc>
          <w:tcPr>
            <w:tcW w:w="3000" w:type="dxa"/>
            <w:vAlign w:val="bottom"/>
          </w:tcPr>
          <w:p>
            <w:pPr>
              <w:spacing w:after="0"/>
              <w:rPr>
                <w:sz w:val="24"/>
                <w:szCs w:val="24"/>
                <w:color w:val="auto"/>
              </w:rPr>
            </w:pPr>
          </w:p>
        </w:tc>
        <w:tc>
          <w:tcPr>
            <w:tcW w:w="3640" w:type="dxa"/>
            <w:vAlign w:val="bottom"/>
            <w:gridSpan w:val="4"/>
          </w:tcPr>
          <w:p>
            <w:pPr>
              <w:jc w:val="center"/>
              <w:ind w:left="1416"/>
              <w:spacing w:after="0"/>
              <w:rPr>
                <w:sz w:val="20"/>
                <w:szCs w:val="20"/>
                <w:color w:val="auto"/>
              </w:rPr>
            </w:pPr>
            <w:r>
              <w:rPr>
                <w:rFonts w:ascii="Arial" w:cs="Arial" w:eastAsia="Arial" w:hAnsi="Arial"/>
                <w:sz w:val="18"/>
                <w:szCs w:val="18"/>
                <w:b w:val="1"/>
                <w:bCs w:val="1"/>
                <w:color w:val="auto"/>
                <w:w w:val="90"/>
              </w:rPr>
              <w:t>(516) 683-6000</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90"/>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2"/>
        </w:trPr>
        <w:tc>
          <w:tcPr>
            <w:tcW w:w="3000" w:type="dxa"/>
            <w:vAlign w:val="bottom"/>
            <w:vMerge w:val="restart"/>
          </w:tcPr>
          <w:p>
            <w:pPr>
              <w:jc w:val="center"/>
              <w:ind w:left="561"/>
              <w:spacing w:after="0"/>
              <w:rPr>
                <w:sz w:val="20"/>
                <w:szCs w:val="20"/>
                <w:color w:val="auto"/>
              </w:rPr>
            </w:pPr>
            <w:r>
              <w:rPr>
                <w:rFonts w:ascii="Arial" w:cs="Arial" w:eastAsia="Arial" w:hAnsi="Arial"/>
                <w:sz w:val="14"/>
                <w:szCs w:val="14"/>
                <w:b w:val="1"/>
                <w:bCs w:val="1"/>
                <w:color w:val="auto"/>
                <w:w w:val="89"/>
              </w:rPr>
              <w:t>Title of each class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7"/>
              </w:rPr>
              <w:t>Trading</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tcPr>
          <w:p>
            <w:pPr>
              <w:jc w:val="center"/>
              <w:ind w:right="204"/>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0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2"/>
          </w:tcPr>
          <w:p>
            <w:pPr>
              <w:jc w:val="center"/>
              <w:ind w:left="682"/>
              <w:spacing w:after="0"/>
              <w:rPr>
                <w:sz w:val="20"/>
                <w:szCs w:val="20"/>
                <w:color w:val="auto"/>
              </w:rPr>
            </w:pPr>
            <w:r>
              <w:rPr>
                <w:rFonts w:ascii="Arial" w:cs="Arial" w:eastAsia="Arial" w:hAnsi="Arial"/>
                <w:sz w:val="14"/>
                <w:szCs w:val="14"/>
                <w:b w:val="1"/>
                <w:bCs w:val="1"/>
                <w:color w:val="auto"/>
                <w:w w:val="91"/>
              </w:rPr>
              <w:t>Symbol(s)</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000" w:type="dxa"/>
            <w:vAlign w:val="bottom"/>
          </w:tcPr>
          <w:p>
            <w:pPr>
              <w:jc w:val="center"/>
              <w:ind w:left="561"/>
              <w:spacing w:after="0"/>
              <w:rPr>
                <w:sz w:val="20"/>
                <w:szCs w:val="20"/>
                <w:color w:val="auto"/>
              </w:rPr>
            </w:pPr>
            <w:r>
              <w:rPr>
                <w:rFonts w:ascii="Arial" w:cs="Arial" w:eastAsia="Arial" w:hAnsi="Arial"/>
                <w:sz w:val="18"/>
                <w:szCs w:val="18"/>
                <w:b w:val="1"/>
                <w:bCs w:val="1"/>
                <w:color w:val="auto"/>
                <w:w w:val="90"/>
              </w:rPr>
              <w:t>Common Stock, $.01 par value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8"/>
                <w:szCs w:val="18"/>
                <w:b w:val="1"/>
                <w:bCs w:val="1"/>
                <w:color w:val="auto"/>
              </w:rPr>
              <w:t>LCUT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tcPr>
          <w:p>
            <w:pPr>
              <w:jc w:val="center"/>
              <w:ind w:right="204"/>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April 30, 2022 was 22,163,288.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MARCH 31, 2022</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9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748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680" w:type="dxa"/>
            <w:vAlign w:val="bottom"/>
            <w:gridSpan w:val="11"/>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 </w:t>
              </w:r>
            </w:hyperlink>
            <w:r>
              <w:rPr>
                <w:rFonts w:ascii="Arial" w:cs="Arial" w:eastAsia="Arial" w:hAnsi="Arial"/>
                <w:sz w:val="18"/>
                <w:szCs w:val="18"/>
                <w:color w:val="0000FF"/>
              </w:rPr>
              <w:t xml:space="preserve">March 31, 2022 </w:t>
            </w:r>
            <w:hyperlink w:anchor="page4">
              <w:r>
                <w:rPr>
                  <w:rFonts w:ascii="Arial" w:cs="Arial" w:eastAsia="Arial" w:hAnsi="Arial"/>
                  <w:sz w:val="18"/>
                  <w:szCs w:val="18"/>
                  <w:color w:val="0000FF"/>
                </w:rPr>
                <w:t xml:space="preserve">(unaudited) and </w:t>
              </w:r>
            </w:hyperlink>
            <w:r>
              <w:rPr>
                <w:rFonts w:ascii="Arial" w:cs="Arial" w:eastAsia="Arial" w:hAnsi="Arial"/>
                <w:sz w:val="18"/>
                <w:szCs w:val="18"/>
                <w:color w:val="0000FF"/>
              </w:rPr>
              <w:t>December 31, 2021</w:t>
            </w:r>
          </w:p>
        </w:tc>
        <w:tc>
          <w:tcPr>
            <w:tcW w:w="9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Operations (unaudited) – </w:t>
              </w:r>
            </w:hyperlink>
            <w:r>
              <w:rPr>
                <w:rFonts w:ascii="Arial" w:cs="Arial" w:eastAsia="Arial" w:hAnsi="Arial"/>
                <w:sz w:val="18"/>
                <w:szCs w:val="18"/>
                <w:color w:val="0000FF"/>
              </w:rPr>
              <w:t xml:space="preserve">Three Months Ended March 31, 2022 </w:t>
            </w:r>
            <w:hyperlink w:anchor="page4">
              <w:r>
                <w:rPr>
                  <w:rFonts w:ascii="Arial" w:cs="Arial" w:eastAsia="Arial" w:hAnsi="Arial"/>
                  <w:sz w:val="18"/>
                  <w:szCs w:val="18"/>
                  <w:color w:val="0000FF"/>
                </w:rPr>
                <w:t xml:space="preserve">and </w:t>
              </w:r>
            </w:hyperlink>
            <w:r>
              <w:rPr>
                <w:rFonts w:ascii="Arial" w:cs="Arial" w:eastAsia="Arial" w:hAnsi="Arial"/>
                <w:sz w:val="18"/>
                <w:szCs w:val="18"/>
                <w:color w:val="0000FF"/>
              </w:rPr>
              <w:t>2021</w:t>
            </w:r>
          </w:p>
        </w:tc>
        <w:tc>
          <w:tcPr>
            <w:tcW w:w="9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7"/>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 xml:space="preserve">Condensed Consolidated Statements of Comprehensive </w:t>
              </w:r>
            </w:hyperlink>
            <w:r>
              <w:rPr>
                <w:rFonts w:ascii="Arial" w:cs="Arial" w:eastAsia="Arial" w:hAnsi="Arial"/>
                <w:sz w:val="18"/>
                <w:szCs w:val="18"/>
                <w:color w:val="0000FF"/>
                <w:w w:val="95"/>
              </w:rPr>
              <w:t xml:space="preserve">Income </w:t>
            </w:r>
            <w:hyperlink w:anchor="page5">
              <w:r>
                <w:rPr>
                  <w:rFonts w:ascii="Arial" w:cs="Arial" w:eastAsia="Arial" w:hAnsi="Arial"/>
                  <w:sz w:val="18"/>
                  <w:szCs w:val="18"/>
                  <w:color w:val="0000FF"/>
                  <w:w w:val="95"/>
                </w:rPr>
                <w:t xml:space="preserve">(unaudited) – </w:t>
              </w:r>
            </w:hyperlink>
            <w:r>
              <w:rPr>
                <w:rFonts w:ascii="Arial" w:cs="Arial" w:eastAsia="Arial" w:hAnsi="Arial"/>
                <w:sz w:val="18"/>
                <w:szCs w:val="18"/>
                <w:color w:val="0000FF"/>
                <w:w w:val="95"/>
              </w:rPr>
              <w:t>Three Months Ended March 31, 2022 and</w:t>
            </w:r>
          </w:p>
        </w:tc>
        <w:tc>
          <w:tcPr>
            <w:tcW w:w="820" w:type="dxa"/>
            <w:vAlign w:val="bottom"/>
            <w:gridSpan w:val="2"/>
            <w:vMerge w:val="restart"/>
          </w:tcPr>
          <w:p>
            <w:pPr>
              <w:spacing w:after="0"/>
              <w:rPr>
                <w:sz w:val="22"/>
                <w:szCs w:val="22"/>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2021</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2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 xml:space="preserve">Condensed Consolidated Statements of Stockholders’ Equity (unaudited) </w:t>
              </w:r>
            </w:hyperlink>
            <w:r>
              <w:rPr>
                <w:rFonts w:ascii="Arial" w:cs="Arial" w:eastAsia="Arial" w:hAnsi="Arial"/>
                <w:sz w:val="18"/>
                <w:szCs w:val="18"/>
                <w:color w:val="0000FF"/>
                <w:w w:val="90"/>
              </w:rPr>
              <w:t>–Three Months Ended March 31, 2022 and 2021</w:t>
            </w:r>
          </w:p>
        </w:tc>
        <w:tc>
          <w:tcPr>
            <w:tcW w:w="36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1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 xml:space="preserve">Condensed Consolidated Statements of Cash Flows (unaudited) – </w:t>
              </w:r>
            </w:hyperlink>
            <w:r>
              <w:rPr>
                <w:rFonts w:ascii="Arial" w:cs="Arial" w:eastAsia="Arial" w:hAnsi="Arial"/>
                <w:sz w:val="18"/>
                <w:szCs w:val="18"/>
                <w:color w:val="0000FF"/>
                <w:w w:val="89"/>
              </w:rPr>
              <w:t>Three Months Ended March 31, 2022 and 2021</w:t>
            </w:r>
          </w:p>
        </w:tc>
        <w:tc>
          <w:tcPr>
            <w:tcW w:w="1000" w:type="dxa"/>
            <w:vAlign w:val="bottom"/>
            <w:gridSpan w:val="3"/>
          </w:tcPr>
          <w:p>
            <w:pPr>
              <w:spacing w:after="0"/>
              <w:rPr>
                <w:sz w:val="22"/>
                <w:szCs w:val="22"/>
                <w:color w:val="auto"/>
              </w:rPr>
            </w:pPr>
          </w:p>
        </w:tc>
        <w:tc>
          <w:tcPr>
            <w:tcW w:w="82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Condensed Consolidated Financial Statements (unaudited)</w:t>
              </w:r>
            </w:hyperlink>
          </w:p>
        </w:tc>
        <w:tc>
          <w:tcPr>
            <w:tcW w:w="4320" w:type="dxa"/>
            <w:vAlign w:val="bottom"/>
            <w:gridSpan w:val="7"/>
          </w:tcPr>
          <w:p>
            <w:pPr>
              <w:spacing w:after="0"/>
              <w:rPr>
                <w:sz w:val="22"/>
                <w:szCs w:val="22"/>
                <w:color w:val="auto"/>
              </w:rPr>
            </w:pPr>
          </w:p>
        </w:tc>
        <w:tc>
          <w:tcPr>
            <w:tcW w:w="82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92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2740" w:type="dxa"/>
            <w:vAlign w:val="bottom"/>
            <w:gridSpan w:val="6"/>
          </w:tcPr>
          <w:p>
            <w:pPr>
              <w:spacing w:after="0"/>
              <w:rPr>
                <w:sz w:val="22"/>
                <w:szCs w:val="22"/>
                <w:color w:val="auto"/>
              </w:rPr>
            </w:pPr>
          </w:p>
        </w:tc>
        <w:tc>
          <w:tcPr>
            <w:tcW w:w="92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4840" w:type="dxa"/>
            <w:vAlign w:val="bottom"/>
            <w:gridSpan w:val="8"/>
          </w:tcPr>
          <w:p>
            <w:pPr>
              <w:spacing w:after="0"/>
              <w:rPr>
                <w:sz w:val="22"/>
                <w:szCs w:val="22"/>
                <w:color w:val="auto"/>
              </w:rPr>
            </w:pPr>
          </w:p>
        </w:tc>
        <w:tc>
          <w:tcPr>
            <w:tcW w:w="9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93"/>
              </w:rPr>
            </w:pPr>
            <w:hyperlink w:anchor="page42">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3"/>
          </w:tcPr>
          <w:p>
            <w:pPr>
              <w:spacing w:after="0"/>
              <w:rPr>
                <w:sz w:val="22"/>
                <w:szCs w:val="22"/>
                <w:color w:val="auto"/>
              </w:rPr>
            </w:pPr>
          </w:p>
        </w:tc>
        <w:tc>
          <w:tcPr>
            <w:tcW w:w="7420" w:type="dxa"/>
            <w:vAlign w:val="bottom"/>
            <w:gridSpan w:val="9"/>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8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9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7860" w:type="dxa"/>
            <w:vAlign w:val="bottom"/>
            <w:gridSpan w:val="13"/>
          </w:tcPr>
          <w:p>
            <w:pPr>
              <w:spacing w:after="0"/>
              <w:rPr>
                <w:sz w:val="24"/>
                <w:szCs w:val="24"/>
                <w:color w:val="auto"/>
              </w:rPr>
            </w:pPr>
          </w:p>
        </w:tc>
        <w:tc>
          <w:tcPr>
            <w:tcW w:w="9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9"/>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Unregistered Sales of Equity Securities and Use of Proceeds</w:t>
              </w:r>
            </w:hyperlink>
          </w:p>
        </w:tc>
        <w:tc>
          <w:tcPr>
            <w:tcW w:w="4840" w:type="dxa"/>
            <w:vAlign w:val="bottom"/>
            <w:gridSpan w:val="8"/>
          </w:tcPr>
          <w:p>
            <w:pPr>
              <w:spacing w:after="0"/>
              <w:rPr>
                <w:sz w:val="24"/>
                <w:szCs w:val="24"/>
                <w:color w:val="auto"/>
              </w:rPr>
            </w:pPr>
          </w:p>
        </w:tc>
        <w:tc>
          <w:tcPr>
            <w:tcW w:w="9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Exhibits</w:t>
              </w:r>
            </w:hyperlink>
          </w:p>
        </w:tc>
        <w:tc>
          <w:tcPr>
            <w:tcW w:w="3740" w:type="dxa"/>
            <w:vAlign w:val="bottom"/>
            <w:gridSpan w:val="7"/>
          </w:tcPr>
          <w:p>
            <w:pPr>
              <w:spacing w:after="0"/>
              <w:rPr>
                <w:sz w:val="24"/>
                <w:szCs w:val="24"/>
                <w:color w:val="auto"/>
              </w:rPr>
            </w:pPr>
          </w:p>
        </w:tc>
        <w:tc>
          <w:tcPr>
            <w:tcW w:w="4840" w:type="dxa"/>
            <w:vAlign w:val="bottom"/>
            <w:gridSpan w:val="8"/>
          </w:tcPr>
          <w:p>
            <w:pPr>
              <w:spacing w:after="0"/>
              <w:rPr>
                <w:sz w:val="24"/>
                <w:szCs w:val="24"/>
                <w:color w:val="auto"/>
              </w:rPr>
            </w:pPr>
          </w:p>
        </w:tc>
        <w:tc>
          <w:tcPr>
            <w:tcW w:w="92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Signatures</w:t>
              </w:r>
            </w:hyperlink>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4016375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w w:val="95"/>
              </w:rPr>
              <w:t>Accounts receivable, less allowances of $15,599 at March 31, 2022 and $16,544 at December 31, 2021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270,516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485,073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829,074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Current maturity of 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82,573</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85,414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112,741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214,301</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LONG-TERM</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90,824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240,703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241,873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500"/>
              <w:spacing w:after="0" w:line="176" w:lineRule="exact"/>
              <w:rPr>
                <w:sz w:val="20"/>
                <w:szCs w:val="20"/>
                <w:color w:val="auto"/>
              </w:rPr>
            </w:pPr>
            <w:r>
              <w:rPr>
                <w:rFonts w:ascii="Arial" w:cs="Arial" w:eastAsia="Arial" w:hAnsi="Arial"/>
                <w:sz w:val="18"/>
                <w:szCs w:val="18"/>
                <w:color w:val="auto"/>
                <w:w w:val="90"/>
              </w:rPr>
              <w:t>Preferred stock, $1.00 par value, shares authorized: 100 shares of Series A and 2,000,000 shares of Series</w:t>
            </w:r>
          </w:p>
        </w:tc>
        <w:tc>
          <w:tcPr>
            <w:tcW w:w="2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500"/>
              <w:spacing w:after="0"/>
              <w:rPr>
                <w:sz w:val="20"/>
                <w:szCs w:val="20"/>
                <w:color w:val="auto"/>
              </w:rPr>
            </w:pPr>
            <w:r>
              <w:rPr>
                <w:rFonts w:ascii="Arial" w:cs="Arial" w:eastAsia="Arial" w:hAnsi="Arial"/>
                <w:sz w:val="18"/>
                <w:szCs w:val="18"/>
                <w:color w:val="auto"/>
              </w:rPr>
              <w:t>B; none issued and outstanding</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5"/>
              </w:rPr>
              <w:t>Common stock, $0.01 par value, shares authorized: 50,000,000 at March 31, 2022 and December 31,</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2021; shares issued and outstanding: 22,318,096 at March 31, 2022 and 22,018,016 at December 31, 2021</w:t>
            </w: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271,698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271,556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255,646</w:t>
            </w:r>
          </w:p>
        </w:tc>
        <w:tc>
          <w:tcPr>
            <w:tcW w:w="0" w:type="dxa"/>
            <w:vAlign w:val="bottom"/>
          </w:tcPr>
          <w:p>
            <w:pPr>
              <w:spacing w:after="0"/>
              <w:rPr>
                <w:sz w:val="1"/>
                <w:szCs w:val="1"/>
                <w:color w:val="auto"/>
              </w:rPr>
            </w:pPr>
          </w:p>
        </w:tc>
      </w:tr>
      <w:tr>
        <w:trPr>
          <w:trHeight w:val="223"/>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774,913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829,074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129,653</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18,646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 to market gain on interest rate derivatives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equity in earnings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(losses), net of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INCOME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DILUTED INCOME PER COMMON SHARE</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8"/>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17,419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(33,549)</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255,646</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208"/>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255,732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1"/>
                <w:szCs w:val="11"/>
                <w:color w:val="auto"/>
              </w:rPr>
            </w:pPr>
          </w:p>
        </w:tc>
        <w:tc>
          <w:tcPr>
            <w:tcW w:w="14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268,666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(39,172)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230,136</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83"/>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21,980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268,127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(37,489)</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233,406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color w:val="auto"/>
        </w:rPr>
      </w:pPr>
      <w:r>
        <w:rPr>
          <w:rFonts w:ascii="Arial" w:cs="Arial" w:eastAsia="Arial" w:hAnsi="Arial"/>
          <w:sz w:val="14"/>
          <w:szCs w:val="14"/>
          <w:color w:val="auto"/>
        </w:rPr>
        <w:t>Cash dividends declared per share of common stock were $0.0425 and $0.0425 in the three months ended March 31, 2022 and 2021,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rPr>
              <w:t>LIFETIME BRANDS,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470"/>
              <w:spacing w:after="0" w:line="202" w:lineRule="exact"/>
              <w:rPr>
                <w:sz w:val="20"/>
                <w:szCs w:val="20"/>
                <w:color w:val="auto"/>
              </w:rPr>
            </w:pPr>
            <w:r>
              <w:rPr>
                <w:rFonts w:ascii="Arial" w:cs="Arial" w:eastAsia="Arial" w:hAnsi="Arial"/>
                <w:sz w:val="18"/>
                <w:szCs w:val="18"/>
                <w:b w:val="1"/>
                <w:bCs w:val="1"/>
                <w:color w:val="auto"/>
              </w:rPr>
              <w:t>Three Months Ended</w:t>
            </w:r>
          </w:p>
        </w:tc>
      </w:tr>
      <w:tr>
        <w:trPr>
          <w:trHeight w:val="229"/>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9"/>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3,067</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5,958</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Amortization of financing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Mark to market (gain) on interest rate derivatives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(Recovery) provision for doubtful accounts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Undistributed (earnings) losses from equity investment, net of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38,961</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Prepaid expenses, other current assets and other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w:t>
            </w:r>
          </w:p>
        </w:tc>
      </w:tr>
      <w:tr>
        <w:trPr>
          <w:trHeight w:val="230"/>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36,282</w:t>
            </w:r>
          </w:p>
        </w:tc>
      </w:tr>
      <w:tr>
        <w:trPr>
          <w:trHeight w:val="210"/>
        </w:trPr>
        <w:tc>
          <w:tcPr>
            <w:tcW w:w="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30"/>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(17,977)</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09"/>
        </w:trPr>
        <w:tc>
          <w:tcPr>
            <w:tcW w:w="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(35,131)</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Repayments of term loan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for finance lease obligations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for stock repurchase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Cash dividends paid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(40,794)</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Effect of foreign exchange on cash</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r>
      <w:tr>
        <w:trPr>
          <w:trHeight w:val="229"/>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35,963</w:t>
            </w:r>
          </w:p>
        </w:tc>
      </w:tr>
      <w:tr>
        <w:trPr>
          <w:trHeight w:val="248"/>
        </w:trPr>
        <w:tc>
          <w:tcPr>
            <w:tcW w:w="40" w:type="dxa"/>
            <w:vAlign w:val="bottom"/>
          </w:tcPr>
          <w:p>
            <w:pPr>
              <w:spacing w:after="0"/>
              <w:rPr>
                <w:sz w:val="21"/>
                <w:szCs w:val="21"/>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30,641</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140"/>
        <w:spacing w:after="0" w:line="377" w:lineRule="auto"/>
        <w:rPr>
          <w:sz w:val="20"/>
          <w:szCs w:val="20"/>
          <w:color w:val="auto"/>
        </w:rPr>
      </w:pPr>
      <w:r>
        <w:rPr>
          <w:rFonts w:ascii="Arial" w:cs="Arial" w:eastAsia="Arial" w:hAnsi="Arial"/>
          <w:sz w:val="18"/>
          <w:szCs w:val="18"/>
          <w:b w:val="1"/>
          <w:bCs w:val="1"/>
          <w:color w:val="auto"/>
        </w:rPr>
        <w:t>NOTE 1 — BASIS OF PRESENTATION AND SUMMARY OF ACCOUNTING POLICIES Organization and business</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2021.</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Operating results for the three months ended March 31, 2022 are not necessarily indicative of the results that may be expected for the year ending December 31, 2022.</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2021 and 2020, net sales for the third and fourth quarters accounted for 56% and 62% of total annual net sales, respectively. The increase in the Company's net sales in the first half of the year in 2021 compared to historical trend was a result of increased demand for the Company's products due shifts in consumer purchasing patterns. In anticipation of the pre-holiday shipping season, inventory levels increase primarily in the June through October time period. The Company's inventory levels at March 31, 2022, did not decrease from the previous two quarters, as a result of increased inventory purchases, to maintain inventory availability and meet expected demand, and higher inventory cost.</w:t>
      </w:r>
    </w:p>
    <w:p>
      <w:pPr>
        <w:spacing w:after="0" w:line="178"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A considerable amount of judgment is required to assess the ultimate realization of these receivables, including assessing the initial and on-going creditworthiness of the Company’s customers.</w:t>
      </w:r>
    </w:p>
    <w:p>
      <w:pPr>
        <w:spacing w:after="0" w:line="18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the Receivable Purchase Agreement, the Company sold to HSBC $46.3 million and $40.6 million of receivables during the three months ended March 31, 2022 and 2021, respectively. Charges of $0.1 million related to the sale of the receivables are included in selling, general and administrative expenses in the unaudited condensed consolidated statements of operations for both the three months ended March 31, 2022 and 2021. At March 31, 2022 and 2021, $28.1 million and $25.6 million, respectively, of receivables sold were outstanding and due to HSBC from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9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49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4900" w:type="dxa"/>
            <w:vAlign w:val="bottom"/>
            <w:vMerge w:val="restart"/>
          </w:tcPr>
          <w:p>
            <w:pPr>
              <w:jc w:val="right"/>
              <w:ind w:right="2370"/>
              <w:spacing w:after="0"/>
              <w:rPr>
                <w:sz w:val="20"/>
                <w:szCs w:val="20"/>
                <w:color w:val="auto"/>
              </w:rPr>
            </w:pPr>
            <w:r>
              <w:rPr>
                <w:rFonts w:ascii="Arial" w:cs="Arial" w:eastAsia="Arial" w:hAnsi="Arial"/>
                <w:sz w:val="18"/>
                <w:szCs w:val="18"/>
                <w:color w:val="auto"/>
              </w:rPr>
              <w:t>- 8 -</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3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7 — DEBT to the unaudited condensed consolidated financial statements included in this Quarterly Report on Form 10-Q) approximate fair value since such borrowings bear interest at variable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815, </w:t>
      </w:r>
      <w:r>
        <w:rPr>
          <w:rFonts w:ascii="Arial" w:cs="Arial" w:eastAsia="Arial" w:hAnsi="Arial"/>
          <w:sz w:val="17"/>
          <w:szCs w:val="17"/>
          <w:i w:val="1"/>
          <w:iCs w:val="1"/>
          <w:color w:val="auto"/>
        </w:rPr>
        <w:t>Derivatives and Hedging</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“ASC 815”</w:t>
      </w:r>
      <w:r>
        <w:rPr>
          <w:rFonts w:ascii="Arial" w:cs="Arial" w:eastAsia="Arial" w:hAnsi="Arial"/>
          <w:sz w:val="17"/>
          <w:szCs w:val="17"/>
          <w:i w:val="1"/>
          <w:iCs w:val="1"/>
          <w:color w:val="auto"/>
        </w:rPr>
        <w:t>)</w:t>
      </w:r>
      <w:r>
        <w:rPr>
          <w:rFonts w:ascii="Arial" w:cs="Arial" w:eastAsia="Arial" w:hAnsi="Arial"/>
          <w:sz w:val="17"/>
          <w:szCs w:val="17"/>
          <w:color w:val="auto"/>
        </w:rPr>
        <w:t>. ASC 815 requires that all derivative instruments be recognized on the balance sheet at fair value as either an asset or liability.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also evaluates qualitative factors to determine whether impairment indicators exist for its indefinite lived intangibles and performs quantitative tests if required. These tests can include the relief from royalty model or other valuation models.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6 — INTANGIBLE ASSETS to the unaudited condensed consolidated financial statements included in this Quarterly Report on Form 10-Q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January 1, 2022, the Company adopted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Accounting Standards Codification (ASC) Topic 606, Revenue from Contracts with Customers. The adoption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ASU 2016-13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is currently evaluating the impact of this standard on its consolidated financial statements and related disclosures.</w:t>
      </w:r>
    </w:p>
    <w:p>
      <w:pPr>
        <w:spacing w:after="0" w:line="19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the London Inter-Bank Offered Rate (“LIBOR”) or another reference rate that is expected to be discontinued as a result of reference rate reform. The guidance in ASU 2020-04 may be applied to contract modifications and hedging relationships as of any date from March 12, 2020 but no later than December 31, 2022 and should be applied on a prospective basis. The Company has not yet applied the guidance in ASU 2020-04 and is currently evaluating the impact of this standard on its consolidated financial statements and related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$1.0 million and $0.7 million for the three months ended March 31, 2022 and 2021, respectively. Net sales exclude taxes that are collected from customers and remitted to the taxing authorities.</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which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Payment terms vary by customer, but generally range from 30 to 90 days or at the point of sale for the Company’s retail direct sales.</w:t>
      </w:r>
    </w:p>
    <w:p>
      <w:pPr>
        <w:spacing w:after="0" w:line="17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Company’s net sales disaggregated by segment, product category and geographic region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114,130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119,995</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30,232</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Home Solutions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25,954</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176,181</w:t>
            </w: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r>
      <w:tr>
        <w:trPr>
          <w:trHeight w:val="223"/>
        </w:trPr>
        <w:tc>
          <w:tcPr>
            <w:tcW w:w="8240" w:type="dxa"/>
            <w:vAlign w:val="bottom"/>
          </w:tcPr>
          <w:p>
            <w:pPr>
              <w:ind w:left="100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195,653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159,402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170,768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r>
      <w:tr>
        <w:trPr>
          <w:trHeight w:val="248"/>
        </w:trPr>
        <w:tc>
          <w:tcPr>
            <w:tcW w:w="8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195,653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S'well</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March 2, 2022, the Company acquired certain assets of Can't Live Without It, LLC. (dba S'well Bottle and which the Company refers to as “S'well”). The Company paid consideration of $18.0 million in cash upon closing of the transaction, subject to working capital adjustments. The transaction also includes up to $5.0 million in contingent consideration, subject to the acquired brand reaching certain milestones.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The purchase price was comprised of the following (in thousands):</w:t>
            </w: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35"/>
        </w:trPr>
        <w:tc>
          <w:tcPr>
            <w:tcW w:w="22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30"/>
        </w:trPr>
        <w:tc>
          <w:tcPr>
            <w:tcW w:w="220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17,977</w:t>
            </w:r>
          </w:p>
        </w:tc>
      </w:tr>
      <w:tr>
        <w:trPr>
          <w:trHeight w:val="229"/>
        </w:trPr>
        <w:tc>
          <w:tcPr>
            <w:tcW w:w="220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Value of contingent consideration</w:t>
            </w:r>
          </w:p>
        </w:tc>
        <w:tc>
          <w:tcPr>
            <w:tcW w:w="1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48"/>
        </w:trPr>
        <w:tc>
          <w:tcPr>
            <w:tcW w:w="220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purchase price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18,627</w:t>
            </w:r>
          </w:p>
        </w:tc>
      </w:tr>
      <w:tr>
        <w:trPr>
          <w:trHeight w:val="20"/>
        </w:trPr>
        <w:tc>
          <w:tcPr>
            <w:tcW w:w="220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value of contingent consideration represents the present value of estimated contingent payments of $0.7 million, related to the attainment of certain gross contribution targets for the year 2024. The maximum undiscounted contingent consideration to be paid under the agreement is $5.0 million.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The purchase price was allocated based on the Company’s preliminary estimate of the fair values of the assets acquired and liabilities assumed,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color w:val="auto"/>
                <w:w w:val="91"/>
              </w:rPr>
              <w:t>Purchase Price Allocation</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3,845</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3,102</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Total allocated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18,627</w:t>
            </w:r>
          </w:p>
        </w:tc>
      </w:tr>
      <w:tr>
        <w:trPr>
          <w:trHeight w:val="21"/>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acquisition is being accounted for as a business combination using the acquisition method of accounting in accordance with FASB ASC Topic 805, Business Combinations (“ASC Topic 805”), which established a new basis of accounting for all identifiable assets acquired and liabilities assumed at fair value. ASC Topic 805 allows the acquiring company to adjust preliminary amounts recognized at the acquisition date to their subsequently determined final fair values during a measurement period, generally up to one year from the date of the acquisition. The fair values of net assets acquired are based on the Company’s preliminary estimate of the respective fair values. The preliminary estimated fair values that are not yet finalized relate to the valuation of accounts receivable, inventory, accounts payable, accrued expenses, intangibles, deferred taxes and valuation of the contingent consideration.</w:t>
      </w:r>
    </w:p>
    <w:p>
      <w:pPr>
        <w:spacing w:after="0" w:line="16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goodwill recognized results from such factors as assembled workforce and the value of other synergies expected from combining operations with the Company. The associated goodwill is deductible for tax purposes. Goodwill and the trade name intangible asset are included in the U.S. segment. The trade name intangible asset is amortized on a straight-line basis over its estimated useful life of 12 years (see Note 6).</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condensed consolidated statement of operations for the three months ended March 31, 2022 includes $0.9 million of net sales attributable to the S'well brand.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&amp; Day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26, 2021, the Company acquired the business and certain assets of Year &amp; Day, a designer and distributor of ceramic dinnerware, stainless steel flatware and Italian glassware for cash in the amount of $0.2 million. The assets and operating results of the Year &amp; Day brand are reflected in the Company’s condensed consolidated financial statements in accordance with ASC Topic No. 805, Business Combinations, commencing from the acquisition date. The purchase price was allocated based on the fair values of the assets acquired which consisted of inventory of $0.3 million and liabilities assumed of $0.1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corporate offices, distribution facilities, a manufacturing plant, and certain vehicles.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March 31, 2022 and 2021 were as follows (in thousands):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1"/>
        </w:trPr>
        <w:tc>
          <w:tcPr>
            <w:tcW w:w="824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color w:val="auto"/>
              </w:rPr>
              <w:t>Operating lease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Fixed lease expense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4,408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Expenses are recorded within distribution expenses and selling, general and administrative expenses on the unaudited condensed consolidated statement of operations.</w:t>
      </w:r>
    </w:p>
    <w:p>
      <w:pPr>
        <w:spacing w:after="0" w:line="200" w:lineRule="exact"/>
        <w:rPr>
          <w:rFonts w:ascii="Arial" w:cs="Arial" w:eastAsia="Arial" w:hAnsi="Arial"/>
          <w:sz w:val="9"/>
          <w:szCs w:val="9"/>
          <w:color w:val="auto"/>
        </w:rPr>
      </w:pPr>
    </w:p>
    <w:p>
      <w:pPr>
        <w:spacing w:after="0" w:line="399" w:lineRule="exact"/>
        <w:rPr>
          <w:rFonts w:ascii="Arial" w:cs="Arial" w:eastAsia="Arial" w:hAnsi="Arial"/>
          <w:sz w:val="9"/>
          <w:szCs w:val="9"/>
          <w:color w:val="auto"/>
        </w:rPr>
      </w:pPr>
    </w:p>
    <w:p>
      <w:pPr>
        <w:ind w:left="5540" w:hanging="111"/>
        <w:spacing w:after="0"/>
        <w:tabs>
          <w:tab w:leader="none" w:pos="5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40"/>
        <w:spacing w:after="0" w:line="269" w:lineRule="auto"/>
        <w:rPr>
          <w:sz w:val="20"/>
          <w:szCs w:val="20"/>
          <w:color w:val="auto"/>
        </w:rPr>
      </w:pPr>
      <w:r>
        <w:rPr>
          <w:rFonts w:ascii="Arial" w:cs="Arial" w:eastAsia="Arial" w:hAnsi="Arial"/>
          <w:sz w:val="18"/>
          <w:szCs w:val="18"/>
          <w:color w:val="auto"/>
        </w:rPr>
        <w:t>Supplemental cash flow information for lease related liabilities and assets for the three months ended March 31, 2022 and 2021 were as follows (in thousands):</w:t>
      </w:r>
    </w:p>
    <w:p>
      <w:pPr>
        <w:jc w:val="center"/>
        <w:ind w:left="836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820" w:type="dxa"/>
            <w:vAlign w:val="bottom"/>
          </w:tcPr>
          <w:p>
            <w:pPr>
              <w:jc w:val="right"/>
              <w:ind w:right="641"/>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4,743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440" w:type="dxa"/>
            <w:vAlign w:val="bottom"/>
          </w:tcPr>
          <w:p>
            <w:pPr>
              <w:spacing w:after="0"/>
              <w:rPr>
                <w:sz w:val="24"/>
                <w:szCs w:val="24"/>
                <w:color w:val="auto"/>
              </w:rPr>
            </w:pPr>
          </w:p>
        </w:tc>
        <w:tc>
          <w:tcPr>
            <w:tcW w:w="27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8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820" w:type="dxa"/>
            <w:vAlign w:val="bottom"/>
          </w:tcPr>
          <w:p>
            <w:pPr>
              <w:jc w:val="right"/>
              <w:ind w:right="641"/>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1,528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8440" w:type="dxa"/>
            <w:vAlign w:val="bottom"/>
          </w:tcPr>
          <w:p>
            <w:pPr>
              <w:spacing w:after="0"/>
              <w:rPr>
                <w:sz w:val="20"/>
                <w:szCs w:val="20"/>
                <w:color w:val="auto"/>
              </w:rPr>
            </w:pPr>
            <w:r>
              <w:rPr>
                <w:rFonts w:ascii="Arial" w:cs="Arial" w:eastAsia="Arial" w:hAnsi="Arial"/>
                <w:sz w:val="18"/>
                <w:szCs w:val="18"/>
                <w:color w:val="auto"/>
                <w:w w:val="94"/>
              </w:rPr>
              <w:t>The aggregate future lease payments for operating leases as of March 31, 2022 were as follows (in thousands):</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three months ended March 31, 2022)</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2027</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(24,161)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4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March 31, 2022,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For the period ended March 31, 2021, the Company's investment ownership was 30.0%. The Company's investment ownership decreased to approximately 27.0% on June 30, 2021 and was further reduced to 24.7% on July 29, 2021 as a result of transactions that occurred in those periods.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months ended March 31, 2022 and 2021 in the accompanying unaudited condensed consolidated statements of operations.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19.88 and MXN 20.46 at March 31, 2022 and December 31, 2021, respectively.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income (loss) has been translated from MXN to USD using the following exchange rates:</w:t>
      </w:r>
    </w:p>
    <w:p>
      <w:pPr>
        <w:spacing w:after="0" w:line="4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20"/>
        <w:spacing w:after="0"/>
        <w:tabs>
          <w:tab w:leader="none" w:pos="103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8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exchange rate (USD to MXN)</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Borders>
              <w:top w:val="single" w:sz="8" w:color="CCEEFF"/>
            </w:tcBorders>
            <w:shd w:val="clear" w:color="auto" w:fill="CCEEFF"/>
          </w:tcPr>
          <w:p>
            <w:pPr>
              <w:spacing w:after="0"/>
              <w:rPr>
                <w:sz w:val="24"/>
                <w:szCs w:val="2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an increase to the investment of $0.1 million and $1.3 million during the three months ended March 31, 2022 and 2021, respectively. These translation effects are recorded in accumulated other comprehensive loss.</w:t>
      </w:r>
    </w:p>
    <w:p>
      <w:pPr>
        <w:spacing w:after="0" w:line="184"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Summarized income statement information for the three months ended March 31, 2022 and 2021 for Vasconia in USD and MXN is as follows (in thousands):</w:t>
      </w:r>
    </w:p>
    <w:p>
      <w:pPr>
        <w:jc w:val="center"/>
        <w:ind w:left="514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51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top w:val="single" w:sz="8" w:color="auto"/>
              <w:bottom w:val="single" w:sz="8" w:color="auto"/>
            </w:tcBorders>
          </w:tcPr>
          <w:p>
            <w:pPr>
              <w:spacing w:after="0"/>
              <w:rPr>
                <w:sz w:val="16"/>
                <w:szCs w:val="16"/>
                <w:color w:val="auto"/>
              </w:rPr>
            </w:pPr>
          </w:p>
        </w:tc>
      </w:tr>
      <w:tr>
        <w:trPr>
          <w:trHeight w:val="180"/>
        </w:trPr>
        <w:tc>
          <w:tcPr>
            <w:tcW w:w="5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USD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64,318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1,089,817</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14,420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295,618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243,103</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76,933</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(15,661)</w:t>
            </w:r>
          </w:p>
        </w:tc>
      </w:tr>
    </w:tbl>
    <w:p>
      <w:pPr>
        <w:spacing w:after="0" w:line="200" w:lineRule="exact"/>
        <w:rPr>
          <w:sz w:val="20"/>
          <w:szCs w:val="20"/>
          <w:color w:val="auto"/>
        </w:rPr>
      </w:pP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equity in earnings (losses) of Vasconia, net of taxes, of $0.4 million and $(0.2) million for the three months ended March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68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December 31, 2021</w:t>
            </w:r>
          </w:p>
        </w:tc>
      </w:tr>
      <w:tr>
        <w:trPr>
          <w:trHeight w:val="215"/>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7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780" w:type="dxa"/>
            <w:vAlign w:val="bottom"/>
            <w:gridSpan w:val="2"/>
          </w:tcPr>
          <w:p>
            <w:pPr>
              <w:ind w:left="760"/>
              <w:spacing w:after="0"/>
              <w:rPr>
                <w:sz w:val="20"/>
                <w:szCs w:val="20"/>
                <w:color w:val="auto"/>
              </w:rPr>
            </w:pPr>
            <w:r>
              <w:rPr>
                <w:rFonts w:ascii="Arial" w:cs="Arial" w:eastAsia="Arial" w:hAnsi="Arial"/>
                <w:sz w:val="16"/>
                <w:szCs w:val="16"/>
                <w:color w:val="auto"/>
              </w:rPr>
              <w:t>Accrued expenses and Accounts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w:t>
            </w:r>
          </w:p>
        </w:tc>
      </w:tr>
    </w:tbl>
    <w:p>
      <w:pPr>
        <w:spacing w:after="0" w:line="30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As of March 31, 2022 and December 31, 2021, the fair value (based on Level 1 inputs using the quoted stock price) of the Company’s investment in Vasconia was $28.7 million and $31.5 million, respectively. The carrying value of the Company’s investment in Vasconia was $22.8 million and $22.3 million as of March 31, 2022 and December 31, 2021, respectively.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March 31, 2022 and December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2022</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w w:val="97"/>
              </w:rPr>
              <w:t>Indefinite-lived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Licenses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w:t>
            </w:r>
          </w:p>
        </w:tc>
        <w:tc>
          <w:tcPr>
            <w:tcW w:w="0" w:type="dxa"/>
            <w:vAlign w:val="bottom"/>
          </w:tcPr>
          <w:p>
            <w:pPr>
              <w:spacing w:after="0"/>
              <w:rPr>
                <w:sz w:val="1"/>
                <w:szCs w:val="1"/>
                <w:color w:val="auto"/>
              </w:rPr>
            </w:pPr>
          </w:p>
        </w:tc>
      </w:tr>
      <w:tr>
        <w:trPr>
          <w:trHeight w:val="216"/>
        </w:trPr>
        <w:tc>
          <w:tcPr>
            <w:tcW w:w="2500" w:type="dxa"/>
            <w:vAlign w:val="bottom"/>
          </w:tcPr>
          <w:p>
            <w:pPr>
              <w:ind w:left="360"/>
              <w:spacing w:after="0" w:line="216" w:lineRule="exact"/>
              <w:rPr>
                <w:sz w:val="20"/>
                <w:szCs w:val="20"/>
                <w:color w:val="auto"/>
              </w:rPr>
            </w:pPr>
            <w:r>
              <w:rPr>
                <w:rFonts w:ascii="Arial" w:cs="Arial" w:eastAsia="Arial" w:hAnsi="Arial"/>
                <w:sz w:val="16"/>
                <w:szCs w:val="16"/>
                <w:color w:val="auto"/>
              </w:rPr>
              <w:t>Trade names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25,481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Customer relationships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99,616</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225,231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331,385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(103,947)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212,678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00" w:firstLine="8"/>
        <w:spacing w:after="0" w:line="267" w:lineRule="auto"/>
        <w:tabs>
          <w:tab w:leader="none" w:pos="181"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gross value and accumulated amortization at March 31, 2022 reflect a reduction of $44.1 million and $(29.4) million, respectively, for the net $14.8 million impairment charge on finite-lived intangible assets within the international segment during the period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activities related to the Company’s intangible assets for the three months ended March 31, 2022 consists of the following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Intangible</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Total Intangible</w:t>
            </w: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1"/>
                <w:szCs w:val="11"/>
                <w:color w:val="auto"/>
              </w:rPr>
            </w:pPr>
          </w:p>
        </w:tc>
        <w:tc>
          <w:tcPr>
            <w:tcW w:w="124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88"/>
              </w:rPr>
              <w:t>Assets and</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224"/>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212,678</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Acquisition of goodwill</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trade name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Goodwill and Intangible Assets, March 31, 2022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225,231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Standby letters of credit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w:t>
            </w: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146,341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187"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December 31, 2021</w:t>
            </w:r>
          </w:p>
        </w:tc>
      </w:tr>
      <w:tr>
        <w:trPr>
          <w:trHeight w:val="19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4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7,200</w:t>
            </w:r>
          </w:p>
        </w:tc>
      </w:tr>
      <w:tr>
        <w:trPr>
          <w:trHeight w:val="243"/>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40"/>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244,927</w:t>
            </w:r>
          </w:p>
        </w:tc>
      </w:tr>
      <w:tr>
        <w:trPr>
          <w:trHeight w:val="21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r>
      <w:tr>
        <w:trPr>
          <w:trHeight w:val="23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240,703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241,873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estimated Excess Cash Flow principal payment recorded at March 31, 2022 represents the Company’s estimate for the 2023 Excess Cash Flow payment. The 2022 Excess Cash Flow payment, paid on March 30, 2022, totaled $6.2 million. The Excess Cash Flow payment differs from the estimated amount at December 31, 2021 of $7.2 million as certain lenders opted to not require payment per the terms of the Debt Agreements.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pledged as collateral in favor of lenders under the Term Loan and a second-priority lien in the Term Loan Collateral in favor of the lenders under the ABL Agreement.</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(or Euro Interbank Offered Rate "EURIBOR" for borrowings denominated in Euro; or Sterling Overnight Index Average “SONIA” for borrowings denominated in Pounds Sterling) plus a margin of 1.25% to 1.75%. The respective margins are based upon the Company’s total leverage ratio, as defined in and computed pursuant to the ABL Agreement. There were no outstanding borrowings under the ABL Agreement at March 31, 2022. In addition, the Company pays a commitment fee of 0.375% on the unused portion of the ABL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2.0%, plus a margin of 2.5% or (ii) LIBOR, but not less than 1.0%, plus a margin of 3.5%. The interest rate on outstanding borrowings under the Term Loan at March 31, 2022 was 4.5%.</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2022.</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$69.0 million at March 31, 2022.</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$44.0 million at March 31, 2022.</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March 31, 2022.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merchandise purchases to foreign suppliers. The Company does not hedge the translation of foreign currency profits into USD, as the Company regards this as an accounting exposure rather than an economic exposure.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aggregate gross notional values of foreign exchange contracts at March 31, 2022 was $18.0 million. These foreign exchange contracts have been designated as hedges in order to apply hedge accounting.</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2022, the Company did not have any foreign currency forward contract derivatives that are not designated as hedges. These foreign exchange contracts have been designated as hedges in to order to apply hedge accounting.</w:t>
      </w:r>
    </w:p>
    <w:p>
      <w:pPr>
        <w:spacing w:after="0" w:line="178"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3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December 31, 2021</w:t>
            </w: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3"/>
        </w:trPr>
        <w:tc>
          <w:tcPr>
            <w:tcW w:w="35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65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3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5"/>
              </w:rPr>
              <w:t>December 31, 2021</w:t>
            </w:r>
          </w:p>
        </w:tc>
      </w:tr>
      <w:tr>
        <w:trPr>
          <w:trHeight w:val="215"/>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5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680</w:t>
            </w:r>
          </w:p>
        </w:tc>
      </w:tr>
    </w:tbl>
    <w:p>
      <w:pPr>
        <w:spacing w:after="0" w:line="28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March 31, 2022, the Company did not anticipate non-performance by any of its counterparties.</w:t>
      </w:r>
    </w:p>
    <w:p>
      <w:pPr>
        <w:spacing w:after="0" w:line="176"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amounts of gains and losses, realized and unrealized, related to the Company’s derivative financial instruments designated as hedging instruments are recognized in other comprehensive income, net of taxes, as follows (in thousands):</w:t>
      </w:r>
    </w:p>
    <w:tbl>
      <w:tblPr>
        <w:tblLayout w:type="fixed"/>
        <w:tblInd w:w="0" w:type="dxa"/>
        <w:tblCellMar>
          <w:top w:w="0" w:type="dxa"/>
          <w:left w:w="0" w:type="dxa"/>
          <w:bottom w:w="0" w:type="dxa"/>
          <w:right w:w="0" w:type="dxa"/>
        </w:tblCellMar>
      </w:tblP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4"/>
          </w:tcPr>
          <w:p>
            <w:pPr>
              <w:ind w:left="440"/>
              <w:spacing w:after="0" w:line="163" w:lineRule="exact"/>
              <w:rPr>
                <w:sz w:val="20"/>
                <w:szCs w:val="20"/>
                <w:color w:val="auto"/>
              </w:rPr>
            </w:pPr>
            <w:r>
              <w:rPr>
                <w:rFonts w:ascii="Arial" w:cs="Arial" w:eastAsia="Arial" w:hAnsi="Arial"/>
                <w:sz w:val="16"/>
                <w:szCs w:val="16"/>
                <w:b w:val="1"/>
                <w:bCs w:val="1"/>
                <w:color w:val="auto"/>
              </w:rPr>
              <w:t>Three Months Ended</w:t>
            </w:r>
          </w:p>
        </w:tc>
      </w:tr>
      <w:tr>
        <w:trPr>
          <w:trHeight w:val="213"/>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2022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ind w:left="800"/>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center"/>
              <w:ind w:left="539"/>
              <w:spacing w:after="0"/>
              <w:rPr>
                <w:sz w:val="20"/>
                <w:szCs w:val="20"/>
                <w:color w:val="auto"/>
              </w:rPr>
            </w:pPr>
            <w:r>
              <w:rPr>
                <w:rFonts w:ascii="Arial" w:cs="Arial" w:eastAsia="Arial" w:hAnsi="Arial"/>
                <w:sz w:val="16"/>
                <w:szCs w:val="16"/>
                <w:color w:val="auto"/>
                <w:w w:val="89"/>
              </w:rPr>
              <w:t>222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w w:val="90"/>
              </w:rPr>
              <w:t>(395)</w:t>
            </w:r>
          </w:p>
        </w:tc>
      </w:tr>
      <w:tr>
        <w:trPr>
          <w:trHeight w:val="210"/>
        </w:trPr>
        <w:tc>
          <w:tcPr>
            <w:tcW w:w="82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w w:val="90"/>
              </w:rPr>
              <w:t>(173)</w:t>
            </w:r>
          </w:p>
        </w:tc>
      </w:tr>
      <w:tr>
        <w:trPr>
          <w:trHeight w:val="23"/>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Realized gains and losses on the interest rate swaps are reclassified into earnings as the interest expense on the debt is recognized. The Company had no terminated or matured interest rate swaps during the three months ended March 31, 2022.</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income (loss) are reclassified into cost of sales as the underlying inventory purchased is sold.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March 31, 2022, the Company reclassified $0.1 million of cash flow hedges in accumulated other comprehensive losses to earnings. This was comprised of $0.2 million related to realized interest rate swap losses and a gain of $0.1 million related to foreign exchange contracts recognized in cost of sales. At March 31, 2022, the estimated amount of existing net gains expected to be reclassified into earnings within the next 12 months was $0.5 million.</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three months ended March 31, 2021, the Company reclassified $0.4 million of cash flow hedges in accumulated other comprehensive losses to earnings related to realized interest rate swap losses. This was comprised of $0.3 million related to realized interest rate swap losses and a loss of $0.1 million related to foreign exchange contracts recognized in cost of sales.</w:t>
      </w:r>
    </w:p>
    <w:p>
      <w:pPr>
        <w:spacing w:after="0" w:line="184" w:lineRule="exact"/>
        <w:rPr>
          <w:sz w:val="20"/>
          <w:szCs w:val="20"/>
          <w:color w:val="auto"/>
        </w:rPr>
      </w:pPr>
    </w:p>
    <w:p>
      <w:pPr>
        <w:ind w:right="520"/>
        <w:spacing w:after="0" w:line="274" w:lineRule="auto"/>
        <w:rPr>
          <w:sz w:val="20"/>
          <w:szCs w:val="20"/>
          <w:color w:val="auto"/>
        </w:rPr>
      </w:pPr>
      <w:r>
        <w:rPr>
          <w:rFonts w:ascii="Arial" w:cs="Arial" w:eastAsia="Arial" w:hAnsi="Arial"/>
          <w:sz w:val="18"/>
          <w:szCs w:val="18"/>
          <w:color w:val="auto"/>
        </w:rPr>
        <w:t>Interest and mark to market gains (losses) related to the Company’s derivative financial instruments not designated as hedging instruments that were recognized in earnings are as follows (in thousands):</w:t>
      </w:r>
    </w:p>
    <w:tbl>
      <w:tblPr>
        <w:tblLayout w:type="fixed"/>
        <w:tblInd w:w="0" w:type="dxa"/>
        <w:tblCellMar>
          <w:top w:w="0" w:type="dxa"/>
          <w:left w:w="0" w:type="dxa"/>
          <w:bottom w:w="0" w:type="dxa"/>
          <w:right w:w="0" w:type="dxa"/>
        </w:tblCellMar>
      </w:tblPr>
      <w:tr>
        <w:trPr>
          <w:trHeight w:val="163"/>
        </w:trPr>
        <w:tc>
          <w:tcPr>
            <w:tcW w:w="36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4"/>
          </w:tcPr>
          <w:p>
            <w:pPr>
              <w:jc w:val="right"/>
              <w:ind w:right="679"/>
              <w:spacing w:after="0" w:line="163" w:lineRule="exact"/>
              <w:rPr>
                <w:sz w:val="20"/>
                <w:szCs w:val="20"/>
                <w:color w:val="auto"/>
              </w:rPr>
            </w:pPr>
            <w:r>
              <w:rPr>
                <w:rFonts w:ascii="Arial" w:cs="Arial" w:eastAsia="Arial" w:hAnsi="Arial"/>
                <w:sz w:val="16"/>
                <w:szCs w:val="16"/>
                <w:b w:val="1"/>
                <w:bCs w:val="1"/>
                <w:color w:val="auto"/>
              </w:rPr>
              <w:t>Three Months Ended</w:t>
            </w:r>
          </w:p>
        </w:tc>
      </w:tr>
      <w:tr>
        <w:trPr>
          <w:trHeight w:val="210"/>
        </w:trPr>
        <w:tc>
          <w:tcPr>
            <w:tcW w:w="36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Derivatives not designated as hedging instruments</w:t>
            </w:r>
          </w:p>
        </w:tc>
        <w:tc>
          <w:tcPr>
            <w:tcW w:w="450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Location of gain (loss)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Mark to market gain on interest rate derivatives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w w:val="89"/>
              </w:rPr>
              <w:t>498</w:t>
            </w:r>
          </w:p>
        </w:tc>
      </w:tr>
      <w:tr>
        <w:trPr>
          <w:trHeight w:val="213"/>
        </w:trPr>
        <w:tc>
          <w:tcPr>
            <w:tcW w:w="3640" w:type="dxa"/>
            <w:vAlign w:val="bottom"/>
            <w:tcBorders>
              <w:bottom w:val="single" w:sz="8" w:color="CCEEFF"/>
            </w:tcBorders>
          </w:tcPr>
          <w:p>
            <w:pPr>
              <w:spacing w:after="0"/>
              <w:rPr>
                <w:sz w:val="18"/>
                <w:szCs w:val="18"/>
                <w:color w:val="auto"/>
              </w:rPr>
            </w:pPr>
          </w:p>
        </w:tc>
        <w:tc>
          <w:tcPr>
            <w:tcW w:w="4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w w:val="90"/>
              </w:rPr>
              <w:t>(111)</w:t>
            </w:r>
          </w:p>
        </w:tc>
      </w:tr>
      <w:tr>
        <w:trPr>
          <w:trHeight w:val="234"/>
        </w:trPr>
        <w:tc>
          <w:tcPr>
            <w:tcW w:w="364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89"/>
              </w:rPr>
              <w:t>387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months ended March 31, 2022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79"/>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average</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0"/>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exercise price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2"/>
              </w:rPr>
              <w:t>life (years)</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1,094,575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Exercises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Options outstanding, March 31, 2022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8"/>
              </w:rPr>
              <w:t>4.7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exercisable, March 31, 2022</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892,615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8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March 31, 2022. The intrinsic value is calculated for each in-the-money stock option as the difference between the closing price of the Company’s common stock on March 31, 2022 and the exercise price.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three months ended March 31, 2022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210,825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March 31, 2022</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592,834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three months ended March 31, 2022 was $0.6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Plan.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months ended March 31, 2022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performance-based awards, January 1, 2022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Achieved performance over target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Vested</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Non-vested performance-based awards, March 31, 2022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401,905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9"/>
          <w:szCs w:val="9"/>
          <w:color w:val="auto"/>
        </w:rPr>
      </w:pPr>
      <w:r>
        <w:rPr>
          <w:rFonts w:ascii="Arial" w:cs="Arial" w:eastAsia="Arial" w:hAnsi="Arial"/>
          <w:sz w:val="14"/>
          <w:szCs w:val="14"/>
          <w:color w:val="auto"/>
        </w:rPr>
        <w:t>Represents the target number of shares to be issued for each performance-based award.</w:t>
      </w:r>
    </w:p>
    <w:p>
      <w:pPr>
        <w:spacing w:after="0" w:line="13" w:lineRule="exact"/>
        <w:rPr>
          <w:rFonts w:ascii="Arial" w:cs="Arial" w:eastAsia="Arial" w:hAnsi="Arial"/>
          <w:sz w:val="9"/>
          <w:szCs w:val="9"/>
          <w:color w:val="auto"/>
        </w:rPr>
      </w:pPr>
    </w:p>
    <w:p>
      <w:pPr>
        <w:ind w:left="340" w:right="320" w:hanging="332"/>
        <w:spacing w:after="0" w:line="255" w:lineRule="auto"/>
        <w:tabs>
          <w:tab w:leader="none" w:pos="327" w:val="left"/>
        </w:tabs>
        <w:numPr>
          <w:ilvl w:val="0"/>
          <w:numId w:val="7"/>
        </w:numPr>
        <w:rPr>
          <w:rFonts w:ascii="Arial" w:cs="Arial" w:eastAsia="Arial" w:hAnsi="Arial"/>
          <w:sz w:val="9"/>
          <w:szCs w:val="9"/>
          <w:color w:val="auto"/>
        </w:rPr>
      </w:pPr>
      <w:r>
        <w:rPr>
          <w:rFonts w:ascii="Arial" w:cs="Arial" w:eastAsia="Arial" w:hAnsi="Arial"/>
          <w:sz w:val="14"/>
          <w:szCs w:val="14"/>
          <w:color w:val="auto"/>
        </w:rPr>
        <w:t>Represents the number of shares earned over target for performance-based awards granted in 2019 based on performance goals attained. These awards vested in the three months ended March 31,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three months ended March 31, 2022 was $2.0 million.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March 31, 2022, there were 40,288 shares available for awards that could be granted under the Plan, assuming maximum performance of performance-based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performance-based awards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spacing w:after="0" w:line="171"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A summary of the Company’s cash-settled performance-based awards activity and related information for the three months ended March 31, 2022 is as follows:</w:t>
      </w:r>
    </w:p>
    <w:tbl>
      <w:tblPr>
        <w:tblLayout w:type="fixed"/>
        <w:tblInd w:w="0" w:type="dxa"/>
        <w:tblCellMar>
          <w:top w:w="0" w:type="dxa"/>
          <w:left w:w="0" w:type="dxa"/>
          <w:bottom w:w="0" w:type="dxa"/>
          <w:right w:w="0" w:type="dxa"/>
        </w:tblCellMar>
      </w:tblPr>
      <w:tr>
        <w:trPr>
          <w:trHeight w:val="163"/>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w w:val="89"/>
              </w:rPr>
              <w:t>Cash-settled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9"/>
              <w:spacing w:after="0" w:line="163" w:lineRule="exact"/>
              <w:rPr>
                <w:sz w:val="20"/>
                <w:szCs w:val="20"/>
                <w:color w:val="auto"/>
              </w:rPr>
            </w:pPr>
            <w:r>
              <w:rPr>
                <w:rFonts w:ascii="Arial" w:cs="Arial" w:eastAsia="Arial" w:hAnsi="Arial"/>
                <w:sz w:val="16"/>
                <w:szCs w:val="16"/>
                <w:b w:val="1"/>
                <w:bCs w:val="1"/>
                <w:color w:val="auto"/>
                <w:w w:val="93"/>
              </w:rPr>
              <w:t>Weighted-</w:t>
            </w:r>
          </w:p>
        </w:tc>
      </w:tr>
      <w:tr>
        <w:trPr>
          <w:trHeight w:val="162"/>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performance-based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3"/>
              </w:rPr>
              <w:t>average fair</w:t>
            </w:r>
          </w:p>
        </w:tc>
      </w:tr>
      <w:tr>
        <w:trPr>
          <w:trHeight w:val="216"/>
        </w:trPr>
        <w:tc>
          <w:tcPr>
            <w:tcW w:w="8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85"/>
              </w:rPr>
              <w:t xml:space="preserve">awards </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value</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cash-settled performance-based awards, January 1, 2022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Grants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87,825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r>
      <w:tr>
        <w:trPr>
          <w:trHeight w:val="212"/>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Non-vested cash-settled performance-based awards, March 31, 2022</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86,950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12.84</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279"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Represents the target number of units to be settled in cash.</w:t>
      </w: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Compensation expense for cash-settled performance-based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cash</w:t>
      </w:r>
      <w:r>
        <w:rPr>
          <w:rFonts w:ascii="Arial" w:cs="Arial" w:eastAsia="Arial" w:hAnsi="Arial"/>
          <w:sz w:val="17"/>
          <w:szCs w:val="17"/>
          <w:b w:val="1"/>
          <w:bCs w:val="1"/>
          <w:color w:val="auto"/>
        </w:rPr>
        <w:t>-</w:t>
      </w:r>
      <w:r>
        <w:rPr>
          <w:rFonts w:ascii="Arial" w:cs="Arial" w:eastAsia="Arial" w:hAnsi="Arial"/>
          <w:sz w:val="17"/>
          <w:szCs w:val="17"/>
          <w:color w:val="auto"/>
        </w:rPr>
        <w:t>settled performance-based awards are liability-classified awards and are recorded within other long-term liabilities in the Company's condensed consolidated balance sheet. These awards are remeasured to fair value at the end of each reporting period until settlement. The cash-settled performance-based awards vest at the end of a three year period, as determined by the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Stock Compensation Expense Components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Equity based stock option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Restricted and performance-based stock awards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compensation expense for equity based awards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r>
      <w:tr>
        <w:trPr>
          <w:trHeight w:val="213"/>
        </w:trPr>
        <w:tc>
          <w:tcPr>
            <w:tcW w:w="8240" w:type="dxa"/>
            <w:vAlign w:val="bottom"/>
          </w:tcPr>
          <w:p>
            <w:pPr>
              <w:ind w:left="460"/>
              <w:spacing w:after="0"/>
              <w:rPr>
                <w:sz w:val="20"/>
                <w:szCs w:val="20"/>
                <w:color w:val="auto"/>
              </w:rPr>
            </w:pPr>
            <w:r>
              <w:rPr>
                <w:rFonts w:ascii="Arial" w:cs="Arial" w:eastAsia="Arial" w:hAnsi="Arial"/>
                <w:sz w:val="16"/>
                <w:szCs w:val="16"/>
                <w:color w:val="auto"/>
              </w:rPr>
              <w:t>Liability based stock option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Cash-settled performance-based awards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Total Stock Compensation Expense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PER COMMON SHARE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Basic income per common share has been computed by dividing net income by the weighted-average number of shares of the Company’s common stock outstanding during the relevant period. Diluted income per common share adjusts net income and basic income per common share for the effect of all potentially dilutive shares of the Company’s common stock. Anti-dilutive securities are not included in the computation of diluted earnings per share under the treasury stock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income per common share for the three months ended March 31, 2022 and 2021 are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 Basic and Diluted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shares outstanding – Basic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 of dilutive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 and other stock awards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shares outstanding – Diluted</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income per common share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Diluted income per common share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Antidilutive Securities</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w:t>
      </w:r>
    </w:p>
    <w:p>
      <w:pPr>
        <w:jc w:val="center"/>
        <w:ind w:right="2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222"/>
        </w:trPr>
        <w:tc>
          <w:tcPr>
            <w:tcW w:w="260" w:type="dxa"/>
            <w:vAlign w:val="bottom"/>
          </w:tcPr>
          <w:p>
            <w:pPr>
              <w:spacing w:after="0"/>
              <w:rPr>
                <w:sz w:val="19"/>
                <w:szCs w:val="19"/>
                <w:color w:val="auto"/>
              </w:rPr>
            </w:pPr>
          </w:p>
        </w:tc>
        <w:tc>
          <w:tcPr>
            <w:tcW w:w="3540" w:type="dxa"/>
            <w:vAlign w:val="bottom"/>
            <w:gridSpan w:val="4"/>
          </w:tcPr>
          <w:p>
            <w:pPr>
              <w:jc w:val="right"/>
              <w:ind w:right="350"/>
              <w:spacing w:after="0"/>
              <w:rPr>
                <w:sz w:val="20"/>
                <w:szCs w:val="20"/>
                <w:color w:val="auto"/>
              </w:rPr>
            </w:pPr>
            <w:r>
              <w:rPr>
                <w:rFonts w:ascii="Arial" w:cs="Arial" w:eastAsia="Arial" w:hAnsi="Arial"/>
                <w:sz w:val="18"/>
                <w:szCs w:val="18"/>
                <w:color w:val="auto"/>
                <w:w w:val="92"/>
              </w:rPr>
              <w:t>(in thousands, except per share amounts)</w:t>
            </w:r>
          </w:p>
        </w:tc>
      </w:t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3,067</w:t>
            </w:r>
          </w:p>
        </w:tc>
      </w:tr>
      <w:tr>
        <w:trPr>
          <w:trHeight w:val="230"/>
        </w:trPr>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21,755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21,086</w:t>
            </w:r>
          </w:p>
        </w:tc>
      </w:tr>
      <w:tr>
        <w:trPr>
          <w:trHeight w:val="459"/>
        </w:trPr>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-1276985</wp:posOffset>
            </wp:positionV>
            <wp:extent cx="710628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-985520</wp:posOffset>
            </wp:positionV>
            <wp:extent cx="71062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-694055</wp:posOffset>
            </wp:positionV>
            <wp:extent cx="710628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-342900</wp:posOffset>
            </wp:positionV>
            <wp:extent cx="710628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6680" w:space="720"/>
            <w:col w:w="3820"/>
          </w:cols>
          <w:pgMar w:left="320" w:top="121" w:right="359" w:bottom="1440" w:gutter="0" w:footer="0" w:header="0"/>
          <w:type w:val="continuous"/>
        </w:sect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Stock options and other stock awards that have been excluded from the denominator as their inclusion would have been anti-dilutive.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 provision of $1.7 million and $2.4 million for the three months ended March 31, 2022 and 2021, respectively, represent taxes on both U.S. and foreign earnings at combined effective income tax provision rates of 102.2% and 42.2%, respectively. The effective tax rate for both the three months ended March 31, 2022 and 2021 differs from the federal statutory income tax rate of 21.0% primarily due to state and local tax expenses, and foreign losses for which no tax benefit is recognized as such amounts are fully offset with a valuation allowance.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Georgia, Illinois, Massachusetts, New Jersey, New York and the United Kingdom.</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audit of the Company's New York State tax returns for years 2015-2019 closed during the quarter ended March 31, 2022 with an immaterial adjustment.</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evaluates its tax positions on a quarterly basis and revises its estimates accordingly. There were no material changes to the Company’s uncertain tax positions, interest, or penalties during the three-month periods ended March 31, 2022 and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191"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166,218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195,653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14,326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4"/>
          </w:tcPr>
          <w:p>
            <w:pPr>
              <w:jc w:val="right"/>
              <w:ind w:right="8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U.S.</w:t>
            </w:r>
          </w:p>
        </w:tc>
        <w:tc>
          <w:tcPr>
            <w:tcW w:w="4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664,080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w:t>
            </w:r>
          </w:p>
        </w:tc>
        <w:tc>
          <w:tcPr>
            <w:tcW w:w="4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Arial" w:cs="Arial" w:eastAsia="Arial" w:hAnsi="Arial"/>
                <w:sz w:val="18"/>
                <w:szCs w:val="18"/>
                <w:color w:val="auto"/>
              </w:rPr>
              <w:t>- 24 -</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35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7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In October 2021, the tolling agreements were extended to November 2022. The tolling agreements do not constitute in any way an admission or acknowledgment of any fact, conclusion of law or liability by the parties to the agreements.</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August 2021, WSPR received a Notice of Liability from the Department of Justice on behalf of the EPA, and in September 2021, WSPR submitted a good faith offer to conduct additional testing and remedial design, which is under consideration by the EPA.</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reserved $0.5 million to cover probable and estimable liabilities with respect to the above testing and remedial design. However, it is not possible at this time for the Company to estimate its share of its ultimate liability related to this matter. In the event of one or more adverse determinations related to this matter, it is possible that the ultimate liability resulting from this matter and the impact on the Company’s results of operations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1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the period of investigation covers a five-year period, the Company is compiling supporting documentation packages for all tableware collections imported during this period.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$1.5 million. In such event, it is reasonably possible that additional penalties could be assessed, depending upon the level of culpability found, of up to $3.0 million for negligence and up to $6.0 million for gross negligence. In the event penalties are assessed, the Company will have the opportunity to further contest CBP’s findings and seek cancellation or mitigation of such assessments.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three months ended March 31,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21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3/8/2022</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5/2/2022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5/16/2022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2022, the Company paid dividends of $1.0 million. This included payments made on February 14, 2022 of</w:t>
      </w:r>
    </w:p>
    <w:p>
      <w:pPr>
        <w:spacing w:after="0" w:line="3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$0.9 million to shareholders of record on January 31, 2022 and payments of $0.1 million for dividends payable upon the vesting of restricted shares and performance shares.</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the three months ended March 31, 2022, the Company reduced retained earnings for the accrual of $1.0 million relating to the dividend payable on May 16,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three months ended March 31, 2022, the Company repurchased 51,145 shares for a total cost of $0.7 million and thereafter retired the shares. Please see Part II, Item 2— Unregistered Sales of Equity Securities and Use of Proceeds included in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9"/>
        </w:trPr>
        <w:tc>
          <w:tcPr>
            <w:tcW w:w="8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w w:val="96"/>
              </w:rPr>
              <w:t>(in thousands)</w:t>
            </w: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3,275</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2,472</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(loss) income adjustment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w w:val="94"/>
              </w:rPr>
              <w:t>March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19"/>
              <w:spacing w:after="0"/>
              <w:rPr>
                <w:sz w:val="20"/>
                <w:szCs w:val="20"/>
                <w:color w:val="auto"/>
              </w:rPr>
            </w:pPr>
            <w:r>
              <w:rPr>
                <w:rFonts w:ascii="Arial" w:cs="Arial" w:eastAsia="Arial" w:hAnsi="Arial"/>
                <w:sz w:val="16"/>
                <w:szCs w:val="16"/>
                <w:color w:val="auto"/>
                <w:w w:val="90"/>
              </w:rPr>
              <w:t>(in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(31,752)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(35,846)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Translation adjustment during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gains (losses) on cash flow hedges: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unrealized gains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 flow hedges, net of taxes of $170 and $(19)</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actuarial loss, net of taxes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(37,489)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reclassified are recorded in interest expense and cost of sales on the unaudited condensed consolidated statement of operations.</w:t>
      </w:r>
    </w:p>
    <w:p>
      <w:pPr>
        <w:ind w:left="320" w:hanging="312"/>
        <w:spacing w:after="0" w:line="186" w:lineRule="auto"/>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19"/>
          <w:szCs w:val="19"/>
          <w:color w:val="auto"/>
          <w:vertAlign w:val="superscript"/>
        </w:rPr>
      </w:pPr>
    </w:p>
    <w:p>
      <w:pPr>
        <w:spacing w:after="0" w:line="379" w:lineRule="exact"/>
        <w:rPr>
          <w:rFonts w:ascii="Arial" w:cs="Arial" w:eastAsia="Arial" w:hAnsi="Arial"/>
          <w:sz w:val="19"/>
          <w:szCs w:val="19"/>
          <w:color w:val="auto"/>
          <w:vertAlign w:val="superscript"/>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When used in this Quarterly Report on Form 10-Q, the words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2021 (the “2021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in the Company’s subsequent filings with the U.S. Securities and Exchange Commission (the “SEC”). Such risks, uncertainties and other important factors include, among others, risks related to:</w:t>
      </w:r>
    </w:p>
    <w:p>
      <w:pPr>
        <w:spacing w:after="0" w:line="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Macroeconomic conditions, including inflationary impacts and disruptions to the global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impact of the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supply chain costs, including raw materials, sourcing, transportation and energy;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United Kingdom's exit from the European Union on the Company's U.K.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tariffs and trade policies, particularly with respect to china;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risks relating to climate change;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Indebtedness, compliance with credit agreements, and access to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seasonality of the Company's cash flows;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complete acquisitions or successfully integrate acquisitions, such as the recent acquisition of S'well;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Intense market competition and changing customer practices or preferences;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third-party manufacturers;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cybersecurity and data privacy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Geopolitical conditions, including war, conflict, unrest and sanctions, including those related to the conflict in Ukraine;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claims;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Reputational risks.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Arial" w:cs="Arial" w:eastAsia="Arial" w:hAnsi="Arial"/>
          <w:sz w:val="18"/>
          <w:szCs w:val="18"/>
          <w:i w:val="1"/>
          <w:iCs w:val="1"/>
          <w:u w:val="single" w:color="auto"/>
          <w:color w:val="auto"/>
        </w:rPr>
        <w:t>http://www.lifetimebrands.com</w:t>
      </w:r>
      <w:r>
        <w:rPr>
          <w:rFonts w:ascii="Arial" w:cs="Arial" w:eastAsia="Arial" w:hAnsi="Arial"/>
          <w:sz w:val="18"/>
          <w:szCs w:val="18"/>
          <w:color w:val="auto"/>
        </w:rPr>
        <w:t>.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Arial" w:cs="Arial" w:eastAsia="Arial" w:hAnsi="Arial"/>
          <w:sz w:val="18"/>
          <w:szCs w:val="18"/>
          <w:i w:val="1"/>
          <w:iCs w:val="1"/>
          <w:u w:val="single" w:color="auto"/>
          <w:color w:val="auto"/>
        </w:rPr>
        <w:t>http://www.sec.gov.</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2021, Kitchenware products and Tableware products accounted for approximately 85% of the Company’s U.S. segment’s net sales and 87% of the Company’s consolidated net sales.</w:t>
      </w:r>
    </w:p>
    <w:p>
      <w:pPr>
        <w:spacing w:after="0" w:line="1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3"/>
          <w:szCs w:val="23"/>
          <w:color w:val="auto"/>
          <w:vertAlign w:val="superscript"/>
        </w:rPr>
        <w:t>®</w:t>
      </w:r>
      <w:r>
        <w:rPr>
          <w:rFonts w:ascii="Arial" w:cs="Arial" w:eastAsia="Arial" w:hAnsi="Arial"/>
          <w:sz w:val="18"/>
          <w:szCs w:val="18"/>
          <w:color w:val="auto"/>
        </w:rPr>
        <w:t>, KitchenAid</w:t>
      </w:r>
      <w:r>
        <w:rPr>
          <w:rFonts w:ascii="Arial" w:cs="Arial" w:eastAsia="Arial" w:hAnsi="Arial"/>
          <w:sz w:val="23"/>
          <w:szCs w:val="23"/>
          <w:color w:val="auto"/>
          <w:vertAlign w:val="superscript"/>
        </w:rPr>
        <w:t>®</w:t>
      </w:r>
      <w:r>
        <w:rPr>
          <w:rFonts w:ascii="Arial" w:cs="Arial" w:eastAsia="Arial" w:hAnsi="Arial"/>
          <w:sz w:val="18"/>
          <w:szCs w:val="18"/>
          <w:color w:val="auto"/>
        </w:rPr>
        <w:t>, Taylor</w:t>
      </w:r>
      <w:r>
        <w:rPr>
          <w:rFonts w:ascii="Arial" w:cs="Arial" w:eastAsia="Arial" w:hAnsi="Arial"/>
          <w:sz w:val="23"/>
          <w:szCs w:val="23"/>
          <w:color w:val="auto"/>
          <w:vertAlign w:val="superscript"/>
        </w:rPr>
        <w:t>®</w:t>
      </w:r>
      <w:r>
        <w:rPr>
          <w:rFonts w:ascii="Arial" w:cs="Arial" w:eastAsia="Arial" w:hAnsi="Arial"/>
          <w:sz w:val="18"/>
          <w:szCs w:val="18"/>
          <w:color w:val="auto"/>
        </w:rPr>
        <w:t>, Mikasa</w:t>
      </w:r>
      <w:r>
        <w:rPr>
          <w:rFonts w:ascii="Arial" w:cs="Arial" w:eastAsia="Arial" w:hAnsi="Arial"/>
          <w:sz w:val="23"/>
          <w:szCs w:val="23"/>
          <w:color w:val="auto"/>
          <w:vertAlign w:val="superscript"/>
        </w:rPr>
        <w:t>®</w:t>
      </w:r>
      <w:r>
        <w:rPr>
          <w:rFonts w:ascii="Arial" w:cs="Arial" w:eastAsia="Arial" w:hAnsi="Arial"/>
          <w:sz w:val="18"/>
          <w:szCs w:val="18"/>
          <w:color w:val="auto"/>
        </w:rPr>
        <w:t>, KitchenCraft</w:t>
      </w:r>
      <w:r>
        <w:rPr>
          <w:rFonts w:ascii="Arial" w:cs="Arial" w:eastAsia="Arial" w:hAnsi="Arial"/>
          <w:sz w:val="23"/>
          <w:szCs w:val="23"/>
          <w:color w:val="auto"/>
          <w:vertAlign w:val="superscript"/>
        </w:rPr>
        <w:t>®</w:t>
      </w:r>
      <w:r>
        <w:rPr>
          <w:rFonts w:ascii="Arial" w:cs="Arial" w:eastAsia="Arial" w:hAnsi="Arial"/>
          <w:sz w:val="18"/>
          <w:szCs w:val="18"/>
          <w:color w:val="auto"/>
        </w:rPr>
        <w:t>, Built NY</w:t>
      </w:r>
      <w:r>
        <w:rPr>
          <w:rFonts w:ascii="Arial" w:cs="Arial" w:eastAsia="Arial" w:hAnsi="Arial"/>
          <w:sz w:val="23"/>
          <w:szCs w:val="23"/>
          <w:color w:val="auto"/>
          <w:vertAlign w:val="superscript"/>
        </w:rPr>
        <w:t>®</w:t>
      </w:r>
      <w:r>
        <w:rPr>
          <w:rFonts w:ascii="Arial" w:cs="Arial" w:eastAsia="Arial" w:hAnsi="Arial"/>
          <w:sz w:val="18"/>
          <w:szCs w:val="18"/>
          <w:color w:val="auto"/>
        </w:rPr>
        <w:t>, Kamenstein</w:t>
      </w:r>
      <w:r>
        <w:rPr>
          <w:rFonts w:ascii="Arial" w:cs="Arial" w:eastAsia="Arial" w:hAnsi="Arial"/>
          <w:sz w:val="23"/>
          <w:szCs w:val="23"/>
          <w:color w:val="auto"/>
          <w:vertAlign w:val="superscript"/>
        </w:rPr>
        <w:t>®</w:t>
      </w:r>
      <w:r>
        <w:rPr>
          <w:rFonts w:ascii="Arial" w:cs="Arial" w:eastAsia="Arial" w:hAnsi="Arial"/>
          <w:sz w:val="18"/>
          <w:szCs w:val="18"/>
          <w:color w:val="auto"/>
        </w:rPr>
        <w:t>, Pfaltzgraff</w:t>
      </w:r>
      <w:r>
        <w:rPr>
          <w:rFonts w:ascii="Arial" w:cs="Arial" w:eastAsia="Arial" w:hAnsi="Arial"/>
          <w:sz w:val="23"/>
          <w:szCs w:val="23"/>
          <w:color w:val="auto"/>
          <w:vertAlign w:val="superscript"/>
        </w:rPr>
        <w:t>®</w:t>
      </w:r>
      <w:r>
        <w:rPr>
          <w:rFonts w:ascii="Arial" w:cs="Arial" w:eastAsia="Arial" w:hAnsi="Arial"/>
          <w:sz w:val="18"/>
          <w:szCs w:val="18"/>
          <w:color w:val="auto"/>
        </w:rPr>
        <w:t>, Rabbit</w:t>
      </w:r>
      <w:r>
        <w:rPr>
          <w:rFonts w:ascii="Arial" w:cs="Arial" w:eastAsia="Arial" w:hAnsi="Arial"/>
          <w:sz w:val="23"/>
          <w:szCs w:val="23"/>
          <w:color w:val="auto"/>
          <w:vertAlign w:val="superscript"/>
        </w:rPr>
        <w:t>®</w:t>
      </w:r>
      <w:r>
        <w:rPr>
          <w:rFonts w:ascii="Arial" w:cs="Arial" w:eastAsia="Arial" w:hAnsi="Arial"/>
          <w:sz w:val="18"/>
          <w:szCs w:val="18"/>
          <w:color w:val="auto"/>
        </w:rPr>
        <w:t>, and Sabatier</w:t>
      </w:r>
      <w:r>
        <w:rPr>
          <w:rFonts w:ascii="Arial" w:cs="Arial" w:eastAsia="Arial" w:hAnsi="Arial"/>
          <w:sz w:val="23"/>
          <w:szCs w:val="23"/>
          <w:color w:val="auto"/>
          <w:vertAlign w:val="superscript"/>
        </w:rPr>
        <w:t>®</w:t>
      </w:r>
      <w:r>
        <w:rPr>
          <w:rFonts w:ascii="Arial" w:cs="Arial" w:eastAsia="Arial" w:hAnsi="Arial"/>
          <w:sz w:val="18"/>
          <w:szCs w:val="18"/>
          <w:color w:val="auto"/>
        </w:rPr>
        <w:t>. Historically, the Company’s sales growth has come from expanding product offerings within its product categories,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COVID-19 pandemic, as well as other factors including, increased demand and shifts in consumer shopping patterns, have caused disruption in the global supply chain. The increased demand for containers, limited container capacity, backlog at U.S. ports and recent shutdowns impacting ports in China, have resulted in increased market costs of inbound freight, container shortages, and longer lead times. The disruption in the global supply chain has also caused increased input costs used to manufacture the Company’s product. The Company has been impacted by these disruptions and has experienced higher inbound freight cost, delays in importing inventory due to limited availability of containers, and an increase in product costs. There have also been instances of limited trucking availability. The Company has experienced instances of trucking shortages, which has resulted in delays of shipments to certain of its customers. The Company expects that these trends may continue in 2022.</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experienced an increase in delivery times and cost for products shipped from the U.K. warehouse to continental Europe. To remain competitive in the distribution of products within continental Europe, the Company expands its distribution and warehouse capacity through a third-party operated distribution provider located in the Netherlands in the first quarter of 2022. The Company expects to begin shipments from this location in the second quarter of 2022.</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23 2022, the United States Trade Representative ("USTR") announced it had reinstated exclusions on certain product categories or harmonized tariff codes retroactive to October 12, 2021. The exclusion is effective through December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benefits, stock compensation, director fees, and accounting, legal fees and consulting fees, are not allocated to the specific segments and are reflected as unallocated corporate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March 31, 2022,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For the period ended March 31, 2021, the Company's investment ownership was 30%. The Company's investment ownership decreased to approximately 27% on June 30, 2021 and was further reduced to 24.7% on July 29, 2021 as a result of transactions that occurred in those periods.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months ended March 31, 2022 and 2021 in the accompanying unaudited condensed consolidated statements of operations. Pursuant to a Shares Subscription Agreement, the Company may designate four persons to be nominated as members of Vasconia’s Board of Directors. As of March 31, 2022, Vasconia’s Board of Directors is comprised of eleven members, of whom the Company has designated two members.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explore opportunities to sell additional shares of its investment in Vasconia.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2021 and 2020, net sales for the third and fourth quarters accounted for 56% and 62% of total annual net sales, respectively. The increase in the Company's net sales in the first half of the year in 2021 compared to historical trend was a result of increased demand for the Company's products due shifts in consumer purchasing patterns. In anticipation of the pre-holiday shipping season, inventory levels increase primarily in the June through October time period. The Company's inventory levels at March 31, 2022, did not decrease from the previous two quarters, as a result of increased inventory purchases, to maintain inventory availability and meet expected demand, and higher inventory cost. In 2021, the Company's inventory levels increased during the fourth quarter compared to the third quarter. The higher inventory balance at December 31, 2021 was a result of increased inventory purchases, to maintain inventory availability and meet expected demand, and higher inventory cost.</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Consistent with the seasonality of the Company’s net sales and inventory levels, the Company also experiences seasonality in its inventory turnover and turnover days from one quarter to the next.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COVID-19 pandemic has caused, and may continue to cause, shifts in some of the Company's selling and purchasing cycles as customers deviate from their historical ordering patterns.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There have been no material changes to the Company’s critical accounting estimates discussed in the 2021 Annual Report on Form 10-K in Item 7 under the heading </w:t>
      </w:r>
      <w:r>
        <w:rPr>
          <w:rFonts w:ascii="Arial" w:cs="Arial" w:eastAsia="Arial" w:hAnsi="Arial"/>
          <w:sz w:val="16"/>
          <w:szCs w:val="16"/>
          <w:i w:val="1"/>
          <w:iCs w:val="1"/>
          <w:color w:val="auto"/>
        </w:rPr>
        <w:t>Management’s Discussion and Analysis of Financial Condition and Results of Operations – Critical Accounting Policies and Estimates</w:t>
      </w:r>
      <w:r>
        <w:rPr>
          <w:rFonts w:ascii="Arial" w:cs="Arial" w:eastAsia="Arial" w:hAnsi="Arial"/>
          <w:sz w:val="16"/>
          <w:szCs w:val="16"/>
          <w:color w:val="auto"/>
        </w:rPr>
        <w: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46"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Three Months Ended</w:t>
      </w:r>
    </w:p>
    <w:p>
      <w:pPr>
        <w:jc w:val="center"/>
        <w:ind w:left="79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Cost of sales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66.3</w:t>
            </w:r>
          </w:p>
        </w:tc>
      </w:tr>
      <w:tr>
        <w:trPr>
          <w:trHeight w:val="212"/>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34.5</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33.7</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Distribution expenses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9.5</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19.5</w:t>
            </w: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5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4.7</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Mark to market gain on interest rate derivatives</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0.3</w:t>
            </w:r>
          </w:p>
        </w:tc>
      </w:tr>
      <w:tr>
        <w:trPr>
          <w:trHeight w:val="212"/>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 and equity in earnings (losses)</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r>
      <w:tr>
        <w:trPr>
          <w:trHeight w:val="213"/>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Income tax provision</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(1.2)</w:t>
            </w:r>
          </w:p>
        </w:tc>
      </w:tr>
      <w:tr>
        <w:trPr>
          <w:trHeight w:val="219"/>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 earnings (losses), net of taxes</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1.6 %</w:t>
            </w: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60" w:right="180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MARCH 31, 2022 COMPARED TO THE THREE MONTHS ENDED MARCH 31, 2021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Consolidated net sales for the three months ended March 31, 2022 were $182.7 million, representing a decrease of $13.0 million or 6.6%, as compared to net sales of $195.7 million for the corresponding period in 2021. In constant currency, a non-GAAP financial measure, which excludes the impact of foreign exchange fluctuations and was determined by applying 2022 average rates to 2021 local currency amounts, consolidated net sales decreased by $12.5 million, or 6.4%, as compared to consolidated net sales in the corresponding period in 2021.</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sales for the U.S. segment for the three months ended March 31, 2022 were $166.2 million, a decrease of $10.0 million, or 5.7%, as compared to net sales of $176.2 million for the corresponding period in 2021.</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for the U.S. segment’s Kitchenware product category were $114.1 million for the three months ended March 31, 2022, a decrease of $5.9 million, or 4.9%, as compared to $120.0 million for the corresponding period in 2021. The decrease was mainly driven by timing of customer inventory replenishment and lower sales for kitchen tools and gadgets as prior period sales were benefited by increased demand in the first quarter due to shifts in consumer purchasing patterns. The decrease was partially offset by higher selling prices and an increase in sales for barware and wine products attributable to a new warehouse club program.</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sales for the U.S. segment’s Tableware product category were $26.6 million for the three months ended March 31, 2022, a decrease of $3.6 million, or 11.9%, as compared to $30.2 million for the corresponding period in 2021. The decrease was attributable to lower dinnerware sales to brick-and-mortar retailers and e-commerce sales.</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Net sales for the U.S. segment’s Home Solutions product category were $25.5 million for the three months ended March 31, 2022, a decrease of $0.5 million, or 1.9%, as compared to $26.0 million for the corresponding period in 2021. The decrease was primarily driven by lower sales for home décor attributable to supply chain delays and measurement products, partially offset by S'well sales.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sales for the International segment were $16.5 million for the three months ended March 31, 2022, a decrease of $3.0 million, or 15.4%, as compared to net sales of $19.5 million for the corresponding period in 2021. In constant currency, which excludes the impact of foreign exchange fluctuations, net sales decreased $2.5 million, or 13.3%, as compared to consolidated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sales in the corresponding period in 2021. The decrease was attributable to the Company's global trading business in Asia driven by lower sales with an Australian distributor.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Gross margin for the three months ended March 31, 2022 was $63.1 million, or 34.5%, as compared to $66.0 million, or 33.7%, for the corresponding period in 2021.</w:t>
      </w:r>
    </w:p>
    <w:p>
      <w:pPr>
        <w:spacing w:after="0" w:line="170"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Gross margin for the U.S. segment was $57.7 million, or 34.7%, for the three months ended March 31, 2022, as compared to $59.8 million, or 33.9%, for the corresponding period in 2021. The improvement in gross margin for the U.S. was primarily driven by a tariff reduction on certain product categories.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margin for the International segment was $5.4 million, or 32.7%, for the three months ended March 31, 2022, as compared to $6.2 million, or 31.8%, for the corresponding period in 2021.The improvement in gross margin was attributable to customer mix.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Distribution expenses for the three months ended March 31, 2022 were $19.2 million, as compared to $18.6 million for the corresponding period in 2021. Distribution expenses as a percentage of net sales were 10.5% for the three months ended March 31, 2022, as compared to 9.5% for the three months ended March 31, 2021.</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Distribution expenses as a percentage of net sales for the U.S. segment were approximately 9.0% and 8.7% for the three months ended March 31, 2022 and 2021, respectively. As a percentage of sales shipped from the Company’s U.S. warehouses, distribution expenses were 9.9% and 8.9% for the three months ended March 31, 2022 and 2021, respectively. The increase in expenses as a percentage of sales was attributable to lower shipment volume, higher labor rates and an increase in warehouse supply expenses.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as a percentage of net sales for the International segment were 26.2% for the three months ended March 31, 2022, compared to</w:t>
      </w:r>
    </w:p>
    <w:p>
      <w:pPr>
        <w:spacing w:after="0" w:line="4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17.2% for the corresponding period in 2021. Distribution expenses during the three months ended March 31, 2022 include $0.4 million for the Company's relocation costs for its new warehouse distribution facility in the Netherlands. As a percentage of sales shipped from the Company’s international warehouses, excluding non-recurring expenses, distribution expenses were 21.7% and 14.4% for the three months ended March 31, 2022 and 2021, respectively. The increase was primarily attributed to increased shipping cost for products shipped from the U.K. warehouse to continental Europe and an increase in business occupancy tax expense for the U.K. warehouse.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2022 were $39.5 million, an increase of $1.4 million, or 3.7%, as compared to $38.1 million for the corresponding period in 2021.</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Selling, general and administrative expenses for the U.S. segment were $28.5 million for the three months ended March 31, 2022, as compared to $27.4 million for the corresponding period in 2021. As a percentage of net sales, selling, general and administrative expenses were 17.1% and 15.6% for the three months ended March 31, 2022 and 2021, respectively. The increase was driven by integration cost related to the S'well acquisition.</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for the International segment were $5.1 million for the three months ended March 31, 2022, as compared to $5.0 million for the corresponding period in 2021. As a percentage of net sales, selling, general and administrative expenses were 30.9% and 25.6% for the three months ended March 31, 2022 and 2021, respectively. The expense increase was attributable to unfavorable foreign currency exchange losses, partially offset by lower amortization expense on intangible assets as a result of the prior year impairment, which reduced the carrying value of the assets to its fair value.</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Unallocated corporate expenses for the three months ended March 31, 2022 were $5.9 million, as compared to $5.7 million for the corresponding period in 2021. The current period increases in legal and professional fees related to the S'well acquisition were offset by lower incentive compensation expense.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was $3.8 million for the three months ended March 31, 2022 and $4.0 million for the three months ended March 31, 2021. The decrease in expense was a result of less debt outstanding.</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on interest rate derivatives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Mark to market gain on interest rate derivatives was $1.0 million for the three months ended March 31, 2022, as compared to a mark to market gain on interest rate derivatives of $0.5 million for the three months ended March 31, 2021. The increase was attributable to the change in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March 31, 2022, the intent of the Company is to hold these derivative contracts until their maturity.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provision of $1.7 million and $2.4 million for the three months ended March 31, 2022 and 2021, respectively, represent taxes on both U.S. and foreign earnings at combined effective income tax provision rates of 102.2% and 42.2%, respectively. The effective tax rate for both the three months ended March 31, 2022 and 2021 differs from the federal statutory income tax rate of 21.0% primarily due to state and local tax expenses, and foreign losses for which no tax benefit is recognized as such amounts are fully offset with a valuation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Equity in earnings of Vasconia, net of taxes, was $0.4 million for the three months ended March 31, 2022, as compared to equity in losses of Vasconia, net of taxes, of $0.2 million for the three months ended March 31, 2021. Vasconia reported income from operations of $4.7 million for the three months ended March 31, 2022, as compared to income from operations of $3.8 million for the three months ended March 31, 2021. The increase in income from operations was primarily attributable to improved operating results in the current period in Vasconia's aluminum division. The prior year equity in losses of Vasconia was attributable to losses from discontinued operations recognized for the three months ended March 31,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At March 31, 2022, the Company had cash and cash equivalents of $14.8 million, compared to $28.0 million at December 31, 2021. Working capital was $255.8 million at March 31, 2022, compared to $270.8 million at December 31, 2021. Liquidity, which includes cash and cash equivalents and availability under the ABL Agreement, was approximately $162.0 million at March 31, 2022.</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In 2021, the Company's inventory levels increased during the fourth quarter compared to the third quarter. The Company's inventory levels at March 31, 2022, did not decrease from the previous two quarters, as a result of increased inventory purchases, to maintain inventory availability and meet expected demand, and higher inventory cost.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March 31, 2022, inventory turnover was 1.8 times, or 205 days, as compared to 2.6 times, or 143 days, for the three months ended March 31, 2021. The decrease in inventory turnover was attributable to higher inventory levels and higher inventory costs in the current period.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intends to refinance the ABL Agreement on or before its maturity on March 2, 2023. At March 31, 2022 there were no outstanding borrowings under the ABL Agreement. The Company believes that availability under the revolving credit facility under its ABL Agreement, including anticipated refinancing on it prior to its maturity,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or available on terms favorable to the Company.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 Some of the Company’s customers may be adversely and materially affected by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December 31, 2021,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Standby letters of credit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w:t>
            </w: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146,341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187" w:lineRule="exact"/>
        <w:rPr>
          <w:sz w:val="20"/>
          <w:szCs w:val="20"/>
          <w:color w:val="auto"/>
        </w:rPr>
      </w:pPr>
    </w:p>
    <w:p>
      <w:pPr>
        <w:ind w:right="46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3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7,200</w:t>
            </w:r>
          </w:p>
        </w:tc>
      </w:tr>
      <w:tr>
        <w:trPr>
          <w:trHeight w:val="243"/>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4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5,771</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244,927</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241,873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estimated Excess Cash Flow principal payment recorded at March 31, 2022 represents the Company’s estimate for the 2023 Excess Cash Flow payment. The 2022 Excess Cash Flow payment, paid on March 30, 2022, totaled $6.2 million. The Excess Cash Flow payment differs from the estimated amount at December 31, 2021 of $7.2 million as certain lenders opted to not require payment per the terms of the Debt Agreements.</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(or Euro Interbank Offered Rate "EURIBOR" for borrowings denominated in Euro; or Sterling Overnight Index Average “SONIA” for borrowings denominated in Pounds Sterling) plus a margin of 1.25% to 1.75%. The respective margins are based upon the Company’s total leverage ratio, as defined in and computed pursuant to the ABL Agreement. There were no outstanding borrowings under the ABL Agreement at March 31, 2022. In addition, the Company pays a commitment fee of 0.375% on the unused portion of the ABL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 plus a margin of 3.5%. The interest rate on outstanding borrowings under the Term Loan at March 31, 2022 was 4.5%.</w:t>
      </w:r>
    </w:p>
    <w:p>
      <w:pPr>
        <w:spacing w:after="0" w:line="1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March 31, 2022.</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EBITDA (including pro forma adjustments), for the last twelve months ended March 31, 2022 was $95.1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three months ended March 31, 2022 were $0.4 million.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income (loss), as reported, to adjusted EBITDA, for each of the last four quarters and the 12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Twelve Months</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Ended March 31,</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18,114</w:t>
            </w:r>
          </w:p>
        </w:tc>
        <w:tc>
          <w:tcPr>
            <w:tcW w:w="0" w:type="dxa"/>
            <w:vAlign w:val="bottom"/>
          </w:tcPr>
          <w:p>
            <w:pPr>
              <w:spacing w:after="0"/>
              <w:rPr>
                <w:sz w:val="1"/>
                <w:szCs w:val="1"/>
                <w:color w:val="auto"/>
              </w:rPr>
            </w:pPr>
          </w:p>
        </w:tc>
      </w:tr>
      <w:tr>
        <w:trPr>
          <w:trHeight w:val="213"/>
        </w:trPr>
        <w:tc>
          <w:tcPr>
            <w:tcW w:w="4240" w:type="dxa"/>
            <w:vAlign w:val="bottom"/>
          </w:tcPr>
          <w:p>
            <w:pPr>
              <w:ind w:left="360"/>
              <w:spacing w:after="0"/>
              <w:rPr>
                <w:sz w:val="20"/>
                <w:szCs w:val="20"/>
                <w:color w:val="auto"/>
              </w:rPr>
            </w:pPr>
            <w:r>
              <w:rPr>
                <w:rFonts w:ascii="Arial" w:cs="Arial" w:eastAsia="Arial" w:hAnsi="Arial"/>
                <w:sz w:val="16"/>
                <w:szCs w:val="16"/>
                <w:color w:val="auto"/>
              </w:rPr>
              <w:t>Undistributed equity (earnings),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0" w:type="dxa"/>
            <w:vAlign w:val="bottom"/>
          </w:tcPr>
          <w:p>
            <w:pPr>
              <w:spacing w:after="0"/>
              <w:rPr>
                <w:sz w:val="1"/>
                <w:szCs w:val="1"/>
                <w:color w:val="auto"/>
              </w:rPr>
            </w:pPr>
          </w:p>
        </w:tc>
      </w:tr>
      <w:tr>
        <w:trPr>
          <w:trHeight w:val="213"/>
        </w:trPr>
        <w:tc>
          <w:tcPr>
            <w:tcW w:w="424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15,277</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 to market (gain) on interest rate derivatives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213"/>
        </w:trPr>
        <w:tc>
          <w:tcPr>
            <w:tcW w:w="42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21,461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 impairments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13"/>
        </w:trPr>
        <w:tc>
          <w:tcPr>
            <w:tcW w:w="4240" w:type="dxa"/>
            <w:vAlign w:val="bottom"/>
          </w:tcPr>
          <w:p>
            <w:pPr>
              <w:ind w:left="360"/>
              <w:spacing w:after="0"/>
              <w:rPr>
                <w:sz w:val="20"/>
                <w:szCs w:val="20"/>
                <w:color w:val="auto"/>
              </w:rPr>
            </w:pPr>
            <w:r>
              <w:rPr>
                <w:rFonts w:ascii="Arial" w:cs="Arial" w:eastAsia="Arial" w:hAnsi="Arial"/>
                <w:sz w:val="16"/>
                <w:szCs w:val="16"/>
                <w:color w:val="auto"/>
              </w:rPr>
              <w:t>Stock compensation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4,947</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related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line="216" w:lineRule="exact"/>
              <w:rPr>
                <w:sz w:val="20"/>
                <w:szCs w:val="20"/>
                <w:color w:val="auto"/>
              </w:rPr>
            </w:pPr>
            <w:r>
              <w:rPr>
                <w:rFonts w:ascii="Arial" w:cs="Arial" w:eastAsia="Arial" w:hAnsi="Arial"/>
                <w:sz w:val="16"/>
                <w:szCs w:val="16"/>
                <w:color w:val="auto"/>
              </w:rPr>
              <w:t>Warehouse relocation and redesign expenses</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S'well integration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3"/>
        </w:trPr>
        <w:tc>
          <w:tcPr>
            <w:tcW w:w="4240" w:type="dxa"/>
            <w:vAlign w:val="bottom"/>
          </w:tcPr>
          <w:p>
            <w:pPr>
              <w:ind w:left="360"/>
              <w:spacing w:after="0"/>
              <w:rPr>
                <w:sz w:val="20"/>
                <w:szCs w:val="20"/>
                <w:color w:val="auto"/>
              </w:rPr>
            </w:pPr>
            <w:r>
              <w:rPr>
                <w:rFonts w:ascii="Arial" w:cs="Arial" w:eastAsia="Arial" w:hAnsi="Arial"/>
                <w:sz w:val="16"/>
                <w:szCs w:val="16"/>
                <w:color w:val="auto"/>
              </w:rPr>
              <w:t>Wallace facility remedial design expense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91,112</w:t>
            </w:r>
          </w:p>
        </w:tc>
        <w:tc>
          <w:tcPr>
            <w:tcW w:w="0" w:type="dxa"/>
            <w:vAlign w:val="bottom"/>
          </w:tcPr>
          <w:p>
            <w:pPr>
              <w:spacing w:after="0"/>
              <w:rPr>
                <w:sz w:val="1"/>
                <w:szCs w:val="1"/>
                <w:color w:val="auto"/>
              </w:rPr>
            </w:pPr>
          </w:p>
        </w:tc>
      </w:tr>
      <w:tr>
        <w:trPr>
          <w:trHeight w:val="146"/>
        </w:trPr>
        <w:tc>
          <w:tcPr>
            <w:tcW w:w="4240" w:type="dxa"/>
            <w:vAlign w:val="bottom"/>
          </w:tcPr>
          <w:p>
            <w:pPr>
              <w:ind w:left="500"/>
              <w:spacing w:after="0" w:line="146" w:lineRule="exact"/>
              <w:rPr>
                <w:sz w:val="20"/>
                <w:szCs w:val="20"/>
                <w:color w:val="auto"/>
              </w:rPr>
            </w:pPr>
            <w:r>
              <w:rPr>
                <w:rFonts w:ascii="Arial" w:cs="Arial" w:eastAsia="Arial" w:hAnsi="Arial"/>
                <w:sz w:val="16"/>
                <w:szCs w:val="16"/>
                <w:color w:val="auto"/>
              </w:rPr>
              <w:t>Pro forma historical S'well and projected synergies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12"/>
        </w:trPr>
        <w:tc>
          <w:tcPr>
            <w:tcW w:w="4240" w:type="dxa"/>
            <w:vAlign w:val="bottom"/>
            <w:tcBorders>
              <w:bottom w:val="single" w:sz="8" w:color="CCEEFF"/>
            </w:tcBorders>
          </w:tcPr>
          <w:p>
            <w:pPr>
              <w:ind w:left="140"/>
              <w:spacing w:after="0" w:line="213" w:lineRule="exact"/>
              <w:rPr>
                <w:sz w:val="20"/>
                <w:szCs w:val="20"/>
                <w:color w:val="auto"/>
              </w:rPr>
            </w:pPr>
            <w:r>
              <w:rPr>
                <w:rFonts w:ascii="Arial" w:cs="Arial" w:eastAsia="Arial" w:hAnsi="Arial"/>
                <w:sz w:val="16"/>
                <w:szCs w:val="16"/>
                <w:color w:val="auto"/>
              </w:rPr>
              <w:t>adjustment</w:t>
            </w:r>
            <w:r>
              <w:rPr>
                <w:rFonts w:ascii="Arial" w:cs="Arial" w:eastAsia="Arial" w:hAnsi="Arial"/>
                <w:sz w:val="21"/>
                <w:szCs w:val="21"/>
                <w:color w:val="auto"/>
                <w:vertAlign w:val="superscript"/>
              </w:rPr>
              <w:t>(3)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Pro forma Adjusted EBITDA</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95,112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8"/>
        <w:spacing w:after="0" w:line="271" w:lineRule="auto"/>
        <w:tabs>
          <w:tab w:leader="none" w:pos="163" w:val="left"/>
        </w:tabs>
        <w:numPr>
          <w:ilvl w:val="0"/>
          <w:numId w:val="13"/>
        </w:numPr>
        <w:rPr>
          <w:rFonts w:ascii="Arial" w:cs="Arial" w:eastAsia="Arial" w:hAnsi="Arial"/>
          <w:sz w:val="19"/>
          <w:szCs w:val="19"/>
          <w:color w:val="auto"/>
          <w:vertAlign w:val="superscript"/>
        </w:rPr>
      </w:pPr>
      <w:r>
        <w:rPr>
          <w:rFonts w:ascii="Arial" w:cs="Arial" w:eastAsia="Arial" w:hAnsi="Arial"/>
          <w:sz w:val="16"/>
          <w:szCs w:val="16"/>
          <w:color w:val="auto"/>
        </w:rPr>
        <w:t>For the twelve months ended March 31, 2022, the warehouse relocation and redesign expenses included $0.5 million of expenses related to the International segment and $0.4 million of expenses related to the U.S. segment. For the three months ended March 31, 2022, warehouse relocation and redesign expenses included $0.4 million of expenses related to the International segment and $0.1 million of expenses related to the U.S. segment.</w:t>
      </w:r>
    </w:p>
    <w:p>
      <w:pPr>
        <w:jc w:val="both"/>
        <w:ind w:right="300" w:firstLine="8"/>
        <w:spacing w:after="0" w:line="281" w:lineRule="auto"/>
        <w:tabs>
          <w:tab w:leader="none" w:pos="165"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Adjusted EBITDA is a non-GAAP financial measure that is defined in the Company’s debt agreements. Adjusted EBITDA is defined as net income (loss), adjusted to exclude undistributed equity in (earnings), income tax provision, interest expense, mark to market (gain) on interest rate derivatives, depreciation and amortization, intangible asset impairments, stock compensation expense, and other items detailed in the table above that are consistent with exclusions permitted by our debt agreements.</w:t>
      </w:r>
    </w:p>
    <w:p>
      <w:pPr>
        <w:spacing w:after="0" w:line="2" w:lineRule="exact"/>
        <w:rPr>
          <w:rFonts w:ascii="Arial" w:cs="Arial" w:eastAsia="Arial" w:hAnsi="Arial"/>
          <w:sz w:val="19"/>
          <w:szCs w:val="19"/>
          <w:color w:val="auto"/>
          <w:vertAlign w:val="superscript"/>
        </w:rPr>
      </w:pPr>
    </w:p>
    <w:p>
      <w:pPr>
        <w:ind w:right="60" w:firstLine="8"/>
        <w:spacing w:after="0" w:line="294" w:lineRule="auto"/>
        <w:tabs>
          <w:tab w:leader="none" w:pos="165"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Pro forma historical S'well and projected synergies adjustment represents a permitted adjustment to the Company’s adjusted EBITDA for the acquisition of S'well on March 2, 2022 pursuant to the Company’s Debt Agreements. Pro forma projected synergies represents the amount of projected cost savings, operating expense reductions and cost saving synergies projected by the Company as a result of actions taken through March 31, 2022 or expected to be taken as of March 31, 2022, net of the benefits realized during the twelve months ended March 31, 2022.</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398" w:lineRule="exact"/>
        <w:rPr>
          <w:rFonts w:ascii="Arial" w:cs="Arial" w:eastAsia="Arial" w:hAnsi="Arial"/>
          <w:sz w:val="19"/>
          <w:szCs w:val="19"/>
          <w:color w:val="auto"/>
          <w:vertAlign w:val="superscript"/>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Pursuant to the Receivable Purchase Agreement, the Company sold to HSBC $46.3 million and $40.6 million of receivables during the three months ended March 31, 2022 and 2021, respectively. Charges of $0.1 million related to the sale of the receivables are included in selling, general and administrative expenses in the unaudited condensed consolidated statements of operations for both the three months ended March 31, 2022 and 2021. At March 31, 2022 and 2021, $28.1 million and $25.6 million, respectively, of receivables sold were outstanding and due to HSBC from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$69.0 million at March 31, 2022.</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$44.0 million at March 31, 2022.</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March 31, 2022.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aggregate gross notional values of foreign exchange contracts at March 31, 2022 was $18.0 million. These foreign exchange contracts have been designated as hedges in order to apply hedge accounting.</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March 31, 2022, the Company did not have any foreign currency forward contract derivatives that are not designated as hedges. These foreign exchange contracts have been designated as hedges in to order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provided by operating activities was $13.4 million for the three months ended March 31, 2022, as compared to net cash provided by operating activities of $36.3 million for the three months ended March 31, 2021. The decrease from 2022 compared to 2021 was attributable to timing of payment for accounts payable and accrued expenses, partially offset by timing of collections related to the Company's accounts receivables.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cash used in investing activities was $18.4 million and $0.9 million for the three months ended March 31, 2022 and 2021, respectively. The increase from 2022 compared to 2021 was attributable to the cash consideration of $18.0 million paid for the acquisition of S'well.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financing activities was $8.2 million and for the three months ended March 31, 2022, as compared to net cash used in financing activities of $40.8 million for the three months ended March 31, 2021. The change was mainly attributable to repayments on the Company's revolving credit facility under its ABL Agreement in the 2021 period and the lower Excess Cash Flow principal payment on the term loan for the 2022 period compared to the 2021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three months ended March 31, 2022, the Company repurchased 51,145 shares for a total cost of $0.7 million and thereafter retired the shares. Please see Part II, Item 2— Unregistered Sales of Equity Securities and Use of Proceeds included in this Quarterly Report on Form 10-Q.</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2021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March 31, 2022,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 description of the Company’s legal proceedings, please see NOTE 13 — CONTINGENCIES, to the Company's condensed consolidated financial statements included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readers should carefully consider the factors discussed in Part I, Item 1A—Risk Factors in the 2021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2021 Annual Report on Form 10-K</w:t>
      </w:r>
      <w:r>
        <w:rPr>
          <w:rFonts w:ascii="Arial" w:cs="Arial" w:eastAsia="Arial" w:hAnsi="Arial"/>
          <w:sz w:val="18"/>
          <w:szCs w:val="18"/>
          <w:b w:val="1"/>
          <w:bCs w:val="1"/>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Total number of</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that may</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500" w:type="dxa"/>
            <w:vAlign w:val="bottom"/>
            <w:gridSpan w:val="2"/>
            <w:vMerge w:val="restart"/>
          </w:tcPr>
          <w:p>
            <w:pPr>
              <w:jc w:val="center"/>
              <w:ind w:left="25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6"/>
              </w:rPr>
              <w:t>shares purchased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Average price</w:t>
            </w:r>
          </w:p>
        </w:tc>
        <w:tc>
          <w:tcPr>
            <w:tcW w:w="2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or programs</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500" w:type="dxa"/>
            <w:vAlign w:val="bottom"/>
            <w:gridSpan w:val="2"/>
          </w:tcPr>
          <w:p>
            <w:pPr>
              <w:jc w:val="center"/>
              <w:ind w:left="259"/>
              <w:spacing w:after="0" w:line="162" w:lineRule="exact"/>
              <w:rPr>
                <w:sz w:val="20"/>
                <w:szCs w:val="20"/>
                <w:color w:val="auto"/>
              </w:rPr>
            </w:pPr>
            <w:r>
              <w:rPr>
                <w:rFonts w:ascii="Arial" w:cs="Arial" w:eastAsia="Arial" w:hAnsi="Arial"/>
                <w:sz w:val="16"/>
                <w:szCs w:val="16"/>
                <w:b w:val="1"/>
                <w:bCs w:val="1"/>
                <w:color w:val="auto"/>
                <w:w w:val="85"/>
              </w:rPr>
              <w:t>shares</w:t>
            </w:r>
          </w:p>
        </w:tc>
        <w:tc>
          <w:tcPr>
            <w:tcW w:w="3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announced plans</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subsequent to</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500" w:type="dxa"/>
            <w:vAlign w:val="bottom"/>
            <w:gridSpan w:val="2"/>
          </w:tcPr>
          <w:p>
            <w:pPr>
              <w:jc w:val="center"/>
              <w:ind w:left="259"/>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30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paid per share</w:t>
            </w:r>
          </w:p>
        </w:tc>
        <w:tc>
          <w:tcPr>
            <w:tcW w:w="20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19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06"/>
        </w:trPr>
        <w:tc>
          <w:tcPr>
            <w:tcW w:w="2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March 1 - March 31, 2022</w:t>
            </w: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104,255</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Borders>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51,145</w:t>
            </w:r>
          </w:p>
        </w:tc>
        <w:tc>
          <w:tcPr>
            <w:tcW w:w="120" w:type="dxa"/>
            <w:vAlign w:val="bottom"/>
            <w:tcBorders>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19,330,714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80" w:hanging="332"/>
        <w:spacing w:after="0" w:line="265"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repurchased shares include 53,110 shares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spacing w:after="0" w:line="2" w:lineRule="exact"/>
        <w:rPr>
          <w:rFonts w:ascii="Arial" w:cs="Arial" w:eastAsia="Arial" w:hAnsi="Arial"/>
          <w:sz w:val="21"/>
          <w:szCs w:val="21"/>
          <w:color w:val="auto"/>
          <w:vertAlign w:val="superscript"/>
        </w:rPr>
      </w:pPr>
    </w:p>
    <w:p>
      <w:pPr>
        <w:jc w:val="both"/>
        <w:ind w:left="340" w:right="480" w:hanging="332"/>
        <w:spacing w:after="0" w:line="22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through open market purchases and privately negotiated transactions. During the three months ended March 31, 2022, the Company repurchased 51,145 shares for a total cost of $0.7 million and thereafter retired the shares.</w:t>
      </w:r>
    </w:p>
    <w:p>
      <w:pPr>
        <w:spacing w:after="0" w:line="200" w:lineRule="exact"/>
        <w:rPr>
          <w:sz w:val="20"/>
          <w:szCs w:val="20"/>
          <w:color w:val="auto"/>
        </w:rPr>
      </w:pPr>
    </w:p>
    <w:p>
      <w:pPr>
        <w:spacing w:after="0" w:line="30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20" w:type="dxa"/>
            <w:vAlign w:val="bottom"/>
            <w:gridSpan w:val="7"/>
          </w:tcPr>
          <w:p>
            <w:pPr>
              <w:ind w:left="2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gridSpan w:val="9"/>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by Robert B. Kay, Chief Executive Officer and Director, pursuant to Rule 13a-14(a) or Rule 15d-14(a) of the Securities</w:t>
              </w:r>
            </w:hyperlink>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and Exchange Act of 1934, as adopted pursuant to Section 302 of the Sarbanes-Oxley Act of 2002</w:t>
              </w:r>
            </w:hyperlink>
          </w:p>
        </w:tc>
        <w:tc>
          <w:tcPr>
            <w:tcW w:w="24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60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gridSpan w:val="9"/>
          </w:tcPr>
          <w:p>
            <w:pPr>
              <w:spacing w:after="0"/>
              <w:rPr>
                <w:rFonts w:ascii="Arial" w:cs="Arial" w:eastAsia="Arial" w:hAnsi="Arial"/>
                <w:sz w:val="18"/>
                <w:szCs w:val="18"/>
                <w:color w:val="0000FF"/>
                <w:w w:val="93"/>
              </w:rPr>
            </w:pPr>
            <w:hyperlink w:anchor="page47">
              <w:r>
                <w:rPr>
                  <w:rFonts w:ascii="Arial" w:cs="Arial" w:eastAsia="Arial" w:hAnsi="Arial"/>
                  <w:sz w:val="18"/>
                  <w:szCs w:val="18"/>
                  <w:color w:val="0000FF"/>
                  <w:w w:val="93"/>
                </w:rPr>
                <w:t>Certification by Laurence Winoker, Senior Vice President – Finance, Treasurer and Chief Financial Officer, pursuant to Rule 13a-</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9560" w:type="dxa"/>
            <w:vAlign w:val="bottom"/>
            <w:gridSpan w:val="9"/>
          </w:tcPr>
          <w:p>
            <w:pPr>
              <w:spacing w:after="0" w:line="156"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14(a) or Rule 15d-14(a) of the Securities and Exchange Act of 1934, as adopted pursuant to Section 302 of the Sarbanes-Oxley Act</w:t>
              </w:r>
            </w:hyperlink>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of 2002</w:t>
              </w:r>
            </w:hyperlink>
          </w:p>
        </w:tc>
        <w:tc>
          <w:tcPr>
            <w:tcW w:w="8900" w:type="dxa"/>
            <w:vAlign w:val="bottom"/>
            <w:tcBorders>
              <w:top w:val="single" w:sz="8" w:color="0000FF"/>
            </w:tcBorders>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8"/>
                <w:szCs w:val="18"/>
                <w:color w:val="auto"/>
              </w:rPr>
              <w:t>32.1</w:t>
            </w:r>
          </w:p>
        </w:tc>
        <w:tc>
          <w:tcPr>
            <w:tcW w:w="91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by Robert B. Kay, Chief Executive Officer and Director, and Laurence Winoker, Senior Vice President – Finance,</w:t>
              </w:r>
            </w:hyperlink>
          </w:p>
        </w:tc>
        <w:tc>
          <w:tcPr>
            <w:tcW w:w="4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9560" w:type="dxa"/>
            <w:vAlign w:val="bottom"/>
            <w:gridSpan w:val="9"/>
          </w:tcPr>
          <w:p>
            <w:pPr>
              <w:spacing w:after="0" w:line="156"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Treasurer and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91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Oxley Act of 2002</w:t>
              </w:r>
            </w:hyperlink>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340" w:type="dxa"/>
            <w:vAlign w:val="bottom"/>
            <w:gridSpan w:val="2"/>
            <w:shd w:val="clear" w:color="auto" w:fill="0000FF"/>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600" w:type="dxa"/>
            <w:vAlign w:val="bottom"/>
            <w:vMerge w:val="continue"/>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9"/>
          </w:tcPr>
          <w:p>
            <w:pPr>
              <w:spacing w:after="0"/>
              <w:rPr>
                <w:sz w:val="20"/>
                <w:szCs w:val="20"/>
                <w:color w:val="auto"/>
              </w:rPr>
            </w:pPr>
            <w:r>
              <w:rPr>
                <w:rFonts w:ascii="Arial" w:cs="Arial" w:eastAsia="Arial" w:hAnsi="Arial"/>
                <w:sz w:val="18"/>
                <w:szCs w:val="18"/>
                <w:color w:val="auto"/>
              </w:rPr>
              <w:t>The cover page from this Quarterly Report on Form 10-Q, formatted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Lifetime Brands, Inc.</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920" w:type="dxa"/>
            <w:vAlign w:val="bottom"/>
          </w:tcPr>
          <w:p>
            <w:pPr>
              <w:ind w:left="1000"/>
              <w:spacing w:after="0"/>
              <w:rPr>
                <w:sz w:val="20"/>
                <w:szCs w:val="20"/>
                <w:color w:val="auto"/>
              </w:rPr>
            </w:pPr>
            <w:r>
              <w:rPr>
                <w:rFonts w:ascii="Arial" w:cs="Arial" w:eastAsia="Arial" w:hAnsi="Arial"/>
                <w:sz w:val="18"/>
                <w:szCs w:val="18"/>
                <w:color w:val="auto"/>
                <w:w w:val="90"/>
              </w:rPr>
              <w:t>May 5, 2022</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920" w:type="dxa"/>
            <w:vAlign w:val="bottom"/>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50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1920" w:type="dxa"/>
            <w:vAlign w:val="bottom"/>
          </w:tcPr>
          <w:p>
            <w:pPr>
              <w:ind w:left="1000"/>
              <w:spacing w:after="0"/>
              <w:rPr>
                <w:sz w:val="20"/>
                <w:szCs w:val="20"/>
                <w:color w:val="auto"/>
              </w:rPr>
            </w:pPr>
            <w:r>
              <w:rPr>
                <w:rFonts w:ascii="Arial" w:cs="Arial" w:eastAsia="Arial" w:hAnsi="Arial"/>
                <w:sz w:val="18"/>
                <w:szCs w:val="18"/>
                <w:color w:val="auto"/>
                <w:w w:val="90"/>
              </w:rPr>
              <w:t>May 5, 2022</w:t>
            </w: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920" w:type="dxa"/>
            <w:vAlign w:val="bottom"/>
          </w:tcPr>
          <w:p>
            <w:pPr>
              <w:spacing w:after="0"/>
              <w:rPr>
                <w:sz w:val="19"/>
                <w:szCs w:val="19"/>
                <w:color w:val="auto"/>
              </w:rPr>
            </w:pPr>
          </w:p>
        </w:tc>
      </w:tr>
    </w:tbl>
    <w:p>
      <w:pPr>
        <w:ind w:left="5840"/>
        <w:spacing w:after="0" w:line="220" w:lineRule="auto"/>
        <w:rPr>
          <w:sz w:val="20"/>
          <w:szCs w:val="20"/>
          <w:color w:val="auto"/>
        </w:rPr>
      </w:pPr>
      <w:r>
        <w:rPr>
          <w:rFonts w:ascii="Arial" w:cs="Arial" w:eastAsia="Arial" w:hAnsi="Arial"/>
          <w:sz w:val="18"/>
          <w:szCs w:val="18"/>
          <w:color w:val="auto"/>
        </w:rPr>
        <w:t>Senior Vice President – Finance, Treasurer and</w:t>
      </w:r>
    </w:p>
    <w:p>
      <w:pPr>
        <w:ind w:left="584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220"/>
          </w:cols>
          <w:pgMar w:left="320" w:top="121"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6231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B. Kay</w:t>
      </w:r>
    </w:p>
    <w:p>
      <w:pPr>
        <w:ind w:left="680"/>
        <w:spacing w:after="0"/>
        <w:rPr>
          <w:sz w:val="20"/>
          <w:szCs w:val="20"/>
          <w:color w:val="auto"/>
        </w:rPr>
      </w:pPr>
      <w:r>
        <w:rPr>
          <w:rFonts w:ascii="Arial" w:cs="Arial" w:eastAsia="Arial" w:hAnsi="Arial"/>
          <w:sz w:val="18"/>
          <w:szCs w:val="18"/>
          <w:color w:val="auto"/>
        </w:rPr>
        <w:t>Chief Executive Officer and Director</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May 5, 2022</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1954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Laurence Winoker</w:t>
      </w:r>
    </w:p>
    <w:p>
      <w:pPr>
        <w:ind w:left="1000"/>
        <w:spacing w:after="0" w:line="203" w:lineRule="auto"/>
        <w:rPr>
          <w:sz w:val="20"/>
          <w:szCs w:val="20"/>
          <w:color w:val="auto"/>
        </w:rPr>
      </w:pPr>
      <w:r>
        <w:rPr>
          <w:rFonts w:ascii="Arial" w:cs="Arial" w:eastAsia="Arial" w:hAnsi="Arial"/>
          <w:sz w:val="18"/>
          <w:szCs w:val="18"/>
          <w:color w:val="auto"/>
        </w:rPr>
        <w:t>Senior Vice President – Finance,</w:t>
      </w:r>
    </w:p>
    <w:p>
      <w:pPr>
        <w:ind w:left="1000"/>
        <w:spacing w:after="0"/>
        <w:rPr>
          <w:sz w:val="20"/>
          <w:szCs w:val="20"/>
          <w:color w:val="auto"/>
        </w:rPr>
      </w:pPr>
      <w:r>
        <w:rPr>
          <w:rFonts w:ascii="Arial" w:cs="Arial" w:eastAsia="Arial" w:hAnsi="Arial"/>
          <w:sz w:val="18"/>
          <w:szCs w:val="18"/>
          <w:color w:val="auto"/>
        </w:rPr>
        <w:t>Treasurer and Chief Financial Officer</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May 5, 2022</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70" w:lineRule="exact"/>
        <w:rPr>
          <w:sz w:val="20"/>
          <w:szCs w:val="20"/>
          <w:color w:val="auto"/>
        </w:rPr>
      </w:pPr>
    </w:p>
    <w:p>
      <w:pPr>
        <w:ind w:left="660" w:right="300" w:hanging="328"/>
        <w:spacing w:after="0" w:line="277"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March 31, 2022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20" w:type="dxa"/>
            <w:vAlign w:val="bottom"/>
          </w:tcPr>
          <w:p>
            <w:pPr>
              <w:spacing w:after="0"/>
              <w:rPr>
                <w:sz w:val="20"/>
                <w:szCs w:val="20"/>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r>
      <w:tr>
        <w:trPr>
          <w:trHeight w:val="159"/>
        </w:trPr>
        <w:tc>
          <w:tcPr>
            <w:tcW w:w="48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line="159" w:lineRule="exact"/>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Finance, Treasurer and Chief Financial Officer</w:t>
            </w:r>
          </w:p>
        </w:tc>
      </w:tr>
      <w:tr>
        <w:trPr>
          <w:trHeight w:val="505"/>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May 5, 2022</w:t>
            </w:r>
          </w:p>
        </w:tc>
        <w:tc>
          <w:tcPr>
            <w:tcW w:w="5800" w:type="dxa"/>
            <w:vAlign w:val="bottom"/>
          </w:tcPr>
          <w:p>
            <w:pPr>
              <w:ind w:left="20"/>
              <w:spacing w:after="0"/>
              <w:rPr>
                <w:sz w:val="20"/>
                <w:szCs w:val="20"/>
                <w:color w:val="auto"/>
              </w:rPr>
            </w:pPr>
            <w:r>
              <w:rPr>
                <w:rFonts w:ascii="Arial" w:cs="Arial" w:eastAsia="Arial" w:hAnsi="Arial"/>
                <w:sz w:val="18"/>
                <w:szCs w:val="18"/>
                <w:color w:val="auto"/>
              </w:rPr>
              <w:t>Date: May 5, 2022</w:t>
            </w:r>
          </w:p>
        </w:tc>
      </w:tr>
    </w:tbl>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lvl w:ilvl="1">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Roman"/>
      <w:start w:val="10"/>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Roman"/>
      <w:start w:val="10"/>
    </w:lvl>
  </w:abstractNum>
  <w:abstractNum w:abstractNumId="12">
    <w:nsid w:val="6B68079A"/>
    <w:multiLevelType w:val="hybridMultilevel"/>
    <w:lvl w:ilvl="0">
      <w:lvlJc w:val="left"/>
      <w:lvlText w:val="(%1)"/>
      <w:numFmt w:val="decimal"/>
      <w:start w:val="1"/>
    </w:lvl>
    <w:lvl w:ilvl="1">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6">
    <w:nsid w:val="431BD7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2022-05-06T11:57:20Z</dcterms:created>
  <dcterms:modified xsi:type="dcterms:W3CDTF">2022-05-06T11:57:20Z</dcterms:modified>
</cp:coreProperties>
</file>