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0-19254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(516) 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July 31, 2025 was 22,657,435.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6"/>
        <w:gridCol w:w="252"/>
        <w:gridCol w:w="255"/>
        <w:gridCol w:w="2898"/>
        <w:gridCol w:w="2846"/>
        <w:gridCol w:w="2855"/>
        <w:gridCol w:w="237"/>
        <w:gridCol w:w="237"/>
        <w:gridCol w:w="339"/>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0">
              <w:r>
                <w:rPr>
                  <w:rStyle w:val="InternetLink"/>
                  <w:rFonts w:ascii="Times New Roman;serif" w:hAnsi="Times New Roman;serif"/>
                  <w:b/>
                  <w:color w:val="0000FF"/>
                  <w:sz w:val="20"/>
                  <w:u w:val="single"/>
                </w:rPr>
                <w:t>Financial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3">
              <w:r>
                <w:rPr>
                  <w:rStyle w:val="InternetLink"/>
                  <w:rFonts w:ascii="Times New Roman;serif" w:hAnsi="Times New Roman;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6">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000FF"/>
                <w:sz w:val="20"/>
                <w:u w:val="single"/>
              </w:rPr>
              <w:t>June 30, 2025</w:t>
            </w:r>
            <w:hyperlink w:anchor="i06c716dbe6334425a52e464a6dc326d0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FF"/>
                <w:sz w:val="20"/>
                <w:u w:val="single"/>
              </w:rPr>
              <w:t>December 31, 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6">
              <w:r>
                <w:rPr>
                  <w:rStyle w:val="InternetLink"/>
                  <w:rFonts w:ascii="Times New Roman;serif" w:hAnsi="Times New Roman;serif"/>
                  <w:b w:val="false"/>
                  <w:color w:val="0000FF"/>
                  <w:sz w:val="20"/>
                  <w:u w:val="single"/>
                </w:rPr>
                <w:t>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9">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000FF"/>
                <w:sz w:val="20"/>
                <w:u w:val="single"/>
              </w:rPr>
              <w:t>Three and Six Months Ended</w:t>
            </w:r>
            <w:hyperlink w:anchor="i06c716dbe6334425a52e464a6dc326d0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June 30, 2025</w:t>
            </w:r>
            <w:hyperlink w:anchor="i06c716dbe6334425a52e464a6dc326d0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9">
              <w:r>
                <w:rPr>
                  <w:rStyle w:val="InternetLink"/>
                  <w:rFonts w:ascii="Times New Roman;serif" w:hAnsi="Times New Roman;serif"/>
                  <w:b w:val="false"/>
                  <w:color w:val="0000FF"/>
                  <w:sz w:val="20"/>
                  <w:u w:val="single"/>
                </w:rPr>
                <w:t>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22">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000FF"/>
                <w:sz w:val="20"/>
                <w:u w:val="single"/>
              </w:rPr>
              <w:t>Loss</w:t>
            </w:r>
            <w:hyperlink w:anchor="i06c716dbe6334425a52e464a6dc326d0_22">
              <w:r>
                <w:rPr>
                  <w:rStyle w:val="InternetLink"/>
                  <w:rFonts w:ascii="Times New Roman;serif" w:hAnsi="Times New Roman;serif"/>
                  <w:b w:val="false"/>
                  <w:color w:val="000080"/>
                  <w:sz w:val="20"/>
                  <w:u w:val="single"/>
                </w:rPr>
                <w:t xml:space="preserve"> (unaudited) –</w:t>
              </w:r>
            </w:hyperlink>
            <w:r>
              <w:rPr>
                <w:rFonts w:ascii="Times New Roman;serif" w:hAnsi="Times New Roman;serif"/>
                <w:b w:val="false"/>
                <w:color w:val="0000FF"/>
                <w:sz w:val="20"/>
                <w:u w:val="single"/>
              </w:rPr>
              <w:t xml:space="preserve"> Three and Six Months Ended June 30, 2025 and 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22">
              <w:r>
                <w:rPr>
                  <w:rStyle w:val="InternetLink"/>
                  <w:rFonts w:ascii="Times New Roman;serif" w:hAnsi="Times New Roman;serif"/>
                  <w:b w:val="false"/>
                  <w:color w:val="0000FF"/>
                  <w:sz w:val="20"/>
                  <w:u w:val="single"/>
                </w:rPr>
                <w:t>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25">
              <w:r>
                <w:rPr>
                  <w:rStyle w:val="InternetLink"/>
                  <w:rFonts w:ascii="Times New Roman;serif" w:hAnsi="Times New Roman;serif"/>
                  <w:b w:val="false"/>
                  <w:color w:val="000080"/>
                  <w:sz w:val="20"/>
                  <w:u w:val="single"/>
                </w:rPr>
                <w:t>Condensed Consolidated Statements of Stockholders’ Equity (unaudited) –</w:t>
              </w:r>
            </w:hyperlink>
            <w:r>
              <w:rPr>
                <w:rFonts w:ascii="Times New Roman;serif" w:hAnsi="Times New Roman;serif"/>
                <w:b w:val="false"/>
                <w:color w:val="0000FF"/>
                <w:sz w:val="20"/>
                <w:u w:val="single"/>
              </w:rPr>
              <w:t>Three and Six Months Ended June 30, 2025 and 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25">
              <w:r>
                <w:rPr>
                  <w:rStyle w:val="InternetLink"/>
                  <w:rFonts w:ascii="Times New Roman;serif" w:hAnsi="Times New Roman;serif"/>
                  <w:b w:val="false"/>
                  <w:color w:val="0000FF"/>
                  <w:sz w:val="20"/>
                  <w:u w:val="single"/>
                </w:rPr>
                <w:t>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28">
              <w:r>
                <w:rPr>
                  <w:rStyle w:val="InternetLink"/>
                  <w:rFonts w:ascii="Times New Roman;serif" w:hAnsi="Times New Roman;serif"/>
                  <w:b w:val="false"/>
                  <w:color w:val="000080"/>
                  <w:sz w:val="20"/>
                  <w:u w:val="single"/>
                </w:rPr>
                <w:t>Condensed Consolidated Statements of Cash Flows (unaudited) –</w:t>
              </w:r>
            </w:hyperlink>
            <w:r>
              <w:rPr>
                <w:rFonts w:ascii="Times New Roman;serif" w:hAnsi="Times New Roman;serif"/>
                <w:b w:val="false"/>
                <w:color w:val="0000FF"/>
                <w:sz w:val="20"/>
                <w:u w:val="single"/>
              </w:rPr>
              <w:t xml:space="preserve"> Six Months Ended June 30, 2025 and 2024</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28">
              <w:r>
                <w:rPr>
                  <w:rStyle w:val="InternetLink"/>
                  <w:rFonts w:ascii="Times New Roman;serif" w:hAnsi="Times New Roman;serif"/>
                  <w:b w:val="false"/>
                  <w:color w:val="0000FF"/>
                  <w:sz w:val="20"/>
                  <w:u w:val="single"/>
                </w:rPr>
                <w:t>6</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31">
              <w:r>
                <w:rPr>
                  <w:rStyle w:val="InternetLink"/>
                  <w:rFonts w:ascii="Times New Roman;serif" w:hAnsi="Times New Roman;serif"/>
                  <w:b w:val="false"/>
                  <w:color w:val="0000FF"/>
                  <w:sz w:val="20"/>
                  <w:u w:val="single"/>
                </w:rPr>
                <w:t>Notes to Condensed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31">
              <w:r>
                <w:rPr>
                  <w:rStyle w:val="InternetLink"/>
                  <w:rFonts w:ascii="Times New Roman;serif" w:hAnsi="Times New Roman;serif"/>
                  <w:b w:val="false"/>
                  <w:color w:val="0000FF"/>
                  <w:sz w:val="20"/>
                  <w:u w:val="single"/>
                </w:rPr>
                <w:t>7</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76">
              <w:r>
                <w:rPr>
                  <w:rStyle w:val="InternetLink"/>
                  <w:rFonts w:ascii="Times New Roman;serif" w:hAnsi="Times New Roman;serif"/>
                  <w:b w:val="false"/>
                  <w:color w:val="0000FF"/>
                  <w:sz w:val="20"/>
                  <w:u w:val="single"/>
                </w:rPr>
                <w:t>29</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09">
              <w:r>
                <w:rPr>
                  <w:rStyle w:val="InternetLink"/>
                  <w:rFonts w:ascii="Times New Roman;serif" w:hAnsi="Times New Roman;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09">
              <w:r>
                <w:rPr>
                  <w:rStyle w:val="InternetLink"/>
                  <w:rFonts w:ascii="Times New Roman;serif" w:hAnsi="Times New Roman;serif"/>
                  <w:b w:val="false"/>
                  <w:color w:val="0000FF"/>
                  <w:sz w:val="20"/>
                  <w:u w:val="single"/>
                </w:rPr>
                <w:t>43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12">
              <w:r>
                <w:rPr>
                  <w:rStyle w:val="InternetLink"/>
                  <w:rFonts w:ascii="Times New Roman;serif" w:hAnsi="Times New Roman;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12">
              <w:r>
                <w:rPr>
                  <w:rStyle w:val="InternetLink"/>
                  <w:rFonts w:ascii="Times New Roman;serif" w:hAnsi="Times New Roman;serif"/>
                  <w:b w:val="false"/>
                  <w:color w:val="0000FF"/>
                  <w:sz w:val="20"/>
                  <w:u w:val="single"/>
                </w:rPr>
                <w:t>43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15">
              <w:r>
                <w:rPr>
                  <w:rStyle w:val="InternetLink"/>
                  <w:rFonts w:ascii="Times New Roman;serif" w:hAnsi="Times New Roman;serif"/>
                  <w:b/>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18">
              <w:r>
                <w:rPr>
                  <w:rStyle w:val="InternetLink"/>
                  <w:rFonts w:ascii="Times New Roman;serif" w:hAnsi="Times New Roman;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15">
              <w:r>
                <w:rPr>
                  <w:rStyle w:val="InternetLink"/>
                  <w:rFonts w:ascii="Times New Roman;serif" w:hAnsi="Times New Roman;serif"/>
                  <w:b w:val="false"/>
                  <w:color w:val="0000FF"/>
                  <w:sz w:val="20"/>
                  <w:u w:val="single"/>
                </w:rPr>
                <w:t>43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99"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06c716dbe6334425a52e464a6dc326d0_121">
              <w:r>
                <w:rPr>
                  <w:rStyle w:val="InternetLink"/>
                  <w:rFonts w:ascii="Times New Roman;serif" w:hAnsi="Times New Roman;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21">
              <w:r>
                <w:rPr>
                  <w:rStyle w:val="InternetLink"/>
                  <w:rFonts w:ascii="Times New Roman;serif" w:hAnsi="Times New Roman;serif"/>
                  <w:b w:val="false"/>
                  <w:color w:val="0000FF"/>
                  <w:sz w:val="20"/>
                  <w:u w:val="single"/>
                </w:rPr>
                <w:t>43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859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859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859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27">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27">
              <w:r>
                <w:rPr>
                  <w:rStyle w:val="InternetLink"/>
                  <w:rFonts w:ascii="Times New Roman;serif" w:hAnsi="Times New Roman;serif"/>
                  <w:b w:val="false"/>
                  <w:color w:val="0000FF"/>
                  <w:sz w:val="20"/>
                  <w:u w:val="single"/>
                </w:rPr>
                <w:t>44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30">
              <w:r>
                <w:rPr>
                  <w:rStyle w:val="InternetLink"/>
                  <w:rFonts w:ascii="Times New Roman;serif" w:hAnsi="Times New Roman;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30">
              <w:r>
                <w:rPr>
                  <w:rStyle w:val="InternetLink"/>
                  <w:rFonts w:ascii="Times New Roman;serif" w:hAnsi="Times New Roman;serif"/>
                  <w:b w:val="false"/>
                  <w:color w:val="0000FF"/>
                  <w:sz w:val="20"/>
                  <w:u w:val="single"/>
                </w:rPr>
                <w:t>45</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6c716dbe6334425a52e464a6dc326d0_133">
              <w:r>
                <w:rPr>
                  <w:rStyle w:val="InternetLink"/>
                  <w:rFonts w:ascii="Times New Roman;serif" w:hAnsi="Times New Roman;serif"/>
                  <w:b w:val="false"/>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716dbe6334425a52e464a6dc326d0_133">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3"/>
        <w:gridCol w:w="2253"/>
        <w:gridCol w:w="2263"/>
        <w:gridCol w:w="211"/>
        <w:gridCol w:w="826"/>
        <w:gridCol w:w="109"/>
        <w:gridCol w:w="109"/>
        <w:gridCol w:w="109"/>
        <w:gridCol w:w="109"/>
        <w:gridCol w:w="211"/>
        <w:gridCol w:w="826"/>
        <w:gridCol w:w="156"/>
      </w:tblGrid>
      <w:tr>
        <w:trPr/>
        <w:tc>
          <w:tcPr>
            <w:tcW w:w="302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$15,005 at June 30, 2025 and $14,093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shares authorized: 100 shares of Series A and 2,000,000 shares of Series B; none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50,000,000 at June 30, 2025 and December 31, 2024; shares issued and outstanding: 22,657,435 at June 30, 2025 and 22,155,735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64" w:type="dxa"/>
        <w:jc w:val="center"/>
        <w:tblInd w:w="0" w:type="dxa"/>
        <w:tblLayout w:type="fixed"/>
        <w:tblCellMar>
          <w:top w:w="28" w:type="dxa"/>
          <w:left w:w="28" w:type="dxa"/>
          <w:bottom w:w="28" w:type="dxa"/>
          <w:right w:w="28" w:type="dxa"/>
        </w:tblCellMar>
      </w:tblPr>
      <w:tblGrid>
        <w:gridCol w:w="1421"/>
        <w:gridCol w:w="1239"/>
        <w:gridCol w:w="1255"/>
        <w:gridCol w:w="211"/>
        <w:gridCol w:w="826"/>
        <w:gridCol w:w="109"/>
        <w:gridCol w:w="109"/>
        <w:gridCol w:w="109"/>
        <w:gridCol w:w="109"/>
        <w:gridCol w:w="211"/>
        <w:gridCol w:w="826"/>
        <w:gridCol w:w="109"/>
        <w:gridCol w:w="109"/>
        <w:gridCol w:w="109"/>
        <w:gridCol w:w="109"/>
        <w:gridCol w:w="226"/>
        <w:gridCol w:w="826"/>
        <w:gridCol w:w="109"/>
        <w:gridCol w:w="109"/>
        <w:gridCol w:w="109"/>
        <w:gridCol w:w="109"/>
        <w:gridCol w:w="226"/>
        <w:gridCol w:w="826"/>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540" w:type="dxa"/>
        <w:jc w:val="center"/>
        <w:tblInd w:w="0" w:type="dxa"/>
        <w:tblLayout w:type="fixed"/>
        <w:tblCellMar>
          <w:top w:w="28" w:type="dxa"/>
          <w:left w:w="28" w:type="dxa"/>
          <w:bottom w:w="28" w:type="dxa"/>
          <w:right w:w="28" w:type="dxa"/>
        </w:tblCellMar>
      </w:tblPr>
      <w:tblGrid>
        <w:gridCol w:w="1466"/>
        <w:gridCol w:w="1280"/>
        <w:gridCol w:w="130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retirement benefit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185,768 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(39,895)</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Cash dividends declared per share of common stock were $0.085 and $0.085 in the six months ended June 30, 2025 and 2024, respectively.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LIFETIME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9039" w:type="dxa"/>
        <w:jc w:val="center"/>
        <w:tblInd w:w="0" w:type="dxa"/>
        <w:tblLayout w:type="fixed"/>
        <w:tblCellMar>
          <w:top w:w="28" w:type="dxa"/>
          <w:left w:w="28" w:type="dxa"/>
          <w:bottom w:w="28" w:type="dxa"/>
          <w:right w:w="28" w:type="dxa"/>
        </w:tblCellMar>
      </w:tblPr>
      <w:tblGrid>
        <w:gridCol w:w="2332"/>
        <w:gridCol w:w="2049"/>
        <w:gridCol w:w="2054"/>
        <w:gridCol w:w="211"/>
        <w:gridCol w:w="796"/>
        <w:gridCol w:w="109"/>
        <w:gridCol w:w="109"/>
        <w:gridCol w:w="109"/>
        <w:gridCol w:w="109"/>
        <w:gridCol w:w="211"/>
        <w:gridCol w:w="796"/>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(recovery) for doubtful accounts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net of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 xml:space="preserve">NET CASH PROVIDED BY OPERATING ACTIVITIES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 AND SUMMARY OF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nearly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 Certain immaterial amounts from the prior year have been reclassified to conform to the current year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 for the three and six months ended June 30, 2025 are not necessarily indicative of the results that may be expected for the year ending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2024 and 2023, net sales for the third and fourth quarters accounted for 58% and 57%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sales consist primarily of costs associated with the production and procurement of product, inbound freight costs, purchasing costs, handling costs, duties and tariffs, royalties, and other product procurement related charges.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consist primarily of warehousing expenses and freight-out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six months ended June 30, 2025 and June 30,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$19.2 million of accounts receivables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pPr>
      <w:r>
        <w:rPr>
          <w:rFonts w:ascii="Times New Roman;serif" w:hAnsi="Times New Roman;serif"/>
          <w:b w:val="false"/>
          <w:color w:val="000000"/>
          <w:sz w:val="20"/>
        </w:rPr>
        <w:t xml:space="preserve">The Company accounts for derivative instruments in accordance with Accounting Standard Codification (“ASC”) Topic 815, </w:t>
      </w:r>
      <w:r>
        <w:rPr>
          <w:rFonts w:ascii="Times New Roman;serif" w:hAnsi="Times New Roman;serif"/>
          <w:b w:val="false"/>
          <w:i/>
          <w:color w:val="000000"/>
          <w:sz w:val="20"/>
        </w:rPr>
        <w:t>Derivatives and Hedging (</w:t>
      </w:r>
      <w:r>
        <w:rPr>
          <w:color w:val="000000"/>
        </w:rPr>
        <w:t>“</w:t>
      </w:r>
      <w:r>
        <w:rPr>
          <w:rFonts w:ascii="Times New Roman;serif" w:hAnsi="Times New Roman;serif"/>
          <w:b w:val="false"/>
          <w:color w:val="000000"/>
          <w:sz w:val="20"/>
        </w:rPr>
        <w:t>ASC 815”</w:t>
      </w:r>
      <w:r>
        <w:rPr>
          <w:rFonts w:ascii="Times New Roman;serif" w:hAnsi="Times New Roman;serif"/>
          <w:b w:val="false"/>
          <w:i/>
          <w:color w:val="000000"/>
          <w:sz w:val="20"/>
        </w:rPr>
        <w:t>)</w:t>
      </w:r>
      <w:r>
        <w:rPr>
          <w:rFonts w:ascii="Times New Roman;serif" w:hAnsi="Times New Roman;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unaudited condensed consolidated statements of operations in the same period that the hedged items are recognized in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intangible assets and long-lived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is not amortized but, instead, subject to an annual impairment assessment on October 1 or more frequently if events or conditions were to indicate the carrying value of a reporting unit may not be recoverable.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ASC Topic 350, Intangibles – Goodwill and Other. If, after assessing qualitative factors, the Company determines that it is more likely than not that the fair value of a reporting unit exceeds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2024 by comparing the fair value of the reporting unit with its carrying value. The Company performed the analysis using a discounted cash flow and market multiple method. As of October 1, 2024, the fair value of the U.S. reporting unit exceeded the carrying value of goodwill by 5%.</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in the second quarter.</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performed an interim impairment test of the goodwill in the U.S. reporting unit by comparing its fair value with its carrying value. The analysis was performed by using a discounted cash flow and market multiple method. Accordingly, this fair value measurement is classified as Level 3 since it is based primarily on unobservable inputs. Based upon the analysis per</w:t>
      </w:r>
      <w:r>
        <w:rPr>
          <w:rFonts w:ascii="Times New Roman;serif" w:hAnsi="Times New Roman;serif"/>
          <w:b w:val="false"/>
          <w:color w:val="000000"/>
          <w:sz w:val="20"/>
        </w:rPr>
        <w:t>formed, the Company's U.S. reporting unit goodwill was fully impaired and a $33.2 million non-cash goodwill impairment charge was recognized in the second quarter of 2025.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 As of June 30, 2025, the carrying value of the Company's total goodwill has been reduced to zero.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calculate the current fair value of those projected cash flows. The calculation of cost of capital includes a number of subjective inputs, including a company-specific risk premium to capture the perceived risks associated with the reporting unit’s projected cash flows used in the discounted cash flow method.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w:t>
      </w:r>
    </w:p>
    <w:p>
      <w:pPr>
        <w:pStyle w:val="TextBody"/>
        <w:bidi w:val="0"/>
        <w:spacing w:lineRule="auto" w:line="288" w:before="240" w:after="283"/>
        <w:jc w:val="left"/>
        <w:rPr/>
      </w:pPr>
      <w:r>
        <w:rPr>
          <w:rFonts w:ascii="Times New Roman;serif" w:hAnsi="Times New Roman;serif"/>
          <w:b w:val="false"/>
          <w:color w:val="000000"/>
          <w:sz w:val="20"/>
        </w:rPr>
        <w:t xml:space="preserve">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The </w:t>
      </w:r>
      <w:r>
        <w:rPr>
          <w:rFonts w:ascii="Times New Roman;serif" w:hAnsi="Times New Roman;serif"/>
          <w:b w:val="false"/>
          <w:color w:val="000000"/>
          <w:sz w:val="20"/>
          <w:shd w:fill="FFFFFF" w:val="clear"/>
        </w:rPr>
        <w:t>Company performed a recoverability test for long-lived assets, including intangible assets with finite lives, within the U.S. asset group as of June 30, 2025, and concluded that no impairment existed as total estimated future undiscounted cash flows expected to be generated by the asset group exceeded the asset group's carrying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5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annual periods beginning after December 15, 2024 on a prospective basis. Retrospective application is permitted. Management is currently evaluating the impact of this standard on its consolidated financial statements and related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$0.8 million and $1.4 million, respectively, for the three and six months ended June 30, 2025 and $0.6 million and $1.2 million, respectively, for the three and six months ended June 30, 2024. Net sales exclude taxes that are collected from customers and remitted to the taxing authorities.</w:t>
      </w:r>
    </w:p>
    <w:p>
      <w:pPr>
        <w:pStyle w:val="TextBody"/>
        <w:bidi w:val="0"/>
        <w:spacing w:lineRule="auto" w:line="288" w:before="240" w:after="283"/>
        <w:jc w:val="left"/>
        <w:rPr/>
      </w:pPr>
      <w:r>
        <w:rPr>
          <w:rFonts w:ascii="Times New Roman;serif" w:hAnsi="Times New Roman;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erif" w:hAnsi="Times New Roman;serif"/>
          <w:b w:val="false"/>
          <w:color w:val="000000"/>
          <w:sz w:val="20"/>
          <w:shd w:fill="FFFFFF" w:val="clear"/>
        </w:rPr>
        <w:t>Payment terms vary by customer, but generally range from 30 to 90 days or at the point of sale for the Company’s retail direct sale</w:t>
      </w:r>
      <w:r>
        <w:rPr>
          <w:rFonts w:ascii="Times New Roman;serif" w:hAnsi="Times New Roman;serif"/>
          <w:b w:val="false"/>
          <w:color w:val="000000"/>
          <w:sz w:val="20"/>
        </w:rPr>
        <w:t>s.</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incurs certain direct incremental costs to obtain contracts with customers, such as sales-related co</w:t>
      </w:r>
      <w:r>
        <w:rPr>
          <w:rFonts w:ascii="Times New Roman;serif" w:hAnsi="Times New Roman;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net sales disaggregated by segment, product category and geographic region for the three and six months ended June 30, 2025 and 2024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2025 and 2024 were as follows (in thousands):</w:t>
      </w:r>
    </w:p>
    <w:tbl>
      <w:tblPr>
        <w:tblW w:w="7364"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lease related liabilities and assets for the six months ended June 30, 2025 and 2024 were as follows (in thousands):</w:t>
      </w:r>
    </w:p>
    <w:tbl>
      <w:tblPr>
        <w:tblW w:w="8464" w:type="dxa"/>
        <w:jc w:val="left"/>
        <w:tblInd w:w="0" w:type="dxa"/>
        <w:tblLayout w:type="fixed"/>
        <w:tblCellMar>
          <w:top w:w="28" w:type="dxa"/>
          <w:left w:w="28" w:type="dxa"/>
          <w:bottom w:w="28" w:type="dxa"/>
          <w:right w:w="28" w:type="dxa"/>
        </w:tblCellMar>
      </w:tblPr>
      <w:tblGrid>
        <w:gridCol w:w="2197"/>
        <w:gridCol w:w="1933"/>
        <w:gridCol w:w="1944"/>
        <w:gridCol w:w="216"/>
        <w:gridCol w:w="633"/>
        <w:gridCol w:w="112"/>
        <w:gridCol w:w="112"/>
        <w:gridCol w:w="112"/>
        <w:gridCol w:w="112"/>
        <w:gridCol w:w="112"/>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paid for amounts included in the measurement of</w:t>
            </w:r>
            <w:r>
              <w:rPr>
                <w:color w:val="000000"/>
              </w:rPr>
              <w:t xml:space="preserve"> </w:t>
            </w:r>
            <w:r>
              <w:rPr>
                <w:rFonts w:ascii="Times New Roman;serif" w:hAnsi="Times New Roman;serif"/>
                <w:b/>
                <w:color w:val="000000"/>
                <w:sz w:val="20"/>
              </w:rPr>
              <w:t>lease liabilities: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47" w:type="dxa"/>
        <w:jc w:val="left"/>
        <w:tblInd w:w="0" w:type="dxa"/>
        <w:tblLayout w:type="fixed"/>
        <w:tblCellMar>
          <w:top w:w="28" w:type="dxa"/>
          <w:left w:w="28" w:type="dxa"/>
          <w:bottom w:w="28" w:type="dxa"/>
          <w:right w:w="28" w:type="dxa"/>
        </w:tblCellMar>
      </w:tblPr>
      <w:tblGrid>
        <w:gridCol w:w="1923"/>
        <w:gridCol w:w="1691"/>
        <w:gridCol w:w="1696"/>
        <w:gridCol w:w="243"/>
        <w:gridCol w:w="538"/>
        <w:gridCol w:w="125"/>
        <w:gridCol w:w="125"/>
        <w:gridCol w:w="125"/>
        <w:gridCol w:w="125"/>
        <w:gridCol w:w="125"/>
        <w:gridCol w:w="211"/>
        <w:gridCol w:w="46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83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future lease payments for operating leases as of June 30, 2025 were as follows (in thousands):</w:t>
      </w:r>
    </w:p>
    <w:tbl>
      <w:tblPr>
        <w:tblW w:w="5570" w:type="dxa"/>
        <w:jc w:val="left"/>
        <w:tblInd w:w="0" w:type="dxa"/>
        <w:tblLayout w:type="fixed"/>
        <w:tblCellMar>
          <w:top w:w="28" w:type="dxa"/>
          <w:left w:w="28" w:type="dxa"/>
          <w:bottom w:w="28" w:type="dxa"/>
          <w:right w:w="28" w:type="dxa"/>
        </w:tblCellMar>
      </w:tblPr>
      <w:tblGrid>
        <w:gridCol w:w="1623"/>
        <w:gridCol w:w="1426"/>
        <w:gridCol w:w="1435"/>
        <w:gridCol w:w="211"/>
        <w:gridCol w:w="721"/>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(excluding the six months ended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were as follows:</w:t>
      </w:r>
    </w:p>
    <w:tbl>
      <w:tblPr>
        <w:tblW w:w="5084" w:type="dxa"/>
        <w:jc w:val="left"/>
        <w:tblInd w:w="0" w:type="dxa"/>
        <w:tblLayout w:type="fixed"/>
        <w:tblCellMar>
          <w:top w:w="28" w:type="dxa"/>
          <w:left w:w="28" w:type="dxa"/>
          <w:bottom w:w="28" w:type="dxa"/>
          <w:right w:w="28" w:type="dxa"/>
        </w:tblCellMar>
      </w:tblPr>
      <w:tblGrid>
        <w:gridCol w:w="1416"/>
        <w:gridCol w:w="1243"/>
        <w:gridCol w:w="1255"/>
        <w:gridCol w:w="239"/>
        <w:gridCol w:w="239"/>
        <w:gridCol w:w="692"/>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23, 2025, the Company entered into a lease agreement for a new distribution center in Hagerstown, Maryland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(“Hagerstown Facility”). The term of the lease is 180 months following the rent commencement date, which will occur in the first quarter of 2026. Base rent for the first year of the lease is $7.3 million, escalating by 3% annually. A portion of the base rent will be abated for the first 36 months at the annual prevailing rate for a total rent abatement of $7.2 million. The lease agreement also includes a total tenant improvement allowance of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—INVESTMENT</w:t>
      </w:r>
    </w:p>
    <w:p>
      <w:pPr>
        <w:pStyle w:val="TextBody"/>
        <w:bidi w:val="0"/>
        <w:spacing w:lineRule="auto" w:line="288" w:before="120" w:after="283"/>
        <w:jc w:val="left"/>
        <w:rPr/>
      </w:pPr>
      <w:r>
        <w:rPr>
          <w:rFonts w:ascii="Times New Roman;serif" w:hAnsi="Times New Roman;serif"/>
          <w:b w:val="false"/>
          <w:color w:val="000000"/>
          <w:sz w:val="20"/>
        </w:rPr>
        <w:t>As of June 30, 2025, the Company has a 24.7% interest in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equity method of accounting.</w:t>
      </w:r>
      <w:r>
        <w:rPr>
          <w:color w:val="000000"/>
        </w:rPr>
        <w:t xml:space="preserve"> </w:t>
      </w:r>
      <w:r>
        <w:rPr>
          <w:rFonts w:ascii="Times New Roman;serif" w:hAnsi="Times New Roman;serif"/>
          <w:b w:val="false"/>
          <w:color w:val="000000"/>
          <w:sz w:val="20"/>
        </w:rPr>
        <w:t xml:space="preserve">The Company accounts for its Vasconia investment at fair value in accordance with Accounting Standards Codification (“ASC”) </w:t>
      </w:r>
      <w:r>
        <w:rPr>
          <w:rFonts w:ascii="Times New Roman;serif" w:hAnsi="Times New Roman;serif"/>
          <w:b w:val="false"/>
          <w:i/>
          <w:color w:val="000000"/>
          <w:sz w:val="20"/>
        </w:rPr>
        <w:t>Topic 321: Investments — Equity Securities</w:t>
      </w:r>
      <w:r>
        <w:rPr>
          <w:rFonts w:ascii="Times New Roman;serif" w:hAnsi="Times New Roman;serif"/>
          <w:b w:val="false"/>
          <w:color w:val="000000"/>
          <w:sz w:val="20"/>
        </w:rPr>
        <w:t>, with any changes in fair value recorded within income (loss) on equity securities on the consolidated statements of operations. The fair value of the Vasconia investment was not material as of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Given Vasconia's limited trading activity, recent operating results of Vasconia and impact of the bankruptcy related activity, the fair value of the Vasconia investment was measured using the income approach based on Level 3 unobservable inputs.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Prior to accounting for the investment in Vasconia at fair value, equity in losses, net of taxes recognized for the six months ended June 30, 2024 was $2.1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13, 2025, the Company and Vasconia entered into Amendment No. 6 of the Shares Subscription Agreement, which among other items, terminated the Company’s rights to designate individuals to be nominated as members of the Vasconia board of directors. The Company did not have any designated members nominated to the Vasconia board of directors as of the date of the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 2025 and December 31, 2024 (in thousands):</w:t>
      </w:r>
    </w:p>
    <w:tbl>
      <w:tblPr>
        <w:tblW w:w="10538" w:type="dxa"/>
        <w:jc w:val="left"/>
        <w:tblInd w:w="0" w:type="dxa"/>
        <w:tblLayout w:type="fixed"/>
        <w:tblCellMar>
          <w:top w:w="28" w:type="dxa"/>
          <w:left w:w="28" w:type="dxa"/>
          <w:bottom w:w="28" w:type="dxa"/>
          <w:right w:w="28" w:type="dxa"/>
        </w:tblCellMar>
      </w:tblPr>
      <w:tblGrid>
        <w:gridCol w:w="398"/>
        <w:gridCol w:w="310"/>
        <w:gridCol w:w="313"/>
        <w:gridCol w:w="196"/>
        <w:gridCol w:w="736"/>
        <w:gridCol w:w="109"/>
        <w:gridCol w:w="109"/>
        <w:gridCol w:w="109"/>
        <w:gridCol w:w="109"/>
        <w:gridCol w:w="196"/>
        <w:gridCol w:w="661"/>
        <w:gridCol w:w="109"/>
        <w:gridCol w:w="109"/>
        <w:gridCol w:w="109"/>
        <w:gridCol w:w="109"/>
        <w:gridCol w:w="196"/>
        <w:gridCol w:w="77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76"/>
        <w:gridCol w:w="109"/>
        <w:gridCol w:w="109"/>
        <w:gridCol w:w="109"/>
        <w:gridCol w:w="109"/>
        <w:gridCol w:w="196"/>
        <w:gridCol w:w="736"/>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413"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Goodwill</w:t>
            </w:r>
            <w:r>
              <w:rPr>
                <w:rFonts w:ascii="Times New Roman;serif" w:hAnsi="Times New Roman;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net value at June 30, 2025 reflects a reduction of $113.0 million impairment charges within U.S. segment and $11.9 million impairment charges within International segment. The gross and net value at December 31, 2024 reflect a reduction of $79.8 million impairment charges within U.S. segment and $11.9 million impairment charges within International segment.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Goodwill impairment test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in the second quarter. </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performed an interim impairment test of the goodwill in the U.S. reporting unit by comparing its fair value with its carrying value. The analysis was performed by using a discounted cash flow and market multiple method. Accordingly, this fair value measurement is classified as Level 3 since it is based primarily on unobservable inputs. Based upon the analysis per</w:t>
      </w:r>
      <w:r>
        <w:rPr>
          <w:rFonts w:ascii="Times New Roman;serif" w:hAnsi="Times New Roman;serif"/>
          <w:b w:val="false"/>
          <w:color w:val="000000"/>
          <w:sz w:val="20"/>
        </w:rPr>
        <w:t>formed, the Company's U.S. reporting unit goodwill was fully impaired and a $33.2 million non-cash goodwill impairment charge was recognized in the second quarter of 2025.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 As of June 30, 2025, the carrying value of the Company's total goodwill has been reduced to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total availability under the ABL Agreement were as follows (in thousands):</w:t>
      </w:r>
    </w:p>
    <w:tbl>
      <w:tblPr>
        <w:tblW w:w="719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17"/>
        <w:gridCol w:w="817"/>
        <w:gridCol w:w="121"/>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June 30, 2025, the availability under the ABL Agreement, limited by the Term Loan financial covenant, was $65.7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6872"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17"/>
        <w:gridCol w:w="817"/>
        <w:gridCol w:w="121"/>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2024 excess cash flow payment of $1.2 million was paid on April 4, 2025 and reduced the scheduled quarterly payment due on June 30, 2025. As of June 30, 2025, the Company estimates no excess cash flow payment will be due for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2025 was between 3.30% and 5.79%. The Company paid a commitment fee of 0.25% on the unused portion of the ABL Agreement during the six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June 30, 2025 was 9.93%.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 xml:space="preserve">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June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Exchange Contracts </w:t>
      </w:r>
    </w:p>
    <w:p>
      <w:pPr>
        <w:pStyle w:val="TextBody"/>
        <w:bidi w:val="0"/>
        <w:spacing w:lineRule="auto" w:line="288" w:before="120" w:after="283"/>
        <w:jc w:val="left"/>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June 30, 2025 was $6.1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financial instruments included in the condensed consolidated balance sheets are presented as follows (in thousands):</w:t>
      </w:r>
    </w:p>
    <w:tbl>
      <w:tblPr>
        <w:tblW w:w="9817" w:type="dxa"/>
        <w:jc w:val="left"/>
        <w:tblInd w:w="0" w:type="dxa"/>
        <w:tblLayout w:type="fixed"/>
        <w:tblCellMar>
          <w:top w:w="28" w:type="dxa"/>
          <w:left w:w="28" w:type="dxa"/>
          <w:bottom w:w="28" w:type="dxa"/>
          <w:right w:w="28" w:type="dxa"/>
        </w:tblCellMar>
      </w:tblPr>
      <w:tblGrid>
        <w:gridCol w:w="1249"/>
        <w:gridCol w:w="1098"/>
        <w:gridCol w:w="1102"/>
        <w:gridCol w:w="1014"/>
        <w:gridCol w:w="1014"/>
        <w:gridCol w:w="1017"/>
        <w:gridCol w:w="109"/>
        <w:gridCol w:w="109"/>
        <w:gridCol w:w="109"/>
        <w:gridCol w:w="310"/>
        <w:gridCol w:w="642"/>
        <w:gridCol w:w="172"/>
        <w:gridCol w:w="109"/>
        <w:gridCol w:w="109"/>
        <w:gridCol w:w="109"/>
        <w:gridCol w:w="392"/>
        <w:gridCol w:w="843"/>
        <w:gridCol w:w="310"/>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102" w:type="dxa"/>
        <w:jc w:val="left"/>
        <w:tblInd w:w="0" w:type="dxa"/>
        <w:tblLayout w:type="fixed"/>
        <w:tblCellMar>
          <w:top w:w="28" w:type="dxa"/>
          <w:left w:w="28" w:type="dxa"/>
          <w:bottom w:w="28" w:type="dxa"/>
          <w:right w:w="28" w:type="dxa"/>
        </w:tblCellMar>
      </w:tblPr>
      <w:tblGrid>
        <w:gridCol w:w="1352"/>
        <w:gridCol w:w="1189"/>
        <w:gridCol w:w="1193"/>
        <w:gridCol w:w="1014"/>
        <w:gridCol w:w="1014"/>
        <w:gridCol w:w="1017"/>
        <w:gridCol w:w="109"/>
        <w:gridCol w:w="109"/>
        <w:gridCol w:w="109"/>
        <w:gridCol w:w="310"/>
        <w:gridCol w:w="642"/>
        <w:gridCol w:w="172"/>
        <w:gridCol w:w="109"/>
        <w:gridCol w:w="109"/>
        <w:gridCol w:w="109"/>
        <w:gridCol w:w="392"/>
        <w:gridCol w:w="843"/>
        <w:gridCol w:w="310"/>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gains and losses, realized and unrealized, related to the Company’s derivative financial instruments designated as hedging instruments are recognized in other comprehensive (loss) income, net of taxes, as follows (in thousands):</w:t>
      </w:r>
    </w:p>
    <w:tbl>
      <w:tblPr>
        <w:tblW w:w="7679" w:type="dxa"/>
        <w:jc w:val="left"/>
        <w:tblInd w:w="0" w:type="dxa"/>
        <w:tblLayout w:type="fixed"/>
        <w:tblCellMar>
          <w:top w:w="28" w:type="dxa"/>
          <w:left w:w="28" w:type="dxa"/>
          <w:bottom w:w="28" w:type="dxa"/>
          <w:right w:w="28" w:type="dxa"/>
        </w:tblCellMar>
      </w:tblPr>
      <w:tblGrid>
        <w:gridCol w:w="1338"/>
        <w:gridCol w:w="1172"/>
        <w:gridCol w:w="1179"/>
        <w:gridCol w:w="196"/>
        <w:gridCol w:w="496"/>
        <w:gridCol w:w="109"/>
        <w:gridCol w:w="109"/>
        <w:gridCol w:w="109"/>
        <w:gridCol w:w="109"/>
        <w:gridCol w:w="196"/>
        <w:gridCol w:w="331"/>
        <w:gridCol w:w="109"/>
        <w:gridCol w:w="109"/>
        <w:gridCol w:w="109"/>
        <w:gridCol w:w="109"/>
        <w:gridCol w:w="196"/>
        <w:gridCol w:w="496"/>
        <w:gridCol w:w="109"/>
        <w:gridCol w:w="109"/>
        <w:gridCol w:w="109"/>
        <w:gridCol w:w="109"/>
        <w:gridCol w:w="196"/>
        <w:gridCol w:w="42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foreign exchange contracts that are reported in other comprehensive (loss) income are reclassified into cost of sales as the underlying inventory purchased is sold.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reclassified $0.02 million and $0.1 million, respectively, of cash flow hedges in accumulated other comprehensive losses to earnings, related to foreign exchange contracts recognized in cost of sales. At June 30, 2025, the estimated amount of existing net losses expected to be reclassified into earnings within the next 12 months was $0.4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2024, the Company reclassified $0.02 million and $0.2 million, respectively, of cash flow hedges in accumulated other comprehensive losses to earnings, related to foreign exchange contracts recognized in cost of sales.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 to market losses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71"/>
        <w:gridCol w:w="939"/>
        <w:gridCol w:w="944"/>
        <w:gridCol w:w="942"/>
        <w:gridCol w:w="942"/>
        <w:gridCol w:w="944"/>
        <w:gridCol w:w="109"/>
        <w:gridCol w:w="109"/>
        <w:gridCol w:w="109"/>
        <w:gridCol w:w="196"/>
        <w:gridCol w:w="474"/>
        <w:gridCol w:w="109"/>
        <w:gridCol w:w="109"/>
        <w:gridCol w:w="109"/>
        <w:gridCol w:w="109"/>
        <w:gridCol w:w="196"/>
        <w:gridCol w:w="421"/>
        <w:gridCol w:w="109"/>
        <w:gridCol w:w="109"/>
        <w:gridCol w:w="109"/>
        <w:gridCol w:w="109"/>
        <w:gridCol w:w="196"/>
        <w:gridCol w:w="474"/>
        <w:gridCol w:w="109"/>
        <w:gridCol w:w="109"/>
        <w:gridCol w:w="109"/>
        <w:gridCol w:w="109"/>
        <w:gridCol w:w="196"/>
        <w:gridCol w:w="474"/>
        <w:gridCol w:w="161"/>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2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8</w:t>
      </w:r>
      <w:r>
        <w:rPr>
          <w:color w:val="000000"/>
        </w:rPr>
        <w:t xml:space="preserve"> — </w:t>
      </w:r>
      <w:r>
        <w:rPr>
          <w:rFonts w:ascii="Times New Roman;serif" w:hAnsi="Times New Roman;serif"/>
          <w:b/>
          <w:color w:val="000000"/>
          <w:sz w:val="20"/>
        </w:rPr>
        <w:t>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there were 908,049 shares available for the grant of awards under the Company’s Amended and Restated 2000 Long Term Incentive Plan (“Plan”), assuming maximum performance of performance-based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and related information for the six months ended June 30, 2025 is as follows:</w:t>
      </w:r>
    </w:p>
    <w:tbl>
      <w:tblPr>
        <w:tblW w:w="10205" w:type="dxa"/>
        <w:jc w:val="left"/>
        <w:tblInd w:w="0" w:type="dxa"/>
        <w:tblLayout w:type="fixed"/>
        <w:tblCellMar>
          <w:top w:w="28" w:type="dxa"/>
          <w:left w:w="28" w:type="dxa"/>
          <w:bottom w:w="28" w:type="dxa"/>
          <w:right w:w="28" w:type="dxa"/>
        </w:tblCellMar>
      </w:tblPr>
      <w:tblGrid>
        <w:gridCol w:w="1835"/>
        <w:gridCol w:w="1597"/>
        <w:gridCol w:w="1600"/>
        <w:gridCol w:w="233"/>
        <w:gridCol w:w="503"/>
        <w:gridCol w:w="109"/>
        <w:gridCol w:w="109"/>
        <w:gridCol w:w="109"/>
        <w:gridCol w:w="109"/>
        <w:gridCol w:w="252"/>
        <w:gridCol w:w="717"/>
        <w:gridCol w:w="142"/>
        <w:gridCol w:w="109"/>
        <w:gridCol w:w="109"/>
        <w:gridCol w:w="109"/>
        <w:gridCol w:w="325"/>
        <w:gridCol w:w="325"/>
        <w:gridCol w:w="326"/>
        <w:gridCol w:w="109"/>
        <w:gridCol w:w="109"/>
        <w:gridCol w:w="109"/>
        <w:gridCol w:w="325"/>
        <w:gridCol w:w="676"/>
        <w:gridCol w:w="259"/>
      </w:tblGrid>
      <w:tr>
        <w:trPr/>
        <w:tc>
          <w:tcPr>
            <w:tcW w:w="183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br/>
              <w:t>(in thousands)</w:t>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outstanding, January 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Options outstanding, June 30, 2025</w:t>
            </w:r>
            <w:r>
              <w:rPr>
                <w:rFonts w:ascii="Times New Roman;serif" w:hAnsi="Times New Roman;serif"/>
                <w:b/>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exercisable, June 30, 2025</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stock option expense remaining (in thousands)</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a non-plan stock option award of 15,000 stock options granted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intrinsic value that would have been received by the option holders had all option holders exercised their exercisable in-the-money stock options on June 30, 2025. The intrinsic value is calculated for each in-the-money stock option as the difference between the closing price of the Company’s common stock on June 30, 2025 and the exercise price.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activity and related information for the six months ended June 30, 2025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January 1, 2025</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Forfeitures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June 30, 2025</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six months ended June 30, 2025 was $1.3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Company’s board of directors (the “Board of Directors”). The shares are subject to the terms and conditions of the Company’s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award activity and related information for the six months ended June 30, 2025 is as follows:</w:t>
      </w:r>
    </w:p>
    <w:tbl>
      <w:tblPr>
        <w:tblW w:w="8007" w:type="dxa"/>
        <w:jc w:val="left"/>
        <w:tblInd w:w="0" w:type="dxa"/>
        <w:tblLayout w:type="fixed"/>
        <w:tblCellMar>
          <w:top w:w="28" w:type="dxa"/>
          <w:left w:w="28" w:type="dxa"/>
          <w:bottom w:w="28" w:type="dxa"/>
          <w:right w:w="28" w:type="dxa"/>
        </w:tblCellMar>
      </w:tblPr>
      <w:tblGrid>
        <w:gridCol w:w="1935"/>
        <w:gridCol w:w="1699"/>
        <w:gridCol w:w="1706"/>
        <w:gridCol w:w="259"/>
        <w:gridCol w:w="736"/>
        <w:gridCol w:w="144"/>
        <w:gridCol w:w="109"/>
        <w:gridCol w:w="109"/>
        <w:gridCol w:w="109"/>
        <w:gridCol w:w="288"/>
        <w:gridCol w:w="685"/>
        <w:gridCol w:w="228"/>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Performance-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based stock</w:t>
            </w:r>
          </w:p>
          <w:p>
            <w:pPr>
              <w:pStyle w:val="TableContents"/>
              <w:bidi w:val="0"/>
              <w:spacing w:lineRule="auto" w:line="240" w:before="0" w:after="0"/>
              <w:jc w:val="center"/>
              <w:rPr/>
            </w:pPr>
            <w:r>
              <w:rPr>
                <w:rFonts w:ascii="Times New Roman;serif" w:hAnsi="Times New Roman;serif"/>
                <w:b/>
                <w:color w:val="000000"/>
                <w:sz w:val="18"/>
              </w:rPr>
              <w:t xml:space="preserve">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January 1, 2025</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June 30, 2025</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732,172 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the forfeiture of performance-based awards granted in 2022 as the performance metric was not attained.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Cash-settled performance-based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cash-settled performance-based awards activity and related information for the six months ended June 30, 2025 is as follows:</w:t>
      </w:r>
    </w:p>
    <w:tbl>
      <w:tblPr>
        <w:tblW w:w="10180" w:type="dxa"/>
        <w:jc w:val="left"/>
        <w:tblInd w:w="0" w:type="dxa"/>
        <w:tblLayout w:type="fixed"/>
        <w:tblCellMar>
          <w:top w:w="28" w:type="dxa"/>
          <w:left w:w="28" w:type="dxa"/>
          <w:bottom w:w="28" w:type="dxa"/>
          <w:right w:w="28" w:type="dxa"/>
        </w:tblCellMar>
      </w:tblPr>
      <w:tblGrid>
        <w:gridCol w:w="1957"/>
        <w:gridCol w:w="1718"/>
        <w:gridCol w:w="1725"/>
        <w:gridCol w:w="937"/>
        <w:gridCol w:w="1943"/>
        <w:gridCol w:w="524"/>
        <w:gridCol w:w="109"/>
        <w:gridCol w:w="109"/>
        <w:gridCol w:w="109"/>
        <w:gridCol w:w="252"/>
        <w:gridCol w:w="599"/>
        <w:gridCol w:w="198"/>
      </w:tblGrid>
      <w:tr>
        <w:trPr/>
        <w:tc>
          <w:tcPr>
            <w:tcW w:w="195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Cash-settled performance-based 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fair</w:t>
              <w:br/>
              <w:t>value</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cash-settled performance-based awards, January 1, 2025</w:t>
            </w:r>
          </w:p>
        </w:tc>
        <w:tc>
          <w:tcPr>
            <w:tcW w:w="2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82,176 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2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(82,176)</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cash-settled performance-based awards, June 30, 2025</w:t>
            </w:r>
          </w:p>
        </w:tc>
        <w:tc>
          <w:tcPr>
            <w:tcW w:w="2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9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the forfeiture of performance-based awards granted in 2022 as the performance metric was not attained.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stock compensation expense as follows (in thousands):</w:t>
      </w:r>
    </w:p>
    <w:tbl>
      <w:tblPr>
        <w:tblW w:w="8684" w:type="dxa"/>
        <w:jc w:val="left"/>
        <w:tblInd w:w="0" w:type="dxa"/>
        <w:tblLayout w:type="fixed"/>
        <w:tblCellMar>
          <w:top w:w="28" w:type="dxa"/>
          <w:left w:w="28" w:type="dxa"/>
          <w:bottom w:w="28" w:type="dxa"/>
          <w:right w:w="28" w:type="dxa"/>
        </w:tblCellMar>
      </w:tblPr>
      <w:tblGrid>
        <w:gridCol w:w="1526"/>
        <w:gridCol w:w="1342"/>
        <w:gridCol w:w="1346"/>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Components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and performance-based stock awards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for equity based awards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based stock option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 Compensation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—LOSS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loss per common share for the three and six months ended June 30, 2025 and 2024 are as follows:</w:t>
      </w:r>
    </w:p>
    <w:tbl>
      <w:tblPr>
        <w:tblW w:w="8895" w:type="dxa"/>
        <w:jc w:val="left"/>
        <w:tblInd w:w="0" w:type="dxa"/>
        <w:tblLayout w:type="fixed"/>
        <w:tblCellMar>
          <w:top w:w="28" w:type="dxa"/>
          <w:left w:w="28" w:type="dxa"/>
          <w:bottom w:w="28" w:type="dxa"/>
          <w:right w:w="28" w:type="dxa"/>
        </w:tblCellMar>
      </w:tblPr>
      <w:tblGrid>
        <w:gridCol w:w="1362"/>
        <w:gridCol w:w="1199"/>
        <w:gridCol w:w="1204"/>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Weighted-average shares outstanding – Basic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Stock options and other stock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 – Diluted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loss per common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Diluted loss per common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Antidilutive Securities</w:t>
            </w:r>
            <w:r>
              <w:rPr>
                <w:rFonts w:ascii="Times New Roman;serif" w:hAnsi="Times New Roman;serif"/>
                <w:b/>
                <w:color w:val="000000"/>
                <w:sz w:val="12"/>
              </w:rPr>
              <w:t>(1)</w:t>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$2.8 million and $2.9 million for the three and six months ended June 30, 2025, respectively, represent taxes on both U.S. and foreign earnings at a combined effective income tax benefit rate of 6.5% and 6.2%, respectively. The effective tax rate for the three months and six months ended June 30, 2025 differs from the federal statutory income tax rate of 21.0% primarily due to a partial valuation allowance on U.S. deferred tax assets that are not more likely than not to be realized as a result of the goodwill impairment in the current quarter.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$0.1 million and income tax provision of $0.2 million for the three and six months ended June 30, 2024, respectively, represent taxes on both U.S. and foreign earnings at a combined effective income tax benefit rate of 0.3% and provision rate of (0.7)%, respectively. The effective tax rate for the three months ended June 30,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 The negative rate for the six months ended June 30, 2024 reflects tax expense on a pretax financial reporting loss. The effective tax rate for the six months ended June 30, 2024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the following jurisdictions as “major” tax jurisdictions: U.S. Federal, California, Massachusetts, New Jersey, New York and the United Kingdom.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June 30, 2025 and June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a broad range of tax reform provisions affecting businesses, including extending and modifying certain expiring provisions under the Tax Cuts and Job Acts (both domestic and international). The Company is currently evaluating the impact of the OBBBA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 BUSINESS SEGMENTS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operation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(loss) income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8519" w:type="dxa"/>
        <w:jc w:val="left"/>
        <w:tblInd w:w="0" w:type="dxa"/>
        <w:tblLayout w:type="fixed"/>
        <w:tblCellMar>
          <w:top w:w="28" w:type="dxa"/>
          <w:left w:w="28" w:type="dxa"/>
          <w:bottom w:w="28" w:type="dxa"/>
          <w:right w:w="28" w:type="dxa"/>
        </w:tblCellMar>
      </w:tblPr>
      <w:tblGrid>
        <w:gridCol w:w="1054"/>
        <w:gridCol w:w="926"/>
        <w:gridCol w:w="9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Performance Measures:</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expenses for the six months ended June 30, 2025 included a net legal settlement gain of $6.4 million. Details see NOTE 12 —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5"/>
        <w:gridCol w:w="1526"/>
        <w:gridCol w:w="153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 for significant segment expenses:</w:t>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Freight-out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freight-out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warehouse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impairment: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expenses for the six months ended June 30, 2025 included a net legal settlement gain of $6.4 million. Details see NOTE 12 — CONTINGENCIES</w:t>
      </w:r>
    </w:p>
    <w:tbl>
      <w:tblPr>
        <w:tblW w:w="7919"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4696"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31"/>
        <w:gridCol w:w="905"/>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to Enter the Decree, and the court entered the Decree into order on December 14, 2023, thereby effectuating the Decree. On January 10, 2024, EPA issued a notice to proceed with the OU-1 remedial work.</w:t>
      </w:r>
      <w:r>
        <w:rPr>
          <w:color w:val="000000"/>
        </w:rPr>
        <w:t xml:space="preserve"> </w:t>
      </w:r>
      <w:r>
        <w:rPr>
          <w:rFonts w:ascii="Times New Roman;serif" w:hAnsi="Times New Roman;serif"/>
          <w:b w:val="false"/>
          <w:color w:val="000000"/>
          <w:sz w:val="20"/>
        </w:rPr>
        <w:t>The Company thereafter commenced remedial work on OU-1 in accordance with the Decree.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June 30, 2025, the remaining liability is $5.4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Legal Settlement Gain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2015, Taylor Precision Products, Inc. (“Taylor” and/or the “Plaintiff”),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condensed consolidated statement of operations for the quarter ended March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13 </w:t>
      </w:r>
      <w:r>
        <w:rPr>
          <w:color w:val="000000"/>
        </w:rPr>
        <w:t>— </w:t>
      </w:r>
      <w:r>
        <w:rPr>
          <w:rFonts w:ascii="Times New Roman;serif" w:hAnsi="Times New Roman;serif"/>
          <w:b/>
          <w:color w:val="000000"/>
          <w:sz w:val="20"/>
        </w:rPr>
        <w:t>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in the six months ended June 30, 2025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5/15/2025</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8/15/2025</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paid dividends of $1.9 million. This included payments made on February 14, 2025 and May 15, 2025 of $0.9 million and $0.9 million to stockholders of record on January 31, 2025 and May 1, 2025, and payments of $0.1 million for dividends payable upon the vesting of restricted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the Company reduced retained earnings for the accrual of $1.0 million relating to the dividend payable on August 15,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5, 2025, the Board declared a quarterly dividend of 0.0425 per share of common stock payable on November 14, 2025 to stockholders of record on October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six months ended June 30, 2025. As of June 30, 2025, the remaining dollar amount available for repurchases under the Board of Directors’ authorized plan was $11.1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bl>
      <w:tblPr>
        <w:tblW w:w="6068" w:type="dxa"/>
        <w:jc w:val="left"/>
        <w:tblInd w:w="0" w:type="dxa"/>
        <w:tblLayout w:type="fixed"/>
        <w:tblCellMar>
          <w:top w:w="28" w:type="dxa"/>
          <w:left w:w="28" w:type="dxa"/>
          <w:bottom w:w="28" w:type="dxa"/>
          <w:right w:w="28" w:type="dxa"/>
        </w:tblCellMar>
      </w:tblPr>
      <w:tblGrid>
        <w:gridCol w:w="1441"/>
        <w:gridCol w:w="1263"/>
        <w:gridCol w:w="1270"/>
        <w:gridCol w:w="196"/>
        <w:gridCol w:w="556"/>
        <w:gridCol w:w="109"/>
        <w:gridCol w:w="109"/>
        <w:gridCol w:w="109"/>
        <w:gridCol w:w="109"/>
        <w:gridCol w:w="196"/>
        <w:gridCol w:w="55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 net</w:t>
      </w:r>
    </w:p>
    <w:tbl>
      <w:tblPr>
        <w:tblW w:w="10155" w:type="dxa"/>
        <w:jc w:val="left"/>
        <w:tblInd w:w="0" w:type="dxa"/>
        <w:tblLayout w:type="fixed"/>
        <w:tblCellMar>
          <w:top w:w="28" w:type="dxa"/>
          <w:left w:w="28" w:type="dxa"/>
          <w:bottom w:w="28" w:type="dxa"/>
          <w:right w:w="28" w:type="dxa"/>
        </w:tblCellMar>
      </w:tblPr>
      <w:tblGrid>
        <w:gridCol w:w="1818"/>
        <w:gridCol w:w="1601"/>
        <w:gridCol w:w="1606"/>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reclassified from accumulated other comprehensive loss</w:t>
            </w:r>
            <w:r>
              <w:rPr>
                <w:rFonts w:ascii="Times New Roman;serif" w:hAnsi="Times New Roman;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change in translation adjustment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Accumulated deferred (losses) gains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(losses) gains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Settlement of cash flow hedge </w:t>
            </w:r>
            <w:r>
              <w:rPr>
                <w:rFonts w:ascii="Times New Roman;serif" w:hAnsi="Times New Roman;serif"/>
                <w:b w:val="false"/>
                <w:color w:val="000000"/>
                <w:sz w:val="12"/>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cash flow hedges, net of taxes of $0, $0, $0, $0</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reclassified from accumulated other comprehensive loss:</w:t>
            </w:r>
            <w:r>
              <w:rPr>
                <w:color w:val="000000"/>
              </w:rPr>
              <w:t xml:space="preserve"> </w:t>
            </w:r>
            <w:r>
              <w:rPr>
                <w:rFonts w:ascii="Times New Roman;serif" w:hAnsi="Times New Roman;serif"/>
                <w:b w:val="false"/>
                <w:color w:val="000000"/>
                <w:sz w:val="12"/>
              </w:rPr>
              <w:t>(3)</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 net of taxes of $(2), $(4), $(3), $(8)</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 at end of period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Amounts reclassified to the Vasconia investment carrying value as a result of the discontinuation of the equity method investment of accounting and recognized as a loss on equity securities in the unaudited condensed consolidated statements of operations, to reduce the Vasconia investment to its fair value. </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Amounts reclassified are recorded in cost of sales on the unaudited condensed consolidated statement of operations.</w:t>
      </w:r>
    </w:p>
    <w:p>
      <w:pPr>
        <w:pStyle w:val="TextBody"/>
        <w:bidi w:val="0"/>
        <w:spacing w:lineRule="auto" w:line="288" w:before="60" w:after="283"/>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erif" w:hAnsi="Times New Roman;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erif" w:hAnsi="Times New Roman;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2024 (the “2024 Annual Report on Form 10-K”) in Part I, Item 1A under the heading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Macroeconomic conditions, including labor disputes, depreciation of the U.S. dollar, volatility in the capital markets,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conditions, including political instability in the U.S. and abroad, unrest and sanctions, war, conflict, including the ongoing conflicts between Russia and the Ukraine, conflicts in the Middle East, and increasing tensions between China and Taiwan;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Legislative and regulatory risk, including those relating to the recent enactment of the OBBBA;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Reputational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erif" w:hAnsi="Times New Roman;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erif" w:hAnsi="Times New Roman;serif"/>
          <w:b w:val="false"/>
          <w:i/>
          <w:color w:val="000000"/>
          <w:sz w:val="20"/>
          <w:u w:val="single"/>
        </w:rPr>
        <w:t>http://www.lifetimebrands.com</w:t>
      </w:r>
      <w:r>
        <w:rPr>
          <w:rFonts w:ascii="Times New Roman;serif" w:hAnsi="Times New Roman;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erif" w:hAnsi="Times New Roman;serif"/>
          <w:b w:val="false"/>
          <w:i/>
          <w:color w:val="000000"/>
          <w:sz w:val="20"/>
          <w:u w:val="single"/>
        </w:rPr>
        <w:t>http://www.sec.gov.</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erif" w:hAnsi="Times New Roman;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erif" w:hAnsi="Times New Roman;serif"/>
          <w:b w:val="false"/>
          <w:color w:val="000000"/>
          <w:sz w:val="13"/>
        </w:rPr>
        <w:t>®</w:t>
      </w:r>
      <w:r>
        <w:rPr>
          <w:rFonts w:ascii="Times New Roman;serif" w:hAnsi="Times New Roman;serif"/>
          <w:b w:val="false"/>
          <w:color w:val="000000"/>
          <w:sz w:val="20"/>
        </w:rPr>
        <w:t>, KitchenAid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Mikasa</w:t>
      </w:r>
      <w:r>
        <w:rPr>
          <w:rFonts w:ascii="Times New Roman;serif" w:hAnsi="Times New Roman;serif"/>
          <w:b w:val="false"/>
          <w:color w:val="000000"/>
          <w:sz w:val="13"/>
        </w:rPr>
        <w:t>®</w:t>
      </w:r>
      <w:r>
        <w:rPr>
          <w:rFonts w:ascii="Times New Roman;serif" w:hAnsi="Times New Roman;serif"/>
          <w:b w:val="false"/>
          <w:color w:val="000000"/>
          <w:sz w:val="20"/>
        </w:rPr>
        <w:t>, Taylor</w:t>
      </w:r>
      <w:r>
        <w:rPr>
          <w:rFonts w:ascii="Times New Roman;serif" w:hAnsi="Times New Roman;serif"/>
          <w:b w:val="false"/>
          <w:color w:val="000000"/>
          <w:sz w:val="13"/>
        </w:rPr>
        <w:t>®</w:t>
      </w:r>
      <w:r>
        <w:rPr>
          <w:rFonts w:ascii="Times New Roman;serif" w:hAnsi="Times New Roman;serif"/>
          <w:b w:val="false"/>
          <w:color w:val="000000"/>
          <w:sz w:val="20"/>
        </w:rPr>
        <w:t>, Pfaltzgraff</w:t>
      </w:r>
      <w:r>
        <w:rPr>
          <w:rFonts w:ascii="Times New Roman;serif" w:hAnsi="Times New Roman;serif"/>
          <w:b w:val="false"/>
          <w:color w:val="000000"/>
          <w:sz w:val="13"/>
        </w:rPr>
        <w:t>®</w:t>
      </w:r>
      <w:r>
        <w:rPr>
          <w:rFonts w:ascii="Times New Roman;serif" w:hAnsi="Times New Roman;serif"/>
          <w:b w:val="false"/>
          <w:color w:val="000000"/>
          <w:sz w:val="20"/>
        </w:rPr>
        <w:t>, Built NY</w:t>
      </w:r>
      <w:r>
        <w:rPr>
          <w:rFonts w:ascii="Times New Roman;serif" w:hAnsi="Times New Roman;serif"/>
          <w:b w:val="false"/>
          <w:color w:val="000000"/>
          <w:sz w:val="13"/>
        </w:rPr>
        <w:t>®</w:t>
      </w:r>
      <w:r>
        <w:rPr>
          <w:rFonts w:ascii="Times New Roman;serif" w:hAnsi="Times New Roman;serif"/>
          <w:b w:val="false"/>
          <w:color w:val="000000"/>
          <w:sz w:val="20"/>
        </w:rPr>
        <w:t>, S’well</w:t>
      </w:r>
      <w:r>
        <w:rPr>
          <w:rFonts w:ascii="Times New Roman;serif" w:hAnsi="Times New Roman;serif"/>
          <w:b w:val="false"/>
          <w:color w:val="000000"/>
          <w:sz w:val="13"/>
        </w:rPr>
        <w:t>®</w:t>
      </w:r>
      <w:r>
        <w:rPr>
          <w:rFonts w:ascii="Times New Roman;serif" w:hAnsi="Times New Roman;serif"/>
          <w:b w:val="false"/>
          <w:color w:val="000000"/>
          <w:sz w:val="20"/>
        </w:rPr>
        <w:t>, Fred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&amp; Friends, KitchenCraft</w:t>
      </w:r>
      <w:r>
        <w:rPr>
          <w:rFonts w:ascii="Times New Roman;serif" w:hAnsi="Times New Roman;serif"/>
          <w:b w:val="false"/>
          <w:color w:val="000000"/>
          <w:sz w:val="13"/>
        </w:rPr>
        <w:t xml:space="preserve">® </w:t>
      </w:r>
      <w:r>
        <w:rPr>
          <w:rFonts w:ascii="Times New Roman;serif" w:hAnsi="Times New Roman;serif"/>
          <w:b w:val="false"/>
          <w:color w:val="000000"/>
          <w:sz w:val="20"/>
        </w:rPr>
        <w:t>, Rabbit</w:t>
      </w:r>
      <w:r>
        <w:rPr>
          <w:rFonts w:ascii="Times New Roman;serif" w:hAnsi="Times New Roman;serif"/>
          <w:b w:val="false"/>
          <w:color w:val="000000"/>
          <w:sz w:val="13"/>
        </w:rPr>
        <w:t>®</w:t>
      </w:r>
      <w:r>
        <w:rPr>
          <w:rFonts w:ascii="Times New Roman;serif" w:hAnsi="Times New Roman;serif"/>
          <w:b w:val="false"/>
          <w:color w:val="000000"/>
          <w:sz w:val="20"/>
        </w:rPr>
        <w:t>, Kamenstein</w:t>
      </w:r>
      <w:r>
        <w:rPr>
          <w:rFonts w:ascii="Times New Roman;serif" w:hAnsi="Times New Roman;serif"/>
          <w:b w:val="false"/>
          <w:color w:val="000000"/>
          <w:sz w:val="13"/>
        </w:rPr>
        <w:t>®</w:t>
      </w:r>
      <w:r>
        <w:rPr>
          <w:rFonts w:ascii="Times New Roman;serif" w:hAnsi="Times New Roman;serif"/>
          <w:b w:val="false"/>
          <w:color w:val="000000"/>
          <w:sz w:val="20"/>
        </w:rPr>
        <w:t>, and Dolly</w:t>
      </w:r>
      <w:r>
        <w:rPr>
          <w:rFonts w:ascii="Times New Roman;serif" w:hAnsi="Times New Roman;serif"/>
          <w:b w:val="false"/>
          <w:color w:val="000000"/>
          <w:sz w:val="13"/>
        </w:rPr>
        <w:t>®</w:t>
      </w:r>
      <w:r>
        <w:rPr>
          <w:rFonts w:ascii="Times New Roman;serif" w:hAnsi="Times New Roman;serif"/>
          <w:b w:val="false"/>
          <w:color w:val="000000"/>
          <w:sz w:val="20"/>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purchases almost all of its product from third-party manufacturers outside the U.S., primarily in China. This concentration in suppliers exposes the Company to risks associated with doing business globally, including risks relating to the tariffs recently implemented and that may be implemented in the future.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9, 2025, the U.S. imposed an aggregate 145% tariff on imports from China, which was subsequently reduced to 30% effective May 14, 2025 for a 90 day pause period. Other recent tariff policy updates that went into effect in April 2025 include a 10% universal tariff for all countries and reciprocal tariffs for specific countries, which were originally paused until July 9, 2025 and subsequently extended to August 1, 2025. As the Company sources almost all of its products from suppliers located outside the United States, primarily in China, any new or increased tariffs, quotas, embargoes, or other trade barriers could impact our supply chain and cost structure. Additionally, retaliatory measures by affected countries, could further disrupt operations or reduce our competitiveness in international markets. The Company continues to monitor these changing tariffs and trade restrictions. To mitigate the impact of the increase price of goods imported by the Company into the U.S., the Company has negotiated price increase prices with its customers, negotiated product costs with its suppliers and continues to pursue diversification of its imports to countries that are expected to be subject to lower tariffs. To the extent that tariffs return to higher rates and the Company cannot mitigate the impact of the increase on the price of goods imported by the Company into the U.S., it may result in lower gross margin that the Company realizes from the sale of its products. The broader macroeconomic impacts related to the changes in tariff policies including potential mitigation efforts by retailers may negatively impact consumer spending and buying patterns of the Company's products. This could materially adversely affect the Company’s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facility currently located in Robbinsville, NJ (the “Robbinsville Facility”) to a warehouse and distribution space in Hagerstown, Maryland (the “Hagerstown Facility”). In connection with the relocation, the Company will exit the Robbinsville Facility. The Company expects to incur one-time exit costs up to $7.0 million for employee severance, certain employee relocation costs, and remaining lease costs for the Robbinsville Facility, which costs are expected to be incurred in 2025 and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Hagerstown Facility will require capital expenditures for equipment and certain leasehold improvements of approximately $9.0 million. One-time relocation costs are estimated to be up to $7.0 million, which includes recruitment, relocation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set up costs and lease expenses prior to the Hagerstown Facility being fully operational. These one-time costs are expected to be incurred in 2026. The Company expects that the Hagerstown Facility will be operational by the second quarter of 2026. Additionally, in connection with the relocation to the Hagerstown Facility, the Company will receive tax abatement and incentives over the term of the Lease from the State of Maryland and Washington County, Maryland totaling approximately $13.1 million. These incentives include real property tax abatement, employee state withholding tax credit, conditional grants and income tax credits.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launched Project Concord, management's comprehensive plan to propel growth and streamline the cost structure of the International segment. The Company expects this plan to improve future results in its International segment through sales growth and the identification costs efficiencies. On July 8, 2025, the Company announced a reorganization of its international workforce in connection with Project Concord, management's comprehensive plan to propel growth and streamline the cost structure of the International segment. The reorganization primarily affects the structure of the International segment's merchandising and sales workforce. The estimated restructuring expenses related to severance associated with the reorganization is $0.3 million. This charge will be recognized in the third quarter of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U.S. The OBBBA includes a broad range of tax reform provisions affecting businesses, including extending and modifying certain expiring provisions under the Tax Cuts and Job Acts (both domestic and international). The Company is currently evaluating the impact of the OBBBA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reportable segments is included in NOTE 11 – BUSINESS SEGMENTS of the Notes to the condensed consolidated financial statements included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2024 and 2023, net sales for the third and fourth quarters accounted for 58% and 57%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pPr>
      <w:r>
        <w:rPr>
          <w:rFonts w:ascii="Times New Roman;serif" w:hAnsi="Times New Roman;serif"/>
          <w:b w:val="false"/>
          <w:color w:val="000000"/>
          <w:sz w:val="20"/>
        </w:rPr>
        <w:t xml:space="preserve">There have been no material changes to the Company’s critical accounting estimates discussed in the 2024 Annual Report on Form 10-K in Item 7 under the heading </w:t>
      </w:r>
      <w:r>
        <w:rPr>
          <w:rFonts w:ascii="Times New Roman;serif" w:hAnsi="Times New Roman;serif"/>
          <w:b w:val="false"/>
          <w:i/>
          <w:color w:val="000000"/>
          <w:sz w:val="20"/>
        </w:rPr>
        <w:t>Management’s Discussion and Analysis of Financial Condition and Results of Operations – Critical Accounting Policies and Estimates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statements of operations data of the Company as a percentage of net sales for the periods indicated:</w:t>
      </w:r>
    </w:p>
    <w:tbl>
      <w:tblPr>
        <w:tblW w:w="8309" w:type="dxa"/>
        <w:jc w:val="left"/>
        <w:tblInd w:w="0" w:type="dxa"/>
        <w:tblLayout w:type="fixed"/>
        <w:tblCellMar>
          <w:top w:w="28" w:type="dxa"/>
          <w:left w:w="28" w:type="dxa"/>
          <w:bottom w:w="28" w:type="dxa"/>
          <w:right w:w="28" w:type="dxa"/>
        </w:tblCellMar>
      </w:tblPr>
      <w:tblGrid>
        <w:gridCol w:w="1237"/>
        <w:gridCol w:w="1091"/>
        <w:gridCol w:w="1106"/>
        <w:gridCol w:w="278"/>
        <w:gridCol w:w="278"/>
        <w:gridCol w:w="352"/>
        <w:gridCol w:w="150"/>
        <w:gridCol w:w="150"/>
        <w:gridCol w:w="150"/>
        <w:gridCol w:w="278"/>
        <w:gridCol w:w="278"/>
        <w:gridCol w:w="352"/>
        <w:gridCol w:w="109"/>
        <w:gridCol w:w="109"/>
        <w:gridCol w:w="109"/>
        <w:gridCol w:w="278"/>
        <w:gridCol w:w="278"/>
        <w:gridCol w:w="310"/>
        <w:gridCol w:w="132"/>
        <w:gridCol w:w="132"/>
        <w:gridCol w:w="132"/>
        <w:gridCol w:w="278"/>
        <w:gridCol w:w="278"/>
        <w:gridCol w:w="310"/>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on interest rate derivatives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equity securities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 and equity in losses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losses, net of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2025 COMPARED TO THE THREE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2024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three months ended June 30, 2025 were $131.9 million, representing a decrease of $9.8 million, or 6.9%, as compared to net sales of $141.7 million for the corresponding period in 2024. In constant currency, a non-GAAP financial measure, which excludes the impact of foreign exchange fluctuations and was determined by applying 2025 average rates to 2024 local currency amounts, consolidated net sales decreased by $10.4 million, or 7.3%, as compared to consolidated net sales in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 for the three months ended June 30, 2025 were $119.3 million, a decrease of $11.2 million, or 8.6%, as compared to net sales of $130.5 million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Kitchenware product category were $82.5 million for the three months ended June 30, 2025, an increase of $1.7 million, or 2.1%, as compared to $80.8 million for the corresponding period in 2024. The increase was driven by higher sales for cutlery and boards and kitchen measurement products. These increases were offset by a reduction in sales for kitchen tools and bakeware.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$21.3 million for the three months ended June 30, 2025, a decrease of $5.0 million, or 19.0%, as compared to $26.3 million for the corresponding period in 2024. The decrease was attributable to lower warehouse club programs for dinnerware and flatware.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Home Solutions product category were $15.5 million for the three months ended June 30, 2025, a decrease of $7.9 million, or 33.8%, as compared to $23.4 million for the corresponding period in 2024. The decrease was attributable to lower sales for hydration products, bath measurement products and home décor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$12.6 million for the three months ended June 30, 2025, an increase of $1.4 million, or 12.5%, as compared to net sales of $11.2 million for the corresponding period in 2024. In constant currency, a non-GAAP financial measure, which excludes the impact of foreign exchange fluctuations, net sales increased by $0.8 million, or 6.6%, as compared to consolidated net sales in the corresponding period in 2024. The increase was driven by improved sales in the U.K. and continental Europe.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June 30, 2025 was $50.8 million, or 38.6%, as compared to $54.6 million, or 38.5%,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U.S. segment was $46.7 million, or 39.1%, for the three months ended June 30, 2025, as compared to $50.5 million, or 38.7%, for the corresponding period in 2024. The improvement in the gross margin percentage was driven by customer mix.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International segment was $4.1 million, or 32.5%, for the three months ended June 30, 2025, as compared to $4.1 million, or 36.6%, for the corresponding period in 2024. The decline in gross margin percentage was driven by customer and product mix.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three months ended June 30, 2025 were $17.3 million, as compared to $15.1 million for the corresponding period in 2024. Distribution expenses as a percentage of net sales were 13.1% for the three months ended June 30, 2025, as compared to 10.6% for the three months ended June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11.4% and 9.1% for the three months ended June 30, 2025 and 2024, respectively. Distribution expense during the three months ended June 30, 2025 included $0.1 million for redesign costs related to the Company's warehouses. As a percentage of sales shipped from the Company’s U.S. warehouses, excluding non-recurring expenses, distribution expenses were 11.0% and 9.5% for the three months ended June 30, 2025 and 2024, respectively. The increase in expenses as a percentage of sales was attributable to lower shipment volume resulting in an unfavorable impact of fixed expenses, higher software expenses due to the launch of a new warehouse management system at the Company's west coast distribution center in September 2024 and an increase in freight-out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International segment were 29.8% for the three months ended June 30, 2025, compared to 28.5% for the corresponding period in 2024. As a percentage of sales shipped from the Company’s international warehouses distribution expenses were 26.8% and 25.1% for the three months ended June 30, 2025 and 2024, respectively. The increase in expenses as a percentage of sales was primarily attributed to higher warehouse expenses related to the expanded distribution of the Company's products within the Asia Pacific region.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June 30, 2025 were $37.5 million, a decrease of $0.8 million, or 2.1%, as compared to $38.3 million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$29.5 million for the three months ended June 30, 2025, as compared to $29.4 million for the corresponding period in 2024. As a percentage of net sales, selling, general and administrative expenses were 24.7% and 22.5% for the three months ended June 30, 2025 and 2024, respectively. The increase in selling, general and administrative expenses as a percentage of net sales, was attributable to the impact of fixed costs on lower sales volume, an increase in the provision for doubtful accounts in the current period and an increase in amortization expense related to an indefinite-lived trade name, which was reclassified to a finite-lived trade name in the fourth quarter 2024. This was partially offset by lower employee expenses, including incentive compensation.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International segment were $3.7 million for the three months ended June 30, 2025, as compared to $3.8 million for the corresponding period in 2024. As a percentage of net sales, selling, general and administrative expenses were 29.4% and 33.9% for the three months ended June 30, 2025 and 2024, respectively. The decrease in expenses as a percentage of net sales was attributable to higher sales and foreign currency exchange gains.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for the three months ended June 30, 2025 was $4.3 million, as compared to $5.1 million for the corresponding period in 2024. The decrease compared to the prior period was due to lower incentive compensation and legal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120" w:after="283"/>
        <w:jc w:val="left"/>
        <w:rPr/>
      </w:pPr>
      <w:r>
        <w:rPr>
          <w:rFonts w:ascii="Times New Roman;serif" w:hAnsi="Times New Roman;serif"/>
          <w:b w:val="false"/>
          <w:color w:val="000000"/>
          <w:sz w:val="20"/>
        </w:rPr>
        <w:t xml:space="preserve">During the second quarter of 2025, the Company’s qualitative assessment of goodwill indicated triggering events had occurred in its U.S. reporting unit. The Company performed </w:t>
      </w:r>
      <w:r>
        <w:rPr>
          <w:rFonts w:ascii="Times New Roman;serif" w:hAnsi="Times New Roman;serif"/>
          <w:b w:val="false"/>
          <w:color w:val="000000"/>
          <w:sz w:val="20"/>
          <w:shd w:fill="FFFFFF" w:val="clear"/>
        </w:rPr>
        <w:t xml:space="preserve">an interim impairment test of the goodwill in the U.S. reporting unit, </w:t>
      </w:r>
      <w:r>
        <w:rPr>
          <w:rFonts w:ascii="Times New Roman;serif" w:hAnsi="Times New Roman;serif"/>
          <w:b w:val="false"/>
          <w:color w:val="000000"/>
          <w:sz w:val="20"/>
        </w:rPr>
        <w:t xml:space="preserve">that resulted in a $33.2 million non-cash goodwill impairment charge.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$5.1 million and $5.2 million for the three months ended June 30, 2025 and 2024, respectively. The decrease in expense was a result of lower average outstanding borrowings in the current period, and lower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 was $0.2 million for the three months ended June 30, 2025, as compared to $0.1 million for the three months ended June 30, 2024. The loss recognized for the three months ended June 30, 2025 and 2024,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2025,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Loss on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 was $14.2 million for the three months ended June 30, 2024. In the second quarter of 2024, the Company lost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4 —INVESTMENT for additional information.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$2.8 million and benefit of $0.1 million for the three months ended June 30, 2025 and 2024, respectively, represent taxes on both U.S. and foreign earnings at a combined effective income tax benefit rate of 6.5% and benefit rate of 0.3%, respectively. The effective tax rate for the three months ended June 30, 2025 differs from the federal statutory income tax rate of 21.0% primarily due to a partial valuation allowance on U.S. deferred tax assets that are not more likely than not to be realized as a result of the goodwill impairment in the current quarter. The effective tax rate for the three months ended June 30,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 COMPARED TO THE SIX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2024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six months ended June 30, 2025 were $271.9 million, a decrease of $12.0 million, or 4.2%, as compared to net sales of $283.9 million for the corresponding period in 2024. In constant currency, a non-GAAP financial measure, which excludes the impact of foreign exchange fluctuations and was determined by applying 2025 average rates to 2024 local currency amounts, consolidated net sales decreased by $12.4 million, or 4.4%, as compared to consolidated net sales in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 for the six months ended June 30, 2025 were $247.8 million, a decrease of $13.2 million, or 5.1%, as compared to net sales of $261.0 million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Kitchenware product category were $162.0 million for the six months ended June 30, 2025, a decrease of $2.3 million, or 1.4%, as compared to $164.3 million for the corresponding period in 2024. The decrease was driven by lower sales for kitchen tools, partially offset by higher sales for cutlery and boards and kitchen measurement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$48.9 million for the six months ended June 30, 2025, a decrease of $3.2 million, or 6.1%, as compared to $52.1 million for the corresponding period in 2024. The decrease was driven by lower flatware sales due to a warehouse club program not repeated, partially offset by higher sales in dinnerware in the dollar channel.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Home Solutions product category were $36.9 million for the six months ended June 30, 2025, a decrease of $7.7 million, or 17.3%, as compared to $44.6 million for the corresponding period in 2024. The decrease was attributable to lower sales of hydration products and bath measurement products. The decrease was partially offset by higher sales for home décor products driven by a new warehouse club program and sales in the dollar channel.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$24.1 million for the six months ended June 30, 2025, an increase of $1.2 million, or 5.2%, as compared to net sales of $22.9 million for the corresponding period in 2024. In constant currency, a non-GAAP financial measure, which excludes the impact of foreign exchange fluctuations, net sales increased by $0.7 million, or 3.0%, as compared to consolidated net sales in the corresponding period in 2024. The increase was attributable to higher sales in continental Europe and Australia.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six months ended June 30, 2025 was $101.5 million, or 37.3%, as compared to $112.1 million, or 39.5%,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U.S. segment was $93.4 million, or 37.7%, for the six months ended June 30, 2025, as compared to $103.8 million, or 39.8%, for the corresponding period in 2024. The decrease in gross margin percentage was due to customer and product mix.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International segment was $8.1 million, or 33.6%, for the six months ended June 30, 2025, as compared to $8.3 million, or 36.2%, for the corresponding period in 2024. The decrease in gross margin percentage was driven by customer and product mix.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six months ended June 30, 2025 were $35.4 million, as compared to $31.2 million for the corresponding period in 2024. Distribution expenses as a percentage of net sales were 13.0% for the six months ended June 30, 2025, as compared to 11.0% for the six months ended June 30,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11.4% and 9.5% for the six months ended June 30, 2025 and 2024, respectively. Distribution expenses during the six months ended June 30, 2025 and 2024 included $0.1 million for redesign costs related to the Company's warehouses. As a percentage of sales shipped from the Company’s U.S. warehouses, excluding non-recurring expenses, distribution expenses were 11.5% and 10.0% for the six months ended June 30, 2025 and 2024, respectively. The increase in expenses as a percentage of net sales was attributable to lower shipment volume resulting in an unfavorable impact of fixed expenses, an increase in employee expenses as a result of less labor management efficiencies due to higher inventory levels, higher software expenses due to the launch of a new warehouse management system at the Company's west coast distribution center in September 2024 and an increase in freight-out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International segment were 29.1% for the six months ended June 30, 2025, compared to 27.7% for the corresponding period in 2024. As a percentage of sales shipped from the Company’s international warehouses, distribution expenses were 25.9% and 24.3% for the six months ended June 30, 2025 and 2024, respectively. The increase in expenses as a percentage of sales was primarily attributed to higher warehouse expenses related to the expanded distribution of the Company's products within the Asia Pacific region and an increase in freight-out expenses.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June 30, 2025 were $69.0 million, a decrease of $8.9 million, or 11.4%, as compared to $77.9 million for the corresponding period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$59.5 million for the six months ended June 30, 2025, as compared to $60.3 million for the corresponding period in 2024. As a percentage of net sales, selling, general and administrative expenses were 24.0% and 23.1% for the six months ended June 30, 2025 and 2024, respectively. The increase in selling, general and administrative expenses as a percentage of net sales, was attributable to the impact of fixed costs on lower sales volume, an increase in provision for doubtful accounts in the current period, and an increase in amortization expense related to an indefinite-lived trade name, which was reclassified to a finite-lived trade name in the fourth quarter 2024. This was partially offset by lower employee expenses, including incentive compensation.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International segment were $7.4 million for the six months ended June 30, 2025, as compared to $8.0 million for the corresponding period in 2024. As a percentage of net sales, selling, general and administrative expenses were 30.7% and 34.9% for the six months ended June 30, 2025 and 2024, respectively. The decrease was primarily attributable to foreign currency exchange gains, and lower advertising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for the six months ended June 30, 2025 were $2.1 million, as compared to expenses of $9.6 million for the corresponding period in 2024. The decrease in expenses was driven by the recognition of a net legal settlement gain of $6.4 million in the current period, lower incentive compensation and legal expenses, partially offset by an increase in stock compensation expense.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120" w:after="283"/>
        <w:jc w:val="left"/>
        <w:rPr/>
      </w:pPr>
      <w:r>
        <w:rPr>
          <w:rFonts w:ascii="Times New Roman;serif" w:hAnsi="Times New Roman;serif"/>
          <w:b w:val="false"/>
          <w:color w:val="000000"/>
          <w:sz w:val="20"/>
        </w:rPr>
        <w:t xml:space="preserve">During the second quarter of 2025, the Company’s qualitative assessment of goodwill indicated triggering events had occurred in its U.S. reporting unit. The Company performed </w:t>
      </w:r>
      <w:r>
        <w:rPr>
          <w:rFonts w:ascii="Times New Roman;serif" w:hAnsi="Times New Roman;serif"/>
          <w:b w:val="false"/>
          <w:color w:val="000000"/>
          <w:sz w:val="20"/>
          <w:shd w:fill="FFFFFF" w:val="clear"/>
        </w:rPr>
        <w:t xml:space="preserve">an interim impairment test of the goodwill in the U.S. reporting unit, </w:t>
      </w:r>
      <w:r>
        <w:rPr>
          <w:rFonts w:ascii="Times New Roman;serif" w:hAnsi="Times New Roman;serif"/>
          <w:b w:val="false"/>
          <w:color w:val="000000"/>
          <w:sz w:val="20"/>
        </w:rPr>
        <w:t xml:space="preserve">that resulted in a $33.2 million non-cash goodwill impairment charge.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$10.0 million and $10.8 million for the six months ended June 30, 2025 and 2024, respectively. The decrease in expense was a result of lower average outstanding borrowings in the current period, and lower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 to market loss on interest rate derivatives was $0.7 million for the six months ended June 30, 2025, as compared to $0.3 million for the six months ended June 30, 2024. The increase was attributable to the change in the fair value based on the increase in interest rates. The mark to market amount represents the change in fair value on the Company’s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derivatives that have not been designated as hedging instruments. These derivatives were entered into for purposes of locking-in a fixed interest rate on a portion of the Company’s variable interest rate debt. As of June 30, 2025,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Loss on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 was $14.2 million for the six months ended June 30, 2024. In the second quarter of 2024, the Company lost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4 —INVESTMENT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pPr>
      <w:r>
        <w:rPr>
          <w:rFonts w:ascii="Times New Roman;serif" w:hAnsi="Times New Roman;serif"/>
          <w:b w:val="false"/>
          <w:color w:val="000000"/>
          <w:sz w:val="20"/>
        </w:rPr>
        <w:t>Income tax benefit of $2.9 million and income tax provision of $0.2 million for the six months ended June 30, 2025 and 2024, respectively, represent taxes on both U.S. and foreign earnings at a combined</w:t>
      </w:r>
      <w:r>
        <w:rPr>
          <w:color w:val="000000"/>
        </w:rPr>
        <w:t xml:space="preserve"> </w:t>
      </w:r>
      <w:r>
        <w:rPr>
          <w:rFonts w:ascii="Times New Roman;serif" w:hAnsi="Times New Roman;serif"/>
          <w:b w:val="false"/>
          <w:color w:val="000000"/>
          <w:sz w:val="20"/>
        </w:rPr>
        <w:t>effective income tax benefit rate of 6.2% and income tax provision rate of (0.7)%, respectively. The negative rate for the six months ended June 30, 2024 reflects tax expense on a pretax financial reporting loss. The effective tax rate for the six months ended June 30, 2025 differs from the federal statutory income tax rate of 21.0% primarily due to a partial valuation allowance on U.S. deferred tax assets that are not more likely than not to be realized as a result of the goodwill impairment in the current quarter. The effective tax rate for the six months ended June 30, 2024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Equity in losses, net of taxes</w:t>
      </w:r>
    </w:p>
    <w:p>
      <w:pPr>
        <w:pStyle w:val="TextBody"/>
        <w:bidi w:val="0"/>
        <w:spacing w:lineRule="auto" w:line="288" w:before="120" w:after="283"/>
        <w:jc w:val="left"/>
        <w:rPr/>
      </w:pPr>
      <w:r>
        <w:rPr>
          <w:rFonts w:ascii="Times New Roman;serif" w:hAnsi="Times New Roman;serif"/>
          <w:b w:val="false"/>
          <w:color w:val="000000"/>
          <w:sz w:val="20"/>
        </w:rPr>
        <w:t>Equity in losses of Vasconia, net of taxes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was $2.1 million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erif" w:hAnsi="Times New Roman;serif"/>
          <w:b w:val="false"/>
          <w:color w:val="000000"/>
          <w:sz w:val="20"/>
        </w:rPr>
        <w:t xml:space="preserve">At June 30, 2025, the Company had cash and cash equivalents of $12.0 million, compared to </w:t>
      </w:r>
      <w:r>
        <w:rPr>
          <w:rFonts w:ascii="Times New Roman;serif" w:hAnsi="Times New Roman;serif"/>
          <w:b w:val="false"/>
          <w:color w:val="000000"/>
          <w:sz w:val="20"/>
          <w:shd w:fill="FFFFFF" w:val="clear"/>
        </w:rPr>
        <w:t>$2.9 million</w:t>
      </w:r>
      <w:r>
        <w:rPr>
          <w:color w:val="000000"/>
        </w:rPr>
        <w:t xml:space="preserve"> </w:t>
      </w:r>
      <w:r>
        <w:rPr>
          <w:rFonts w:ascii="Times New Roman;serif" w:hAnsi="Times New Roman;serif"/>
          <w:b w:val="false"/>
          <w:color w:val="000000"/>
          <w:sz w:val="20"/>
        </w:rPr>
        <w:t>at December 31, 2024. Working capital was $210.1 million at June 30, 2025, compared to $221.8 million at December 31, 2024. Liquidity as of June 30, 2025 was $96.9 million, consisting of $12.0 million of cash and cash equivalents, $65.7 million of availability under the ABL Agreement, limited by the Term Loan financial covenant, and $19.2 million of available funding under the Receivables Purchase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2025, inventory turnover was 1.5 times, or 241 days, as compared to 1.8 times, or 208 days, for the three months ended June 30, 2024. Inventory turns have slowed compared to the prior year due to lower sales and higher inventory levels because of higher inventory purchases in the first quarter of 2025 intended to mitigate the impact of the tariffs.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total availability under the ABL Agreement were as follows (in thousands): </w:t>
      </w:r>
    </w:p>
    <w:tbl>
      <w:tblPr>
        <w:tblW w:w="719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17"/>
        <w:gridCol w:w="817"/>
        <w:gridCol w:w="121"/>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110,867 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124,808 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June 30, 2025, the availability under the ABL Agreement, limited by the Term Loan financial covenant, was $65.7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6872"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17"/>
        <w:gridCol w:w="817"/>
        <w:gridCol w:w="121"/>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2024 excess cash flow payment of $1.2 million was paid on April 4, 2025 and reduced the scheduled quarterly payment due on June 30, 2025. As of June 30, 2025, the Company estimates no excess cash flow payment will be due for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2025 was between 3.30% and 5.79%. The Company paid a commitment fee of 0.25% on the unused portion of the ABL Agreement during the six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June 30, 2025 was 9.93%.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 Calculations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adjusted EBITDA (including pro forma adjustments), for the trailing twelve months ended June 30, 2025 was $50.7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six months ended June 30, 2025 were $2.7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net income (loss), as reported, to Adjusted EBITDA, for each of the last four quarters and the 12 months ended June 30, 2025:</w:t>
      </w:r>
    </w:p>
    <w:tbl>
      <w:tblPr>
        <w:tblW w:w="10205" w:type="dxa"/>
        <w:jc w:val="left"/>
        <w:tblInd w:w="0" w:type="dxa"/>
        <w:tblLayout w:type="fixed"/>
        <w:tblCellMar>
          <w:top w:w="28" w:type="dxa"/>
          <w:left w:w="28" w:type="dxa"/>
          <w:bottom w:w="28" w:type="dxa"/>
          <w:right w:w="28" w:type="dxa"/>
        </w:tblCellMar>
      </w:tblPr>
      <w:tblGrid>
        <w:gridCol w:w="1049"/>
        <w:gridCol w:w="765"/>
        <w:gridCol w:w="768"/>
        <w:gridCol w:w="267"/>
        <w:gridCol w:w="881"/>
        <w:gridCol w:w="148"/>
        <w:gridCol w:w="109"/>
        <w:gridCol w:w="109"/>
        <w:gridCol w:w="109"/>
        <w:gridCol w:w="216"/>
        <w:gridCol w:w="714"/>
        <w:gridCol w:w="120"/>
        <w:gridCol w:w="109"/>
        <w:gridCol w:w="109"/>
        <w:gridCol w:w="109"/>
        <w:gridCol w:w="196"/>
        <w:gridCol w:w="602"/>
        <w:gridCol w:w="109"/>
        <w:gridCol w:w="109"/>
        <w:gridCol w:w="109"/>
        <w:gridCol w:w="109"/>
        <w:gridCol w:w="196"/>
        <w:gridCol w:w="692"/>
        <w:gridCol w:w="109"/>
        <w:gridCol w:w="109"/>
        <w:gridCol w:w="109"/>
        <w:gridCol w:w="109"/>
        <w:gridCol w:w="381"/>
        <w:gridCol w:w="1376"/>
        <w:gridCol w:w="308"/>
      </w:tblGrid>
      <w:tr>
        <w:trPr/>
        <w:tc>
          <w:tcPr>
            <w:tcW w:w="10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June 30, 2025</w:t>
            </w:r>
          </w:p>
        </w:tc>
      </w:tr>
      <w:tr>
        <w:trPr/>
        <w:tc>
          <w:tcPr>
            <w:tcW w:w="2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as reported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 gain, net</w:t>
            </w:r>
            <w:r>
              <w:rPr>
                <w:rFonts w:ascii="Times New Roman;serif" w:hAnsi="Times New Roman;serif"/>
                <w:b w:val="false"/>
                <w:color w:val="000000"/>
                <w:sz w:val="12"/>
              </w:rPr>
              <w:t>(1)</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expense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Warehouse redesign expenses</w:t>
            </w:r>
            <w:r>
              <w:rPr>
                <w:rFonts w:ascii="Times New Roman;serif" w:hAnsi="Times New Roman;serif"/>
                <w:b w:val="false"/>
                <w:color w:val="000000"/>
                <w:sz w:val="12"/>
              </w:rPr>
              <w:t>(2)</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 forma adjustments</w:t>
            </w:r>
            <w:r>
              <w:rPr>
                <w:rFonts w:ascii="Times New Roman;serif" w:hAnsi="Times New Roman;serif"/>
                <w:b w:val="false"/>
                <w:color w:val="000000"/>
                <w:sz w:val="12"/>
              </w:rPr>
              <w:t>(3)</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(4)</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50,732 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For the twelve months ended June 30, 2025, legal settlement gain, net included a net settlement of $6.4 million discussed in NOTE 12 — CONTINGENCIES, and adjusted for legal fees incurred from March 2, 2018 through March 31, 2025 of $1.8 million.</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the twelve months ended June 30, 2025, the warehouse redesign expenses were related to the U.S. segment.</w:t>
      </w:r>
    </w:p>
    <w:p>
      <w:pPr>
        <w:pStyle w:val="TextBody"/>
        <w:bidi w:val="0"/>
        <w:spacing w:lineRule="auto" w:line="288" w:before="60" w:after="283"/>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Pro forma adjustments represent the amount of operating expense reductions projected by the Company as a result of actions taken through June 30, 2025 or expected to be taken within 18 months of June 30, 2025, net of the benefits realized during the twelve months ended June 30, 2025. These actions include cost savings initiatives for the U.S. segment related to reductions in employee expenses (i.e., including terminated employees, furloughed employees and temporary salary reductions) and costs saving for the International segment related to Project Concord. </w:t>
      </w:r>
    </w:p>
    <w:p>
      <w:pPr>
        <w:pStyle w:val="TextBody"/>
        <w:bidi w:val="0"/>
        <w:spacing w:lineRule="auto" w:line="288" w:before="60" w:after="283"/>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6"/>
        </w:rPr>
        <w:t>Adjusted EBITDA is a non-GAAP financial measure that is defined in the Company’s debt agreements. Adjusted EBITDA is defined as net income (loss), adjusted to exclude income tax provision (benefit), interest expense, depreciation and amortization, mark to market loss (gain) on interest rate derivatives, goodwill impairment, stock compensation expense, legal settlement gain, net and other items detailed in the table above that are consistent with exclusions permitted by our debt agreements.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sell receivables to HSBC during the three and six months ended June 30, 2025 and June 30, 2024. At June 30, 2025, $19.2 million of accounts receivables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June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less than 18 months. The aggregate gross notional value of foreign exchange contracts at June 30, 2025 was $6.1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$26.1 million for the six months ended June 30, 2025, as compared to net cash provided by operating activities of $20.9 million for the six months ended June 30, 2024. The increase from 2025 compared to 2024 was attributable to a net legal settlement gain received in the current period, timing of collections related to the Company's accounts receivables, and lower investment in inventory, partially offset by timing of payments for accounts payable and accrued expenses.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$2.7 million and $1.1 million for the six months ended June 30, 2025 and 2024, respectively. The increase in investment activities was driven by purchases of equipment for the Hagerstown Facility.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$14.4 million for the six months ended June 30, 2025, as compared to net cash used in financing activities of $32.5 million for the six months ended June 30, 2024. The change was attributable to lower net repayments of revolving credit facility in the 2025 period, partially offset by the principal repayment of term loan due to timing.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six months ended June 30, 2025. As of June 30, 2025, the remaining dollar amount available for repurchases under the Board of Directors’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market risk for changes in foreign currency exchange rates and interest rates from the information provided in Item 7A – Quantitative and Qualitative Disclosures About Market Risk in the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Chief Executive Officer and the Chief Financial Officer of the Company (its principal executive officer and principal financial officer, respectively) have concluded, based on their evaluation as of June 30, 2025,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(b)Changes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the Company’s legal proceedings, please see NOTE 12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pPr>
      <w:r>
        <w:rPr>
          <w:rFonts w:ascii="Times New Roman;serif" w:hAnsi="Times New Roman;serif"/>
          <w:b w:val="false"/>
          <w:color w:val="000000"/>
          <w:sz w:val="20"/>
        </w:rPr>
        <w:t>In addition to the other information set forth in this Quarterly Report on Form 10-Q, readers should carefully consider the factors discussed in Part I, Item 1A—Risk Factors in the 2024 Annual Report on Form 10-K, and in the Company’s other filings with the SEC, which could materially affect the Company’s business, financial condition, cash flows or future results. Except as noted below, there have been no material changes from the risk factors previously disclosed in Part I, Item 1A—Risk Factors in the 2024 Annual Report on Form 10-K</w:t>
      </w:r>
      <w:r>
        <w:rPr>
          <w:rFonts w:ascii="Times New Roman;serif" w:hAnsi="Times New Roman;serif"/>
          <w:b/>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risks related to the uncertainty regarding the future of international trade agreements and the United States’ position on international trade. Significant political, trade, regulatory developments, and other circumstances beyond our control, are expected to have a material impact on our business, financial condition, and results of operations if we are unable to successfully implement various mitigating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almost all of its products from suppliers located outside the United States, primarily in China. Additionally, the Company has a presence in international markets through subsidiaries and affiliate companies that are based outside of the United States, including in China. As a result of the tariffs announced on April 2, 2025 by the Trump Administration, we are anticipating increased supply chain challenges, cost volatility, and consumer and economic uncertainty due to rapid changes in global trade policies. We continue to analyze the impact of these tariffs on our business and actions we can take to minimize their impact. We expect these new tariffs to have a material impact on our business and results of operations in fiscal year 2025 and in the longer term if we are unable to successfully implement various mitigating actions noted below.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Uncertainty regarding policies of the Trump Administration with respect to the future of trade partnerships and relations, including as a result of the tariffs announced on April 2, 2025 and additional tariffs that may be announced or implemented in the future, are expected to impact our market share, revenue and gross margins and reduce our competitiveness in countries that will be affected by those policies. In addition, these developments may also negatively impact the carrying value of our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tariffs announced on April 2, 2025 or additional tariffs or other restrictions, quotas, embargoes, or safeguards that are placed on goods imported into the United States, or any related counter-measures that are taken by other countries, we expect to take actions which may include, but not be limited to, pricing of our products, product configurations, and inventory management. The actions that we take may not fully offset the impact of tariffs and, as a result, our market share, revenue, gross margins, and results of operations may be materially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the Exhibit Index below, which is incorporated by reference herein.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025.htm">
              <w:r>
                <w:rPr>
                  <w:rStyle w:val="InternetLink"/>
                  <w:rFonts w:ascii="Times New Roman;serif" w:hAnsi="Times New Roman;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025.htm">
              <w:r>
                <w:rPr>
                  <w:rStyle w:val="InternetLink"/>
                  <w:rFonts w:ascii="Times New Roman;serif" w:hAnsi="Times New Roman;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6302025.htm">
              <w:r>
                <w:rPr>
                  <w:rStyle w:val="InternetLink"/>
                  <w:rFonts w:ascii="Times New Roman;serif" w:hAnsi="Times New Roman;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06c716dbe6334425a52e464a6dc326d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970"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07"/>
        <w:gridCol w:w="407"/>
        <w:gridCol w:w="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7,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Treasurer and Chief Financial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Laurence Winoker,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periodic report on Form 10-Q for the period ended June 30, 2025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24244</Words>
  <Characters>132597</Characters>
  <CharactersWithSpaces>155321</CharactersWithSpaces>
  <Paragraphs>2561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