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0-19254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1000 Stewart Avenue, Garden City, New York 11530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(516) 683-6000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July 31, 2023 was 21,814,236.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6"/>
        <w:gridCol w:w="252"/>
        <w:gridCol w:w="255"/>
        <w:gridCol w:w="2898"/>
        <w:gridCol w:w="2846"/>
        <w:gridCol w:w="2855"/>
        <w:gridCol w:w="237"/>
        <w:gridCol w:w="237"/>
        <w:gridCol w:w="339"/>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0">
              <w:r>
                <w:rPr>
                  <w:rStyle w:val="InternetLink"/>
                  <w:rFonts w:ascii="Times New Roman;sans-serif" w:hAnsi="Times New Roman;sans-serif"/>
                  <w:b/>
                  <w:color w:val="0000FF"/>
                  <w:sz w:val="20"/>
                  <w:u w:val="single"/>
                </w:rPr>
                <w:t>Financial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3">
              <w:r>
                <w:rPr>
                  <w:rStyle w:val="InternetLink"/>
                  <w:rFonts w:ascii="Times New Roman;sans-serif" w:hAnsi="Times New Roman;sans-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6">
              <w:r>
                <w:rPr>
                  <w:rStyle w:val="InternetLink"/>
                  <w:rFonts w:ascii="Times New Roman;sans-serif" w:hAnsi="Times New Roman;sans-serif"/>
                  <w:b w:val="false"/>
                  <w:color w:val="000080"/>
                  <w:sz w:val="20"/>
                  <w:u w:val="single"/>
                </w:rPr>
                <w:t xml:space="preserve">Condensed Consolidated Balance Sheets – </w:t>
              </w:r>
            </w:hyperlink>
            <w:r>
              <w:rPr>
                <w:rFonts w:ascii="Times New Roman;sans-serif" w:hAnsi="Times New Roman;sans-serif"/>
                <w:b w:val="false"/>
                <w:color w:val="0000FF"/>
                <w:sz w:val="20"/>
                <w:u w:val="single"/>
              </w:rPr>
              <w:t>June 30, 2023</w:t>
            </w:r>
            <w:hyperlink w:anchor="i5743fb67c28d451faf3104e72984b85b_16">
              <w:r>
                <w:rPr>
                  <w:rStyle w:val="InternetLink"/>
                  <w:rFonts w:ascii="Times New Roman;sans-serif" w:hAnsi="Times New Roman;sans-serif"/>
                  <w:b w:val="false"/>
                  <w:color w:val="000080"/>
                  <w:sz w:val="20"/>
                  <w:u w:val="single"/>
                </w:rPr>
                <w:t xml:space="preserve"> (unaudited) and </w:t>
              </w:r>
            </w:hyperlink>
            <w:r>
              <w:rPr>
                <w:rFonts w:ascii="Times New Roman;sans-serif" w:hAnsi="Times New Roman;sans-serif"/>
                <w:b w:val="false"/>
                <w:color w:val="0000FF"/>
                <w:sz w:val="20"/>
                <w:u w:val="single"/>
              </w:rPr>
              <w:t>December 31, 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6">
              <w:r>
                <w:rPr>
                  <w:rStyle w:val="InternetLink"/>
                  <w:rFonts w:ascii="Times New Roman;sans-serif" w:hAnsi="Times New Roman;sans-serif"/>
                  <w:b w:val="false"/>
                  <w:color w:val="0000FF"/>
                  <w:sz w:val="20"/>
                  <w:u w:val="single"/>
                </w:rPr>
                <w:t>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9">
              <w:r>
                <w:rPr>
                  <w:rStyle w:val="InternetLink"/>
                  <w:rFonts w:ascii="Times New Roman;sans-serif" w:hAnsi="Times New Roman;sans-serif"/>
                  <w:b w:val="false"/>
                  <w:color w:val="000080"/>
                  <w:sz w:val="20"/>
                  <w:u w:val="single"/>
                </w:rPr>
                <w:t xml:space="preserve">Condensed Consolidated Statements of Operations (unaudited) – </w:t>
              </w:r>
            </w:hyperlink>
            <w:r>
              <w:rPr>
                <w:rFonts w:ascii="Times New Roman;sans-serif" w:hAnsi="Times New Roman;sans-serif"/>
                <w:b w:val="false"/>
                <w:color w:val="0000FF"/>
                <w:sz w:val="20"/>
                <w:u w:val="single"/>
              </w:rPr>
              <w:t>Three and Six Months Ended</w:t>
            </w:r>
            <w:hyperlink w:anchor="i5743fb67c28d451faf3104e72984b85b_19">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June 30, 2023</w:t>
            </w:r>
            <w:hyperlink w:anchor="i5743fb67c28d451faf3104e72984b85b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9">
              <w:r>
                <w:rPr>
                  <w:rStyle w:val="InternetLink"/>
                  <w:rFonts w:ascii="Times New Roman;sans-serif" w:hAnsi="Times New Roman;sans-serif"/>
                  <w:b w:val="false"/>
                  <w:color w:val="0000FF"/>
                  <w:sz w:val="20"/>
                  <w:u w:val="single"/>
                </w:rPr>
                <w:t>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22">
              <w:r>
                <w:rPr>
                  <w:rStyle w:val="InternetLink"/>
                  <w:rFonts w:ascii="Times New Roman;sans-serif" w:hAnsi="Times New Roman;sans-serif"/>
                  <w:b w:val="false"/>
                  <w:color w:val="000080"/>
                  <w:sz w:val="20"/>
                  <w:u w:val="single"/>
                </w:rPr>
                <w:t xml:space="preserve">Condensed Consolidated Statements of Comprehensive </w:t>
              </w:r>
            </w:hyperlink>
            <w:r>
              <w:rPr>
                <w:rFonts w:ascii="Times New Roman;sans-serif" w:hAnsi="Times New Roman;sans-serif"/>
                <w:b w:val="false"/>
                <w:color w:val="0000FF"/>
                <w:sz w:val="20"/>
                <w:u w:val="single"/>
              </w:rPr>
              <w:t>Loss</w:t>
            </w:r>
            <w:hyperlink w:anchor="i5743fb67c28d451faf3104e72984b85b_22">
              <w:r>
                <w:rPr>
                  <w:rStyle w:val="InternetLink"/>
                  <w:rFonts w:ascii="Times New Roman;sans-serif" w:hAnsi="Times New Roman;sans-serif"/>
                  <w:b w:val="false"/>
                  <w:color w:val="000080"/>
                  <w:sz w:val="20"/>
                  <w:u w:val="single"/>
                </w:rPr>
                <w:t xml:space="preserve"> (unaudited) –</w:t>
              </w:r>
            </w:hyperlink>
            <w:r>
              <w:rPr>
                <w:rFonts w:ascii="Times New Roman;sans-serif" w:hAnsi="Times New Roman;sans-serif"/>
                <w:b w:val="false"/>
                <w:color w:val="0000FF"/>
                <w:sz w:val="20"/>
                <w:u w:val="single"/>
              </w:rPr>
              <w:t xml:space="preserve"> Three and Six Months Ended June 30, 2023 and 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22">
              <w:r>
                <w:rPr>
                  <w:rStyle w:val="InternetLink"/>
                  <w:rFonts w:ascii="Times New Roman;sans-serif" w:hAnsi="Times New Roman;sans-serif"/>
                  <w:b w:val="false"/>
                  <w:color w:val="0000FF"/>
                  <w:sz w:val="20"/>
                  <w:u w:val="single"/>
                </w:rPr>
                <w:t>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25">
              <w:r>
                <w:rPr>
                  <w:rStyle w:val="InternetLink"/>
                  <w:rFonts w:ascii="Times New Roman;sans-serif" w:hAnsi="Times New Roman;sans-serif"/>
                  <w:b w:val="false"/>
                  <w:color w:val="000080"/>
                  <w:sz w:val="20"/>
                  <w:u w:val="single"/>
                </w:rPr>
                <w:t>Condensed Consolidated Statements of Stockholders’ Equity (unaudited) –</w:t>
              </w:r>
            </w:hyperlink>
            <w:r>
              <w:rPr>
                <w:rFonts w:ascii="Times New Roman;sans-serif" w:hAnsi="Times New Roman;sans-serif"/>
                <w:b w:val="false"/>
                <w:color w:val="0000FF"/>
                <w:sz w:val="20"/>
                <w:u w:val="single"/>
              </w:rPr>
              <w:t>Three and Six Months Ended June 30, 2023 and 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25">
              <w:r>
                <w:rPr>
                  <w:rStyle w:val="InternetLink"/>
                  <w:rFonts w:ascii="Times New Roman;sans-serif" w:hAnsi="Times New Roman;sans-serif"/>
                  <w:b w:val="false"/>
                  <w:color w:val="0000FF"/>
                  <w:sz w:val="20"/>
                  <w:u w:val="single"/>
                </w:rPr>
                <w:t>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28">
              <w:r>
                <w:rPr>
                  <w:rStyle w:val="InternetLink"/>
                  <w:rFonts w:ascii="Times New Roman;sans-serif" w:hAnsi="Times New Roman;sans-serif"/>
                  <w:b w:val="false"/>
                  <w:color w:val="000080"/>
                  <w:sz w:val="20"/>
                  <w:u w:val="single"/>
                </w:rPr>
                <w:t>Condensed Consolidated Statements of Cash Flows (unaudited) –</w:t>
              </w:r>
            </w:hyperlink>
            <w:r>
              <w:rPr>
                <w:rFonts w:ascii="Times New Roman;sans-serif" w:hAnsi="Times New Roman;sans-serif"/>
                <w:b w:val="false"/>
                <w:color w:val="0000FF"/>
                <w:sz w:val="20"/>
                <w:u w:val="single"/>
              </w:rPr>
              <w:t xml:space="preserve"> Six Months Ended June 30, 2023 and 2022</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28">
              <w:r>
                <w:rPr>
                  <w:rStyle w:val="InternetLink"/>
                  <w:rFonts w:ascii="Times New Roman;sans-serif" w:hAnsi="Times New Roman;sans-serif"/>
                  <w:b w:val="false"/>
                  <w:color w:val="0000FF"/>
                  <w:sz w:val="20"/>
                  <w:u w:val="single"/>
                </w:rPr>
                <w:t>6</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31">
              <w:r>
                <w:rPr>
                  <w:rStyle w:val="InternetLink"/>
                  <w:rFonts w:ascii="Times New Roman;sans-serif" w:hAnsi="Times New Roman;sans-serif"/>
                  <w:b w:val="false"/>
                  <w:color w:val="0000FF"/>
                  <w:sz w:val="20"/>
                  <w:u w:val="single"/>
                </w:rPr>
                <w:t>Notes to Condensed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31">
              <w:r>
                <w:rPr>
                  <w:rStyle w:val="InternetLink"/>
                  <w:rFonts w:ascii="Times New Roman;sans-serif" w:hAnsi="Times New Roman;sans-serif"/>
                  <w:b w:val="false"/>
                  <w:color w:val="0000FF"/>
                  <w:sz w:val="20"/>
                  <w:u w:val="single"/>
                </w:rPr>
                <w:t>7</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76">
              <w:r>
                <w:rPr>
                  <w:rStyle w:val="InternetLink"/>
                  <w:rFonts w:ascii="Times New Roman;sans-serif" w:hAnsi="Times New Roman;sans-serif"/>
                  <w:b w:val="false"/>
                  <w:color w:val="0000FF"/>
                  <w:sz w:val="20"/>
                  <w:u w:val="single"/>
                </w:rPr>
                <w:t>30</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12">
              <w:r>
                <w:rPr>
                  <w:rStyle w:val="InternetLink"/>
                  <w:rFonts w:ascii="Times New Roman;sans-serif" w:hAnsi="Times New Roman;sans-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12">
              <w:r>
                <w:rPr>
                  <w:rStyle w:val="InternetLink"/>
                  <w:rFonts w:ascii="Times New Roman;sans-serif" w:hAnsi="Times New Roman;sans-serif"/>
                  <w:b w:val="false"/>
                  <w:color w:val="0000FF"/>
                  <w:sz w:val="20"/>
                  <w:u w:val="single"/>
                </w:rPr>
                <w:t>44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15">
              <w:r>
                <w:rPr>
                  <w:rStyle w:val="InternetLink"/>
                  <w:rFonts w:ascii="Times New Roman;sans-serif" w:hAnsi="Times New Roman;sans-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15">
              <w:r>
                <w:rPr>
                  <w:rStyle w:val="InternetLink"/>
                  <w:rFonts w:ascii="Times New Roman;sans-serif" w:hAnsi="Times New Roman;sans-serif"/>
                  <w:b w:val="false"/>
                  <w:color w:val="0000FF"/>
                  <w:sz w:val="20"/>
                  <w:u w:val="single"/>
                </w:rPr>
                <w:t>44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18">
              <w:r>
                <w:rPr>
                  <w:rStyle w:val="InternetLink"/>
                  <w:rFonts w:ascii="Times New Roman;sans-serif" w:hAnsi="Times New Roman;sans-serif"/>
                  <w:b/>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21">
              <w:r>
                <w:rPr>
                  <w:rStyle w:val="InternetLink"/>
                  <w:rFonts w:ascii="Times New Roman;sans-serif" w:hAnsi="Times New Roman;sans-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18">
              <w:r>
                <w:rPr>
                  <w:rStyle w:val="InternetLink"/>
                  <w:rFonts w:ascii="Times New Roman;sans-serif" w:hAnsi="Times New Roman;sans-serif"/>
                  <w:b w:val="false"/>
                  <w:color w:val="0000FF"/>
                  <w:sz w:val="20"/>
                  <w:u w:val="single"/>
                </w:rPr>
                <w:t>44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99"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5743fb67c28d451faf3104e72984b85b_124">
              <w:r>
                <w:rPr>
                  <w:rStyle w:val="InternetLink"/>
                  <w:rFonts w:ascii="Times New Roman;sans-serif" w:hAnsi="Times New Roman;sans-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24">
              <w:r>
                <w:rPr>
                  <w:rStyle w:val="InternetLink"/>
                  <w:rFonts w:ascii="Times New Roman;sans-serif" w:hAnsi="Times New Roman;sans-serif"/>
                  <w:b w:val="false"/>
                  <w:color w:val="0000FF"/>
                  <w:sz w:val="20"/>
                  <w:u w:val="single"/>
                </w:rPr>
                <w:t>44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27">
              <w:r>
                <w:rPr>
                  <w:rStyle w:val="InternetLink"/>
                  <w:rFonts w:ascii="Times New Roman;sans-serif" w:hAnsi="Times New Roman;sans-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27">
              <w:r>
                <w:rPr>
                  <w:rStyle w:val="InternetLink"/>
                  <w:rFonts w:ascii="Times New Roman;sans-serif" w:hAnsi="Times New Roman;sans-serif"/>
                  <w:b w:val="false"/>
                  <w:color w:val="0000FF"/>
                  <w:sz w:val="20"/>
                  <w:u w:val="single"/>
                </w:rPr>
                <w:t>44</w:t>
              </w:r>
            </w:hyperlink>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859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30">
              <w:r>
                <w:rPr>
                  <w:rStyle w:val="InternetLink"/>
                  <w:rFonts w:ascii="Times New Roman;sans-serif" w:hAnsi="Times New Roman;sans-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30">
              <w:r>
                <w:rPr>
                  <w:rStyle w:val="InternetLink"/>
                  <w:rFonts w:ascii="Times New Roman;sans-serif" w:hAnsi="Times New Roman;sans-serif"/>
                  <w:b w:val="false"/>
                  <w:color w:val="0000FF"/>
                  <w:sz w:val="20"/>
                  <w:u w:val="single"/>
                </w:rPr>
                <w:t>45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33">
              <w:r>
                <w:rPr>
                  <w:rStyle w:val="InternetLink"/>
                  <w:rFonts w:ascii="Times New Roman;sans-serif" w:hAnsi="Times New Roman;sans-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33">
              <w:r>
                <w:rPr>
                  <w:rStyle w:val="InternetLink"/>
                  <w:rFonts w:ascii="Times New Roman;sans-serif" w:hAnsi="Times New Roman;sans-serif"/>
                  <w:b w:val="false"/>
                  <w:color w:val="0000FF"/>
                  <w:sz w:val="20"/>
                  <w:u w:val="single"/>
                </w:rPr>
                <w:t>46</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743fb67c28d451faf3104e72984b85b_136">
              <w:r>
                <w:rPr>
                  <w:rStyle w:val="InternetLink"/>
                  <w:rFonts w:ascii="Times New Roman;sans-serif" w:hAnsi="Times New Roman;sans-serif"/>
                  <w:b w:val="false"/>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743fb67c28d451faf3104e72984b85b_136">
              <w:r>
                <w:rPr>
                  <w:rStyle w:val="InternetLink"/>
                  <w:rFonts w:ascii="Times New Roman;sans-serif" w:hAnsi="Times New Roman;sans-serif"/>
                  <w:b w:val="false"/>
                  <w:color w:val="0000FF"/>
                  <w:sz w:val="20"/>
                  <w:u w:val="single"/>
                </w:rPr>
                <w:t>47</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3"/>
        <w:gridCol w:w="2253"/>
        <w:gridCol w:w="2263"/>
        <w:gridCol w:w="211"/>
        <w:gridCol w:w="826"/>
        <w:gridCol w:w="109"/>
        <w:gridCol w:w="109"/>
        <w:gridCol w:w="109"/>
        <w:gridCol w:w="109"/>
        <w:gridCol w:w="211"/>
        <w:gridCol w:w="826"/>
        <w:gridCol w:w="156"/>
      </w:tblGrid>
      <w:tr>
        <w:trPr/>
        <w:tc>
          <w:tcPr>
            <w:tcW w:w="302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$15,452 at June 30, 2023 and $14,606 at December 31, 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maturity of term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shares authorized: 100 shares of Series A and 2,000,000 shares of Series B;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50,000,000 at June 30, 2023 and December 31, 2022; shares issued and outstanding: 21,814,236 at June 30, 2023 and 21,779,799 at December 31, 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 retained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725,888 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9"/>
        <w:gridCol w:w="1412"/>
        <w:gridCol w:w="141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65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gain (loss) on interest rate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in (losses)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net of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225" w:type="dxa"/>
        <w:jc w:val="center"/>
        <w:tblInd w:w="0" w:type="dxa"/>
        <w:tblLayout w:type="fixed"/>
        <w:tblCellMar>
          <w:top w:w="28" w:type="dxa"/>
          <w:left w:w="28" w:type="dxa"/>
          <w:bottom w:w="28" w:type="dxa"/>
          <w:right w:w="28" w:type="dxa"/>
        </w:tblCellMar>
      </w:tblPr>
      <w:tblGrid>
        <w:gridCol w:w="1466"/>
        <w:gridCol w:w="1280"/>
        <w:gridCol w:w="1304"/>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retirement benefit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46"/>
        <w:gridCol w:w="568"/>
        <w:gridCol w:w="57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90"/>
        <w:gridCol w:w="980"/>
        <w:gridCol w:w="163"/>
        <w:gridCol w:w="109"/>
        <w:gridCol w:w="109"/>
        <w:gridCol w:w="109"/>
        <w:gridCol w:w="248"/>
        <w:gridCol w:w="839"/>
        <w:gridCol w:w="139"/>
        <w:gridCol w:w="109"/>
        <w:gridCol w:w="109"/>
        <w:gridCol w:w="109"/>
        <w:gridCol w:w="196"/>
        <w:gridCol w:w="736"/>
        <w:gridCol w:w="158"/>
      </w:tblGrid>
      <w:tr>
        <w:trPr/>
        <w:tc>
          <w:tcPr>
            <w:tcW w:w="7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Retained earnings (accumulated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(18,596)</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(34,486)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61"/>
        <w:gridCol w:w="677"/>
        <w:gridCol w:w="68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21"/>
        <w:gridCol w:w="729"/>
        <w:gridCol w:w="122"/>
        <w:gridCol w:w="109"/>
        <w:gridCol w:w="109"/>
        <w:gridCol w:w="109"/>
        <w:gridCol w:w="253"/>
        <w:gridCol w:w="858"/>
        <w:gridCol w:w="142"/>
        <w:gridCol w:w="109"/>
        <w:gridCol w:w="109"/>
        <w:gridCol w:w="109"/>
        <w:gridCol w:w="196"/>
        <w:gridCol w:w="736"/>
        <w:gridCol w:w="158"/>
      </w:tblGrid>
      <w:tr>
        <w:trPr/>
        <w:tc>
          <w:tcPr>
            <w:tcW w:w="86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Total</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(33,549)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255,646 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(33,028)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255,732 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(3,460)</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8,224 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(36,356)</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245,368 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Cash dividends declared per share of common stock were $0.085 and $0.085 in the six months ended June 30, 2023 and 2022, respectively.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LIFETIME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thousands)(unaudited)</w:t>
      </w:r>
    </w:p>
    <w:tbl>
      <w:tblPr>
        <w:tblW w:w="9878" w:type="dxa"/>
        <w:jc w:val="center"/>
        <w:tblInd w:w="0" w:type="dxa"/>
        <w:tblLayout w:type="fixed"/>
        <w:tblCellMar>
          <w:top w:w="28" w:type="dxa"/>
          <w:left w:w="28" w:type="dxa"/>
          <w:bottom w:w="28" w:type="dxa"/>
          <w:right w:w="28" w:type="dxa"/>
        </w:tblCellMar>
      </w:tblPr>
      <w:tblGrid>
        <w:gridCol w:w="2675"/>
        <w:gridCol w:w="2349"/>
        <w:gridCol w:w="2355"/>
        <w:gridCol w:w="211"/>
        <w:gridCol w:w="796"/>
        <w:gridCol w:w="109"/>
        <w:gridCol w:w="109"/>
        <w:gridCol w:w="109"/>
        <w:gridCol w:w="109"/>
        <w:gridCol w:w="211"/>
        <w:gridCol w:w="691"/>
        <w:gridCol w:w="154"/>
      </w:tblGrid>
      <w:tr>
        <w:trPr/>
        <w:tc>
          <w:tcPr>
            <w:tcW w:w="267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(gain) on interest rate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(recovery) for doubtful accounts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losses (earnings) from equity investment, net of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fair value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(excluding the effects of business acquisitions)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other current assets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 xml:space="preserve">NET CASH PROVIDED BY (USED IN) OPERATING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loan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 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 repurchase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on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SUMMARY OF ACCOUNTING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six months ended June 30, 2023 are not necessarily indicative of the results that may be expected for the year ending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2022 and 2021, net sales for the third and fourth quarters accounted for 54% and 56% of total annual net sales, respectively. The current market conditions and shifts in both consumer and retailer purchasing patterns has impacted the seasonality of the Company's net sales compared to historical trends. In anticipation of the pre-holiday shipping season, inventory levels increase primarily in the June through October time period. In 2023, the Company's inventory trends may deviate from historical trends due to a change in inventory strategy to react to the current market conditions impacting the Company and retailers.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 primarily of costs associated with the production and procurement of product, inbound freight costs, purchasing costs, royalties, and other product procurement related charges.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consist primarily of warehousing expenses and freight-out expenses. Handling costs of products sold are included in cost of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six months ended June 30, 2023. Pursuant to the Receivable Purchase Agreement, the Company sold to HSBC $33.5 million and $79.8 million of receivables during the three and six months ended June 30, 2022, respectively. Charges of $0.2 million and $0.3 million, respectively, related to the sale of the receivables were included in selling, general and administrative expenses in the unaudited condensed consolidated statements of operations for the three and six months ended June 30, 2022. At June 30, 2023 and 2022, zero and $25.6 million, respectively, of receivables sold were outstanding and due to HSBC from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$23.3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213,450 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222,209 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accounts for derivative instruments in accordance with Accounting Standard Codification (“ASC”) Topic 815, </w:t>
      </w:r>
      <w:r>
        <w:rPr>
          <w:rFonts w:ascii="Times New Roman;sans-serif" w:hAnsi="Times New Roman;sans-serif"/>
          <w:b w:val="false"/>
          <w:i/>
          <w:color w:val="000000"/>
          <w:sz w:val="20"/>
        </w:rPr>
        <w:t>Derivatives and Hedging (</w:t>
      </w:r>
      <w:r>
        <w:rPr>
          <w:color w:val="000000"/>
        </w:rPr>
        <w:t>“</w:t>
      </w:r>
      <w:r>
        <w:rPr>
          <w:rFonts w:ascii="Times New Roman;sans-serif" w:hAnsi="Times New Roman;sans-serif"/>
          <w:b w:val="false"/>
          <w:color w:val="000000"/>
          <w:sz w:val="20"/>
        </w:rPr>
        <w:t>ASC 815”</w:t>
      </w:r>
      <w:r>
        <w:rPr>
          <w:rFonts w:ascii="Times New Roman;sans-serif" w:hAnsi="Times New Roman;sans-serif"/>
          <w:b w:val="false"/>
          <w:i/>
          <w:color w:val="000000"/>
          <w:sz w:val="20"/>
        </w:rPr>
        <w:t>)</w:t>
      </w:r>
      <w:r>
        <w:rPr>
          <w:rFonts w:ascii="Times New Roman;sans-serif" w:hAnsi="Times New Roman;sans-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 intangible assets and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2022 by comparing the fair value of the reporting unit with its carrying value. The Company performed the analysis using a discounted cash flow and market multiple method. As of October 1, 2022, the fair value of the U.S. reporting unit exceeded the carrying value of goodwill by 10%.</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Should the carrying value of a reporting unit be in excess of the estimated fair value of that reporting unit, an impairment charge will be recorded to reduce the reporting unit to fair value.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evaluates qualitative factors to determine whether impairment indicators exist for its indefinite lived intangibles and performs quantitative tests if required. These tests can include the relief from royalty model or other valuation models. The Company completed the quantitative impairment analysis for its indefinite-lived assets as of October 1, 2022, by comparing the fair value of the indefinite-lived trade names to their respective carrying value using a relief from royalty method. As of October 1, 2022, the fair value of the Company’s indefinite-lived trade names exceeded their respective carrying values by 12%.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 to the unaudited condensed consolidated financial statements included in this Quarterly Report on Form 10-Q for additional information.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 healthcare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2022, the Company's U.S. segment incurred $0.4 million of restructuring expense in connection with the reorganization the U.S. segment's sales management structure. At June 30, 2023, the accrual balance was $0.2 million, and the remaining payments are expected to be paid within fiscal year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incurred $0.8 million of unallocated corporate expense related to the termination payment with its Executive Chairman, Jeffrey Siegel (the "Executive Chairman"). On November 1, 2022, the Company entered into a transition agreement with its Executive Chairman which terminated his employment with the Company, effective March 31, 2023. The employment agreement provided for a one-time termination payment. The one-time payment of $1.4 million was recognized over the remaining employment period with $0.6 million recognized in the fourth quarter of 2022. The termination payment was paid on April 7,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Adoption of 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the Company adopted ASU 2016-13, Measurement of Credit Losses on Financial Instruments. This guidance introduces a new model for recognizing credit losses on financial instruments based on an estimate of current expected credit losses, to include historical experience, current conditions and reasonable and supportable forecasts. The Company adopted this guidance on a modified retrospective basis and the adoption did not have a material impact on the Company’s condensed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recent accounting pronouncements were assessed and either determined to not be applicable or are expected to have a minimal effect on the Company’s financial position, results of operations,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$0.5 million and $0.9 million for the three and six months ended June 30, 2023, respectively and $1.0 million and $2.0 million for the three and six months ended June 30, 2022, respectively. Net sales exclude taxes that are collected from customers and remitted to the taxing authorities.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ans-serif" w:hAnsi="Times New Roman;sans-serif"/>
          <w:b w:val="false"/>
          <w:color w:val="000000"/>
          <w:sz w:val="20"/>
          <w:shd w:fill="FFFFFF" w:val="clear"/>
        </w:rPr>
        <w:t>Payment terms vary by customer, but generally range from 30 to 90 days or at the point of sale for the Company’s retail direct sale</w:t>
      </w:r>
      <w:r>
        <w:rPr>
          <w:rFonts w:ascii="Times New Roman;sans-serif" w:hAnsi="Times New Roman;sans-serif"/>
          <w:b w:val="false"/>
          <w:color w:val="000000"/>
          <w:sz w:val="20"/>
        </w:rPr>
        <w:t xml:space="preserve">s. </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incurs certain direct incremental costs to obtain contracts with customers, such as sales-related co</w:t>
      </w:r>
      <w:r>
        <w:rPr>
          <w:rFonts w:ascii="Times New Roman;sans-serif" w:hAnsi="Times New Roman;sans-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net sales disaggregated by segment, product category and geographic region for the three and six months ended June 30, 2023 and 2022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—ACQUISITIONS</w:t>
      </w:r>
    </w:p>
    <w:p>
      <w:pPr>
        <w:pStyle w:val="TextBody"/>
        <w:bidi w:val="0"/>
        <w:spacing w:lineRule="auto" w:line="288" w:before="240" w:after="283"/>
        <w:jc w:val="left"/>
        <w:rPr/>
      </w:pPr>
      <w:r>
        <w:rPr>
          <w:rFonts w:ascii="Times New Roman;sans-serif" w:hAnsi="Times New Roman;sans-serif"/>
          <w:b/>
          <w:color w:val="000000"/>
          <w:sz w:val="20"/>
        </w:rPr>
        <w:t>S</w:t>
      </w:r>
      <w:r>
        <w:rPr>
          <w:color w:val="000000"/>
        </w:rPr>
        <w:t>’</w:t>
      </w:r>
      <w:r>
        <w:rPr>
          <w:rFonts w:ascii="Times New Roman;sans-serif" w:hAnsi="Times New Roman;sans-serif"/>
          <w:b/>
          <w:color w:val="000000"/>
          <w:sz w:val="20"/>
        </w:rPr>
        <w:t>well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 2022, the Company acquired certain assets of Can't Live Without It, LLC. (dba S’well Bottle and which the Company refers to as “S’well”). The Company paid cash consideration of $18.0 million. The transaction also includes up to $5.0 million in contingent consideration, subject to the acquired brand reaching certain milestones.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was comprised of the following (in thousands): </w:t>
      </w:r>
    </w:p>
    <w:tbl>
      <w:tblPr>
        <w:tblW w:w="3980" w:type="dxa"/>
        <w:jc w:val="center"/>
        <w:tblInd w:w="0" w:type="dxa"/>
        <w:tblLayout w:type="fixed"/>
        <w:tblCellMar>
          <w:top w:w="28" w:type="dxa"/>
          <w:left w:w="28" w:type="dxa"/>
          <w:bottom w:w="28" w:type="dxa"/>
          <w:right w:w="28" w:type="dxa"/>
        </w:tblCellMar>
      </w:tblPr>
      <w:tblGrid>
        <w:gridCol w:w="1044"/>
        <w:gridCol w:w="917"/>
        <w:gridCol w:w="933"/>
        <w:gridCol w:w="211"/>
        <w:gridCol w:w="721"/>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paid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Reflects final working capital adjustment of $21k pursuant to the terms of the Asset Purchase Agreement.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contingent consideration represents the present value of estimated contingent payments of $0.7 million, related to the attainment of certain net sales contribution targets for the year 2024. Acquisition related costs of $0.9 million were recorded within selling, general and administrative expenses in the unaudited condensed consolidated statements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price was allocated based on the Company’s final estimate of the fair values of the assets acquired and liabilities assumed at the acquisition date,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5610" w:type="dxa"/>
        <w:jc w:val="left"/>
        <w:tblInd w:w="0" w:type="dxa"/>
        <w:tblLayout w:type="fixed"/>
        <w:tblCellMar>
          <w:top w:w="28" w:type="dxa"/>
          <w:left w:w="28" w:type="dxa"/>
          <w:bottom w:w="28" w:type="dxa"/>
          <w:right w:w="28" w:type="dxa"/>
        </w:tblCellMar>
      </w:tblPr>
      <w:tblGrid>
        <w:gridCol w:w="1223"/>
        <w:gridCol w:w="1074"/>
        <w:gridCol w:w="1078"/>
        <w:gridCol w:w="434"/>
        <w:gridCol w:w="1484"/>
        <w:gridCol w:w="317"/>
      </w:tblGrid>
      <w:tr>
        <w:trPr/>
        <w:tc>
          <w:tcPr>
            <w:tcW w:w="122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Purchase Price Allocation</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allocated value</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was accounted for as a business combination using the acquisition method of accounting in accordance with FASB ASC Topic 805, Business Combinations (“ASC Topic 805”), which established a new basis of accounting for all identifiable assets acquired and liabilities assumed at fair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and intangible assets are included in the U.S. segment. The trade name intangible asset is amortized on a straight-line basis over its estimated useful life of 12 years (see NOTE 6 — INTANGIBLE ASSETS). The goodwill recognized results from such factors as assembled workforce and the value of other synergies expected from combining operations with the Company. The associated goodwill is deductible for tax purposes over 15 years.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Selling, general and administrative expenses for the three and six months ended June 30, 2023 is a $(0.1) million credit to reflect the change in fair value of a contingent consideration obligation acquired by the Company in connection with its acquisition of S'well.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distribution facilities, a manufacturing plant, and certain vehicles.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and six months ended June 30, 2023 and 2022 were as follows (in thousands):</w:t>
      </w:r>
    </w:p>
    <w:tbl>
      <w:tblPr>
        <w:tblW w:w="7582"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lease related liabilities and assets for the six months ended June 30, 2023 and 2022 were as follows (in thousands):</w:t>
      </w:r>
    </w:p>
    <w:tbl>
      <w:tblPr>
        <w:tblW w:w="8464" w:type="dxa"/>
        <w:jc w:val="left"/>
        <w:tblInd w:w="0" w:type="dxa"/>
        <w:tblLayout w:type="fixed"/>
        <w:tblCellMar>
          <w:top w:w="28" w:type="dxa"/>
          <w:left w:w="28" w:type="dxa"/>
          <w:bottom w:w="28" w:type="dxa"/>
          <w:right w:w="28" w:type="dxa"/>
        </w:tblCellMar>
      </w:tblPr>
      <w:tblGrid>
        <w:gridCol w:w="2197"/>
        <w:gridCol w:w="1933"/>
        <w:gridCol w:w="1944"/>
        <w:gridCol w:w="216"/>
        <w:gridCol w:w="633"/>
        <w:gridCol w:w="112"/>
        <w:gridCol w:w="112"/>
        <w:gridCol w:w="112"/>
        <w:gridCol w:w="112"/>
        <w:gridCol w:w="112"/>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Cash paid for amounts included in the measurement of</w:t>
            </w:r>
            <w:r>
              <w:rPr>
                <w:color w:val="000000"/>
              </w:rPr>
              <w:t xml:space="preserve"> </w:t>
            </w:r>
            <w:r>
              <w:rPr>
                <w:rFonts w:ascii="Times New Roman;sans-serif" w:hAnsi="Times New Roman;sans-serif"/>
                <w:b/>
                <w:color w:val="000000"/>
                <w:sz w:val="20"/>
              </w:rPr>
              <w:t>lease liabilities: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700" w:type="dxa"/>
        <w:jc w:val="left"/>
        <w:tblInd w:w="0" w:type="dxa"/>
        <w:tblLayout w:type="fixed"/>
        <w:tblCellMar>
          <w:top w:w="28" w:type="dxa"/>
          <w:left w:w="28" w:type="dxa"/>
          <w:bottom w:w="28" w:type="dxa"/>
          <w:right w:w="28" w:type="dxa"/>
        </w:tblCellMar>
      </w:tblPr>
      <w:tblGrid>
        <w:gridCol w:w="1923"/>
        <w:gridCol w:w="1691"/>
        <w:gridCol w:w="1696"/>
        <w:gridCol w:w="216"/>
        <w:gridCol w:w="633"/>
        <w:gridCol w:w="112"/>
        <w:gridCol w:w="112"/>
        <w:gridCol w:w="112"/>
        <w:gridCol w:w="112"/>
        <w:gridCol w:w="112"/>
        <w:gridCol w:w="211"/>
        <w:gridCol w:w="61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leases as of June 30, 2023 were as follows (in thousands):</w:t>
      </w:r>
    </w:p>
    <w:tbl>
      <w:tblPr>
        <w:tblW w:w="5570" w:type="dxa"/>
        <w:jc w:val="left"/>
        <w:tblInd w:w="0" w:type="dxa"/>
        <w:tblLayout w:type="fixed"/>
        <w:tblCellMar>
          <w:top w:w="28" w:type="dxa"/>
          <w:left w:w="28" w:type="dxa"/>
          <w:bottom w:w="28" w:type="dxa"/>
          <w:right w:w="28" w:type="dxa"/>
        </w:tblCellMar>
      </w:tblPr>
      <w:tblGrid>
        <w:gridCol w:w="1623"/>
        <w:gridCol w:w="1426"/>
        <w:gridCol w:w="1435"/>
        <w:gridCol w:w="211"/>
        <w:gridCol w:w="721"/>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2023 (excluding the six months ended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lease terms and discount rates were as follows:</w:t>
      </w:r>
    </w:p>
    <w:tbl>
      <w:tblPr>
        <w:tblW w:w="5084" w:type="dxa"/>
        <w:jc w:val="left"/>
        <w:tblInd w:w="0" w:type="dxa"/>
        <w:tblLayout w:type="fixed"/>
        <w:tblCellMar>
          <w:top w:w="28" w:type="dxa"/>
          <w:left w:w="28" w:type="dxa"/>
          <w:bottom w:w="28" w:type="dxa"/>
          <w:right w:w="28" w:type="dxa"/>
        </w:tblCellMar>
      </w:tblPr>
      <w:tblGrid>
        <w:gridCol w:w="1416"/>
        <w:gridCol w:w="1243"/>
        <w:gridCol w:w="1255"/>
        <w:gridCol w:w="239"/>
        <w:gridCol w:w="239"/>
        <w:gridCol w:w="692"/>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six months ended June 30, 2023 and 2022 in the accompanying unaudited condensed consolidated statements of operations.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equity in (losses) earnings, net of taxes, for the three and six months ended June 30, 2023 and 2022 included the following: </w:t>
      </w:r>
    </w:p>
    <w:tbl>
      <w:tblPr>
        <w:tblW w:w="8715" w:type="dxa"/>
        <w:jc w:val="left"/>
        <w:tblInd w:w="0" w:type="dxa"/>
        <w:tblLayout w:type="fixed"/>
        <w:tblCellMar>
          <w:top w:w="28" w:type="dxa"/>
          <w:left w:w="28" w:type="dxa"/>
          <w:bottom w:w="28" w:type="dxa"/>
          <w:right w:w="28" w:type="dxa"/>
        </w:tblCellMar>
      </w:tblPr>
      <w:tblGrid>
        <w:gridCol w:w="1481"/>
        <w:gridCol w:w="1302"/>
        <w:gridCol w:w="1312"/>
        <w:gridCol w:w="211"/>
        <w:gridCol w:w="691"/>
        <w:gridCol w:w="109"/>
        <w:gridCol w:w="109"/>
        <w:gridCol w:w="109"/>
        <w:gridCol w:w="109"/>
        <w:gridCol w:w="211"/>
        <w:gridCol w:w="466"/>
        <w:gridCol w:w="109"/>
        <w:gridCol w:w="109"/>
        <w:gridCol w:w="109"/>
        <w:gridCol w:w="109"/>
        <w:gridCol w:w="211"/>
        <w:gridCol w:w="691"/>
        <w:gridCol w:w="109"/>
        <w:gridCol w:w="109"/>
        <w:gridCol w:w="109"/>
        <w:gridCol w:w="109"/>
        <w:gridCol w:w="211"/>
        <w:gridCol w:w="466"/>
        <w:gridCol w:w="154"/>
      </w:tblGrid>
      <w:tr>
        <w:trPr/>
        <w:tc>
          <w:tcPr>
            <w:tcW w:w="148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Vasconia equity in (losses) earnings, net of taxes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on investment in Vasconia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earnings, net of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value of the Company’s investment balance has been translated from Mexican Pesos (“MXN”) to U.S. Dollars (“USD”) using the spot rates of MXN 17.11 and MXN 19.47 at June 30, 2023 and December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proportionate share of Vasconia’s net (loss) income has been translated from MXN to USD using the following exchange rates:</w:t>
      </w:r>
    </w:p>
    <w:tbl>
      <w:tblPr>
        <w:tblW w:w="8174" w:type="dxa"/>
        <w:jc w:val="left"/>
        <w:tblInd w:w="0" w:type="dxa"/>
        <w:tblLayout w:type="fixed"/>
        <w:tblCellMar>
          <w:top w:w="28" w:type="dxa"/>
          <w:left w:w="28" w:type="dxa"/>
          <w:bottom w:w="28" w:type="dxa"/>
          <w:right w:w="28" w:type="dxa"/>
        </w:tblCellMar>
      </w:tblPr>
      <w:tblGrid>
        <w:gridCol w:w="1161"/>
        <w:gridCol w:w="1022"/>
        <w:gridCol w:w="1026"/>
        <w:gridCol w:w="218"/>
        <w:gridCol w:w="218"/>
        <w:gridCol w:w="178"/>
        <w:gridCol w:w="178"/>
        <w:gridCol w:w="178"/>
        <w:gridCol w:w="178"/>
        <w:gridCol w:w="218"/>
        <w:gridCol w:w="218"/>
        <w:gridCol w:w="178"/>
        <w:gridCol w:w="109"/>
        <w:gridCol w:w="109"/>
        <w:gridCol w:w="109"/>
        <w:gridCol w:w="392"/>
        <w:gridCol w:w="392"/>
        <w:gridCol w:w="400"/>
        <w:gridCol w:w="154"/>
        <w:gridCol w:w="154"/>
        <w:gridCol w:w="154"/>
        <w:gridCol w:w="370"/>
        <w:gridCol w:w="370"/>
        <w:gridCol w:w="490"/>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exchange rate (USD to MXN)</w:t>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17.68 - 18.66</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12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20.02 - 20.50</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the translation of the Company’s investment, as well as the translation of Vasconia’s balance sheet, resulted in an increase to the investment of $1.4 million and a decrease of $0.9 million during the six months ended June 30, 2023 and 2022, respectively. These translation effects are recorded in accumulated other comprehensive loss.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Summarized income statement information for the three and six months ended June 30, 2023 and 2022 for Vasconia in USD and MXN is as follows (in thousands):</w:t>
      </w:r>
    </w:p>
    <w:tbl>
      <w:tblPr>
        <w:tblW w:w="7590" w:type="dxa"/>
        <w:jc w:val="left"/>
        <w:tblInd w:w="0" w:type="dxa"/>
        <w:tblLayout w:type="fixed"/>
        <w:tblCellMar>
          <w:top w:w="28" w:type="dxa"/>
          <w:left w:w="28" w:type="dxa"/>
          <w:bottom w:w="28" w:type="dxa"/>
          <w:right w:w="28" w:type="dxa"/>
        </w:tblCellMar>
      </w:tblPr>
      <w:tblGrid>
        <w:gridCol w:w="740"/>
        <w:gridCol w:w="646"/>
        <w:gridCol w:w="6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4"/>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MXN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MXN</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85" w:type="dxa"/>
        <w:jc w:val="left"/>
        <w:tblInd w:w="0" w:type="dxa"/>
        <w:tblLayout w:type="fixed"/>
        <w:tblCellMar>
          <w:top w:w="28" w:type="dxa"/>
          <w:left w:w="28" w:type="dxa"/>
          <w:bottom w:w="28" w:type="dxa"/>
          <w:right w:w="28" w:type="dxa"/>
        </w:tblCellMar>
      </w:tblPr>
      <w:tblGrid>
        <w:gridCol w:w="936"/>
        <w:gridCol w:w="817"/>
        <w:gridCol w:w="827"/>
        <w:gridCol w:w="211"/>
        <w:gridCol w:w="72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MXN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MXN</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equity in (losses) earnings of Vasconia, net of taxes, of $(1.4) million and $(2.1) million for the three and six months ended June 30, 2023, respectively. The Company recorded equity in earnings of Vasconia, net of taxes, of $0.3 million and $0.8 million for the three and six months ended June 30, 2022, respectively.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within the Company’s unaudited condensed consolidated balance sheets were the following amounts due to and due from Vasconia (in thousands):</w:t>
      </w:r>
    </w:p>
    <w:tbl>
      <w:tblPr>
        <w:tblW w:w="9323" w:type="dxa"/>
        <w:jc w:val="left"/>
        <w:tblInd w:w="0" w:type="dxa"/>
        <w:tblLayout w:type="fixed"/>
        <w:tblCellMar>
          <w:top w:w="28" w:type="dxa"/>
          <w:left w:w="28" w:type="dxa"/>
          <w:bottom w:w="28" w:type="dxa"/>
          <w:right w:w="28" w:type="dxa"/>
        </w:tblCellMar>
      </w:tblPr>
      <w:tblGrid>
        <w:gridCol w:w="1071"/>
        <w:gridCol w:w="938"/>
        <w:gridCol w:w="946"/>
        <w:gridCol w:w="1014"/>
        <w:gridCol w:w="1014"/>
        <w:gridCol w:w="1017"/>
        <w:gridCol w:w="109"/>
        <w:gridCol w:w="109"/>
        <w:gridCol w:w="109"/>
        <w:gridCol w:w="347"/>
        <w:gridCol w:w="586"/>
        <w:gridCol w:w="192"/>
        <w:gridCol w:w="109"/>
        <w:gridCol w:w="109"/>
        <w:gridCol w:w="109"/>
        <w:gridCol w:w="443"/>
        <w:gridCol w:w="750"/>
        <w:gridCol w:w="351"/>
      </w:tblGrid>
      <w:tr>
        <w:trPr/>
        <w:tc>
          <w:tcPr>
            <w:tcW w:w="107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Vasconia due to and due from balances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due from Vasconia</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due to Vasconia</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(based on Level 1 inputs using the quoted stock price) of the Company’s investment in Vasconia declined in 2023. As a result of the decline in the quoted stock price, the continued decline in the operating results of Vasconia and the recent downgrade in Vasconia’s debt rating, the Company determined the decline in fair value was other than temporary. The Company reduced its investment by $4.4 million during the three months ended June 30, 2023 to its fair value, and recognized the non-cash impairment charge within equity in (losses) earnings in the unaudited condensed consolidated statement of operations. The carrying value of the Company’s investment in Vasconia, after the recorded impairment, was $5.3 million as of June 30, 2023. For the six months ended June 30, 2023, the Company has recognized non-cash impairment charges of $6.5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fair value (based on Level 1 inputs using the quoted stock price) of the Company’s investment in Vasconia was $15.0 million, respectively. The carrying value of the Company’s investment in Vasconia was $12.5 million as of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June 30, 2023 and December 31, 2022 (in thousands):</w:t>
      </w:r>
    </w:p>
    <w:tbl>
      <w:tblPr>
        <w:tblW w:w="10205" w:type="dxa"/>
        <w:jc w:val="left"/>
        <w:tblInd w:w="0" w:type="dxa"/>
        <w:tblLayout w:type="fixed"/>
        <w:tblCellMar>
          <w:top w:w="28" w:type="dxa"/>
          <w:left w:w="28" w:type="dxa"/>
          <w:bottom w:w="28" w:type="dxa"/>
          <w:right w:w="28" w:type="dxa"/>
        </w:tblCellMar>
      </w:tblPr>
      <w:tblGrid>
        <w:gridCol w:w="637"/>
        <w:gridCol w:w="559"/>
        <w:gridCol w:w="565"/>
        <w:gridCol w:w="196"/>
        <w:gridCol w:w="736"/>
        <w:gridCol w:w="109"/>
        <w:gridCol w:w="109"/>
        <w:gridCol w:w="109"/>
        <w:gridCol w:w="109"/>
        <w:gridCol w:w="109"/>
        <w:gridCol w:w="109"/>
        <w:gridCol w:w="219"/>
        <w:gridCol w:w="739"/>
        <w:gridCol w:w="123"/>
        <w:gridCol w:w="109"/>
        <w:gridCol w:w="109"/>
        <w:gridCol w:w="109"/>
        <w:gridCol w:w="196"/>
        <w:gridCol w:w="736"/>
        <w:gridCol w:w="109"/>
        <w:gridCol w:w="109"/>
        <w:gridCol w:w="109"/>
        <w:gridCol w:w="109"/>
        <w:gridCol w:w="196"/>
        <w:gridCol w:w="736"/>
        <w:gridCol w:w="109"/>
        <w:gridCol w:w="109"/>
        <w:gridCol w:w="109"/>
        <w:gridCol w:w="109"/>
        <w:gridCol w:w="109"/>
        <w:gridCol w:w="109"/>
        <w:gridCol w:w="219"/>
        <w:gridCol w:w="739"/>
        <w:gridCol w:w="123"/>
        <w:gridCol w:w="109"/>
        <w:gridCol w:w="109"/>
        <w:gridCol w:w="109"/>
        <w:gridCol w:w="196"/>
        <w:gridCol w:w="736"/>
        <w:gridCol w:w="156"/>
      </w:tblGrid>
      <w:tr>
        <w:trPr/>
        <w:tc>
          <w:tcPr>
            <w:tcW w:w="63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2605" w:type="dxa"/>
            <w:gridSpan w:val="10"/>
            <w:tcBorders/>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Goodwill</w:t>
            </w:r>
            <w:r>
              <w:rPr>
                <w:rFonts w:ascii="Times New Roman;sans-serif" w:hAnsi="Times New Roman;sans-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Indefinite-lived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Customer relationships</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(95,986)</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(88,595)</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gross and net value at June 30, 2023 and December 31, 2022 reflect a reduction of $91.7 million in impairment charges on goodwill and $1.0 million in impairment charges on indefinite-lived intangible assets.</w:t>
      </w:r>
    </w:p>
    <w:p>
      <w:pPr>
        <w:pStyle w:val="TextBody"/>
        <w:bidi w:val="0"/>
        <w:spacing w:lineRule="auto" w:line="288" w:before="60" w:after="283"/>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The gross value and accumulated amortization at June 30, 2023 reflect a reduction of $44.1 million and $(29.3) million, respectively, for the net $14.8 million previous impairment charge on finite-lived intangible assets within the international segment and a $6.5 million reduction in gross value for previous impairment charges on finite-lived intangible assets within the U.S.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 </w:t>
      </w:r>
    </w:p>
    <w:p>
      <w:pPr>
        <w:pStyle w:val="TextBody"/>
        <w:bidi w:val="0"/>
        <w:spacing w:lineRule="auto" w:line="288" w:before="24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loan agreement, dated as of March 2, 2018, (the “Term Loan” and together with the ABL Agreement, the “Debt Agreements”) provides for a senior secured term loan credit in the original principal amount of $275.0 million, which matures on February 28, 2025. On December 29, 2022, the Company entered into Amendment No. 1 to the Term Loan, which replaces the LIBOR-based interest rates with SOFR-based interest rates and modifies the provisions for determining the alternative rate of interest upon the occurrence of certain events relating to the availability of interest rate benchmarks.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unaudited condensed consolidated balance sheets. Additionally, the Term Loan requires quarterly payments, which commenced on June 30, 2018, of principal equal to 0.25% of the original aggregate principal amount of the Term Loan, which payments are to be adjusted from time to time to account for prepayments made. Per the Term Loan, when the Company makes an Excess Cash Flow payment, the payment is first applied to satisfy the next eight (8)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but limited to $220.0 million pursuant to the Term Loan.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3.75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and December 31, 2022, the total availability under the ABL Agreement was as follows (in thousands):</w:t>
      </w:r>
    </w:p>
    <w:tbl>
      <w:tblPr>
        <w:tblW w:w="719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17"/>
        <w:gridCol w:w="817"/>
        <w:gridCol w:w="121"/>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176,222 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$200.0 million commitment thereunder may not represent actual borrowing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was $1.5 million, net of fees and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096"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17"/>
        <w:gridCol w:w="817"/>
        <w:gridCol w:w="121"/>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242,857 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June 30, 2023 represents the Company’s estimate for the 2024 Excess Cash Flow Payment. There was no Excess Cash Flow payment due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2023 was 4.93%. The Company paid a commitment fee of 0.25% during the six months ended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2.5% or (ii) SOFR for the applicable interest period, multiplied by any statutory reserve rate, but not less than 1.0%, plus a margin of 3.5%. The interest rate on outstanding borrowings under the Term Loan at June 30, 2023 was 8.72%.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in compliance with the covenants of the Debt Agreements at June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that it will continue to borrow, subject to availability, and repay funds under the ABL Agreement based on working capital and other corporate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8</w:t>
      </w:r>
      <w:r>
        <w:rPr>
          <w:color w:val="000000"/>
        </w:rPr>
        <w:t xml:space="preserve"> — </w:t>
      </w:r>
      <w:r>
        <w:rPr>
          <w:rFonts w:ascii="Times New Roman;sans-serif" w:hAnsi="Times New Roman;sans-serif"/>
          <w:b/>
          <w:color w:val="000000"/>
          <w:sz w:val="20"/>
        </w:rPr>
        <w:t xml:space="preserve">DERIVATIVES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total outstanding notional value of interest rate swaps was $25.0 million at June 30, 2023. These non-designated interest rate swaps were entered into in June 2019 and serve as cash flow hedges of the Company’s exposure to the variability of the payment of interest on a portion of its Term Loan borrowings and expire in February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Exchange Contracts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gross notional value of foreign exchange contracts at June 30, 2023 was $7.0 million. These foreign exchange contracts have been designated as hedges in order to apply hedge accounting.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2023,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presented as follows (in thousands):</w:t>
      </w:r>
    </w:p>
    <w:tbl>
      <w:tblPr>
        <w:tblW w:w="9817" w:type="dxa"/>
        <w:jc w:val="left"/>
        <w:tblInd w:w="0" w:type="dxa"/>
        <w:tblLayout w:type="fixed"/>
        <w:tblCellMar>
          <w:top w:w="28" w:type="dxa"/>
          <w:left w:w="28" w:type="dxa"/>
          <w:bottom w:w="28" w:type="dxa"/>
          <w:right w:w="28" w:type="dxa"/>
        </w:tblCellMar>
      </w:tblPr>
      <w:tblGrid>
        <w:gridCol w:w="1249"/>
        <w:gridCol w:w="1098"/>
        <w:gridCol w:w="1102"/>
        <w:gridCol w:w="1014"/>
        <w:gridCol w:w="1014"/>
        <w:gridCol w:w="1017"/>
        <w:gridCol w:w="109"/>
        <w:gridCol w:w="109"/>
        <w:gridCol w:w="109"/>
        <w:gridCol w:w="310"/>
        <w:gridCol w:w="642"/>
        <w:gridCol w:w="172"/>
        <w:gridCol w:w="109"/>
        <w:gridCol w:w="109"/>
        <w:gridCol w:w="109"/>
        <w:gridCol w:w="392"/>
        <w:gridCol w:w="843"/>
        <w:gridCol w:w="310"/>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8856" w:type="dxa"/>
        <w:jc w:val="left"/>
        <w:tblInd w:w="0" w:type="dxa"/>
        <w:tblLayout w:type="fixed"/>
        <w:tblCellMar>
          <w:top w:w="28" w:type="dxa"/>
          <w:left w:w="28" w:type="dxa"/>
          <w:bottom w:w="28" w:type="dxa"/>
          <w:right w:w="28" w:type="dxa"/>
        </w:tblCellMar>
      </w:tblPr>
      <w:tblGrid>
        <w:gridCol w:w="1352"/>
        <w:gridCol w:w="1189"/>
        <w:gridCol w:w="1193"/>
        <w:gridCol w:w="599"/>
        <w:gridCol w:w="599"/>
        <w:gridCol w:w="601"/>
        <w:gridCol w:w="109"/>
        <w:gridCol w:w="109"/>
        <w:gridCol w:w="109"/>
        <w:gridCol w:w="256"/>
        <w:gridCol w:w="727"/>
        <w:gridCol w:w="142"/>
        <w:gridCol w:w="109"/>
        <w:gridCol w:w="109"/>
        <w:gridCol w:w="109"/>
        <w:gridCol w:w="334"/>
        <w:gridCol w:w="948"/>
        <w:gridCol w:w="262"/>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June 30, 2023, the Company did not anticipate non-performance by any of its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realized and unrealized, related to the Company’s derivative financial instruments designated as hedging instruments are recognized in other comprehensive income (loss), net of taxes, as follows (in thousands):</w:t>
      </w:r>
    </w:p>
    <w:tbl>
      <w:tblPr>
        <w:tblW w:w="8039" w:type="dxa"/>
        <w:jc w:val="left"/>
        <w:tblInd w:w="0" w:type="dxa"/>
        <w:tblLayout w:type="fixed"/>
        <w:tblCellMar>
          <w:top w:w="28" w:type="dxa"/>
          <w:left w:w="28" w:type="dxa"/>
          <w:bottom w:w="28" w:type="dxa"/>
          <w:right w:w="28" w:type="dxa"/>
        </w:tblCellMar>
      </w:tblPr>
      <w:tblGrid>
        <w:gridCol w:w="1338"/>
        <w:gridCol w:w="1172"/>
        <w:gridCol w:w="1179"/>
        <w:gridCol w:w="196"/>
        <w:gridCol w:w="496"/>
        <w:gridCol w:w="109"/>
        <w:gridCol w:w="109"/>
        <w:gridCol w:w="109"/>
        <w:gridCol w:w="109"/>
        <w:gridCol w:w="196"/>
        <w:gridCol w:w="421"/>
        <w:gridCol w:w="109"/>
        <w:gridCol w:w="109"/>
        <w:gridCol w:w="109"/>
        <w:gridCol w:w="109"/>
        <w:gridCol w:w="196"/>
        <w:gridCol w:w="631"/>
        <w:gridCol w:w="109"/>
        <w:gridCol w:w="109"/>
        <w:gridCol w:w="109"/>
        <w:gridCol w:w="109"/>
        <w:gridCol w:w="196"/>
        <w:gridCol w:w="55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gains and losses on the interest rate swaps that are reported in other comprehensive income (loss) are reclassified into earnings as the interest expense on the debt is recognized. The Company’s interest rate swaps that were designated as hedging instruments had an aggregate notional value of $25.0 million and matured during the three months ended March 31,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foreign exchange contracts that are reported in other comprehensive income (loss) are reclassified into cost of sales as the underlying inventory purchased is sold.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the Company reclassified $0.04 million of cash flow hedges in accumulated other comprehensive losses to earnings. This was a gain of $0.04 million related to foreign exchange contracts recognized in cost of sales. During the six months ended June 30, 2023, the Company reclassified $0.9 million of cash flow hedges in accumulated other comprehensive losses to earnings. This was comprised of a gain of $0.1 million related to realized interest rate swap and a gain of $0.8 million related to foreign exchange contracts recognized in cost of sales. At June 30, 2023, the estimated amount of existing net losses expected to be reclassified into earnings within the next 12 months was $0.6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2022, the Company reclassified $0.1 million of cash flow hedges in accumulated other comprehensive losses to earnings. This was comprised of $0.1 million related to realized interest rate swap losses and a gain of $0.2 million related to foreign exchange contracts recognized in cost of sales. During the six months ended June 30, 2022, the Company reclassified $0.02 million of cash flow hedges in accumulated other comprehensive losses to earnings. This was comprised of a $0.3 million related to realized interest rate swap losses and a gain of $0.3 million related to foreign exchange contracts recognized in cost of sales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mark to market (losses) gains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14"/>
        <w:gridCol w:w="889"/>
        <w:gridCol w:w="894"/>
        <w:gridCol w:w="1003"/>
        <w:gridCol w:w="1003"/>
        <w:gridCol w:w="1007"/>
        <w:gridCol w:w="109"/>
        <w:gridCol w:w="109"/>
        <w:gridCol w:w="109"/>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55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gain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97" w:type="dxa"/>
            <w:gridSpan w:val="3"/>
            <w:tcBorders/>
            <w:vAlign w:val="center"/>
          </w:tcPr>
          <w:p>
            <w:pPr>
              <w:pStyle w:val="TableContents"/>
              <w:bidi w:val="0"/>
              <w:spacing w:before="0" w:after="283"/>
              <w:jc w:val="left"/>
              <w:rPr>
                <w:sz w:val="4"/>
                <w:szCs w:val="4"/>
              </w:rPr>
            </w:pPr>
            <w:r>
              <w:rPr>
                <w:sz w:val="4"/>
                <w:szCs w:val="4"/>
              </w:rPr>
            </w:r>
          </w:p>
        </w:tc>
        <w:tc>
          <w:tcPr>
            <w:tcW w:w="3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9</w:t>
      </w:r>
      <w:r>
        <w:rPr>
          <w:color w:val="000000"/>
        </w:rPr>
        <w:t xml:space="preserve"> — </w:t>
      </w:r>
      <w:r>
        <w:rPr>
          <w:rFonts w:ascii="Times New Roman;sans-serif" w:hAnsi="Times New Roman;sans-serif"/>
          <w:b/>
          <w:color w:val="000000"/>
          <w:sz w:val="20"/>
        </w:rPr>
        <w:t>STOCK COMPENSATION</w:t>
      </w:r>
    </w:p>
    <w:p>
      <w:pPr>
        <w:pStyle w:val="TextBody"/>
        <w:bidi w:val="0"/>
        <w:spacing w:lineRule="auto" w:line="288" w:before="120" w:after="283"/>
        <w:jc w:val="left"/>
        <w:rPr/>
      </w:pPr>
      <w:r>
        <w:rPr>
          <w:rFonts w:ascii="Times New Roman;sans-serif" w:hAnsi="Times New Roman;sans-serif"/>
          <w:b w:val="false"/>
          <w:color w:val="000000"/>
          <w:sz w:val="20"/>
        </w:rPr>
        <w:t>As of June 30, 2023, there were 618,812 shares available for the grant of awards under the Company's Amended and Restated 2000 Long Term Incentive Plan (</w:t>
      </w:r>
      <w:r>
        <w:rPr>
          <w:color w:val="000000"/>
        </w:rPr>
        <w:t>“</w:t>
      </w:r>
      <w:r>
        <w:rPr>
          <w:rFonts w:ascii="Times New Roman;sans-serif" w:hAnsi="Times New Roman;sans-serif"/>
          <w:b w:val="false"/>
          <w:color w:val="000000"/>
          <w:sz w:val="20"/>
        </w:rPr>
        <w:t>Plan</w:t>
      </w:r>
      <w:r>
        <w:rPr>
          <w:color w:val="000000"/>
        </w:rPr>
        <w:t>”</w:t>
      </w:r>
      <w:r>
        <w:rPr>
          <w:rFonts w:ascii="Times New Roman;sans-serif" w:hAnsi="Times New Roman;sans-serif"/>
          <w:b w:val="false"/>
          <w:color w:val="000000"/>
          <w:sz w:val="20"/>
        </w:rPr>
        <w:t>), assuming maximum performance of performance-based awards.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and related information for the six months ended June 30, 2023 is as follows:</w:t>
      </w:r>
    </w:p>
    <w:tbl>
      <w:tblPr>
        <w:tblW w:w="10205" w:type="dxa"/>
        <w:jc w:val="left"/>
        <w:tblInd w:w="0" w:type="dxa"/>
        <w:tblLayout w:type="fixed"/>
        <w:tblCellMar>
          <w:top w:w="28" w:type="dxa"/>
          <w:left w:w="28" w:type="dxa"/>
          <w:bottom w:w="28" w:type="dxa"/>
          <w:right w:w="28" w:type="dxa"/>
        </w:tblCellMar>
      </w:tblPr>
      <w:tblGrid>
        <w:gridCol w:w="1799"/>
        <w:gridCol w:w="1553"/>
        <w:gridCol w:w="1556"/>
        <w:gridCol w:w="276"/>
        <w:gridCol w:w="595"/>
        <w:gridCol w:w="109"/>
        <w:gridCol w:w="109"/>
        <w:gridCol w:w="109"/>
        <w:gridCol w:w="109"/>
        <w:gridCol w:w="252"/>
        <w:gridCol w:w="717"/>
        <w:gridCol w:w="142"/>
        <w:gridCol w:w="109"/>
        <w:gridCol w:w="109"/>
        <w:gridCol w:w="109"/>
        <w:gridCol w:w="325"/>
        <w:gridCol w:w="325"/>
        <w:gridCol w:w="326"/>
        <w:gridCol w:w="109"/>
        <w:gridCol w:w="109"/>
        <w:gridCol w:w="109"/>
        <w:gridCol w:w="323"/>
        <w:gridCol w:w="670"/>
        <w:gridCol w:w="256"/>
      </w:tblGrid>
      <w:tr>
        <w:trPr/>
        <w:tc>
          <w:tcPr>
            <w:tcW w:w="179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 xml:space="preserve">value </w:t>
              <w:br/>
              <w:t>(in thousands)</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January 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Expirations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June 30,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exercisable, June 30, 2023</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887,875 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stock option expense remaining (in thousands)</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that would have been received by the option holders had all option holders exercised their stock options on June 30, 2023. The intrinsic value is calculated for each in-the-money stock option as the difference between the closing price of the Company’s common stock on June 30, 2023 and the exercise price.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8, 2023, the exercise period for the Executive Chairman’s outstanding vested stock options were extended to remain exercisable until ninety days following termination of his service on the Company's Board of Directors (the "Board"). The outstanding stock options remain subject to original expiration dates of such awards. The Company recorded $0.1 million of stock compensation expense in connection with this extension during the three months ended March 31,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activity and related information for the six months ended June 30, 2023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59"/>
        <w:gridCol w:w="737"/>
        <w:gridCol w:w="205"/>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January 1, 2023</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484,143 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333,300 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(212,037)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June 30, 2023</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598,623 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4,553 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that vested during the six months ended June 30, 2023 was $1.2 million.</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The shares are subject to the terms and conditions of the Company’s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performance-based award activity and related information for the six months ended June 30, 2023 is as follows:</w:t>
      </w:r>
    </w:p>
    <w:tbl>
      <w:tblPr>
        <w:tblW w:w="8156" w:type="dxa"/>
        <w:jc w:val="left"/>
        <w:tblInd w:w="0" w:type="dxa"/>
        <w:tblLayout w:type="fixed"/>
        <w:tblCellMar>
          <w:top w:w="28" w:type="dxa"/>
          <w:left w:w="28" w:type="dxa"/>
          <w:bottom w:w="28" w:type="dxa"/>
          <w:right w:w="28" w:type="dxa"/>
        </w:tblCellMar>
      </w:tblPr>
      <w:tblGrid>
        <w:gridCol w:w="1989"/>
        <w:gridCol w:w="1746"/>
        <w:gridCol w:w="1754"/>
        <w:gridCol w:w="259"/>
        <w:gridCol w:w="736"/>
        <w:gridCol w:w="144"/>
        <w:gridCol w:w="109"/>
        <w:gridCol w:w="109"/>
        <w:gridCol w:w="109"/>
        <w:gridCol w:w="259"/>
        <w:gridCol w:w="737"/>
        <w:gridCol w:w="205"/>
      </w:tblGrid>
      <w:tr>
        <w:trPr/>
        <w:tc>
          <w:tcPr>
            <w:tcW w:w="19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based stock</w:t>
            </w:r>
          </w:p>
          <w:p>
            <w:pPr>
              <w:pStyle w:val="TableContents"/>
              <w:bidi w:val="0"/>
              <w:spacing w:lineRule="auto" w:line="240" w:before="0" w:after="0"/>
              <w:jc w:val="center"/>
              <w:rPr/>
            </w:pPr>
            <w:r>
              <w:rPr>
                <w:rFonts w:ascii="Times New Roman;sans-serif" w:hAnsi="Times New Roman;sans-serif"/>
                <w:b/>
                <w:color w:val="000000"/>
                <w:sz w:val="18"/>
              </w:rPr>
              <w:t xml:space="preserve">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January 1, 2023</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Achieved performance over target </w:t>
            </w:r>
            <w:r>
              <w:rPr>
                <w:rFonts w:ascii="Times New Roman;sans-serif" w:hAnsi="Times New Roman;sans-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June 30, 2023</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487,722 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(3)</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 xml:space="preserve">Represents the number of shares earned over target for performance-based awards granted in 2020 based on performance goals attained. These awards vested in the six months ended June 30, 2023. </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The performance metric for the performance-based awards granted in 2022 is not probable of achievement. Therefore, no compensation expense has been recorded on these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performance-based awards that vested during the six months ended June 30, 2023 was $0.7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Cash-settled performance-based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The cash-settled performance-based awards are subject to the terms and conditions of the Company’s Plan.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cash-settled performance-based awards activity and related information for the six months ended June 30, 2023 is as follows:</w:t>
      </w:r>
    </w:p>
    <w:tbl>
      <w:tblPr>
        <w:tblW w:w="10205" w:type="dxa"/>
        <w:jc w:val="left"/>
        <w:tblInd w:w="0" w:type="dxa"/>
        <w:tblLayout w:type="fixed"/>
        <w:tblCellMar>
          <w:top w:w="28" w:type="dxa"/>
          <w:left w:w="28" w:type="dxa"/>
          <w:bottom w:w="28" w:type="dxa"/>
          <w:right w:w="28" w:type="dxa"/>
        </w:tblCellMar>
      </w:tblPr>
      <w:tblGrid>
        <w:gridCol w:w="1973"/>
        <w:gridCol w:w="1732"/>
        <w:gridCol w:w="1740"/>
        <w:gridCol w:w="931"/>
        <w:gridCol w:w="1931"/>
        <w:gridCol w:w="520"/>
        <w:gridCol w:w="109"/>
        <w:gridCol w:w="109"/>
        <w:gridCol w:w="109"/>
        <w:gridCol w:w="251"/>
        <w:gridCol w:w="598"/>
        <w:gridCol w:w="202"/>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Cash-settled performance-based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fair</w:t>
              <w:br/>
              <w:t>value</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January 1, 2023</w:t>
            </w:r>
          </w:p>
        </w:tc>
        <w:tc>
          <w:tcPr>
            <w:tcW w:w="2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85,776 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2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June 30, 2023</w:t>
            </w:r>
          </w:p>
        </w:tc>
        <w:tc>
          <w:tcPr>
            <w:tcW w:w="2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83,986 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performance metric for the cash-settled performance-based awards granted in 2022 is not probable of achievement. Therefore, no compensation expense has been recorded on these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 compensation expense as follows (in thousands):</w:t>
      </w:r>
    </w:p>
    <w:tbl>
      <w:tblPr>
        <w:tblW w:w="8684" w:type="dxa"/>
        <w:jc w:val="left"/>
        <w:tblInd w:w="0" w:type="dxa"/>
        <w:tblLayout w:type="fixed"/>
        <w:tblCellMar>
          <w:top w:w="28" w:type="dxa"/>
          <w:left w:w="28" w:type="dxa"/>
          <w:bottom w:w="28" w:type="dxa"/>
          <w:right w:w="28" w:type="dxa"/>
        </w:tblCellMar>
      </w:tblPr>
      <w:tblGrid>
        <w:gridCol w:w="1526"/>
        <w:gridCol w:w="1342"/>
        <w:gridCol w:w="1346"/>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Components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performance-based stock awards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for equity based awards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based stock option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Cash-settled performance-based awards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 Compensation Expense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loss per common share for the three and six months ended June 30, 2023 and 2022 are as follows:</w:t>
      </w:r>
    </w:p>
    <w:tbl>
      <w:tblPr>
        <w:tblW w:w="9284" w:type="dxa"/>
        <w:jc w:val="left"/>
        <w:tblInd w:w="0" w:type="dxa"/>
        <w:tblLayout w:type="fixed"/>
        <w:tblCellMar>
          <w:top w:w="28" w:type="dxa"/>
          <w:left w:w="28" w:type="dxa"/>
          <w:bottom w:w="28" w:type="dxa"/>
          <w:right w:w="28" w:type="dxa"/>
        </w:tblCellMar>
      </w:tblPr>
      <w:tblGrid>
        <w:gridCol w:w="1486"/>
        <w:gridCol w:w="1306"/>
        <w:gridCol w:w="1317"/>
        <w:gridCol w:w="211"/>
        <w:gridCol w:w="691"/>
        <w:gridCol w:w="109"/>
        <w:gridCol w:w="109"/>
        <w:gridCol w:w="109"/>
        <w:gridCol w:w="109"/>
        <w:gridCol w:w="211"/>
        <w:gridCol w:w="691"/>
        <w:gridCol w:w="109"/>
        <w:gridCol w:w="109"/>
        <w:gridCol w:w="109"/>
        <w:gridCol w:w="109"/>
        <w:gridCol w:w="211"/>
        <w:gridCol w:w="796"/>
        <w:gridCol w:w="109"/>
        <w:gridCol w:w="109"/>
        <w:gridCol w:w="109"/>
        <w:gridCol w:w="109"/>
        <w:gridCol w:w="211"/>
        <w:gridCol w:w="69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amounts)</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shares outstanding – Basic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 of dilutive securities: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Stock options and other stock awards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shares outstanding – Diluted</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Antidilutive Securities</w:t>
            </w:r>
            <w:r>
              <w:rPr>
                <w:rFonts w:ascii="Times New Roman;sans-serif" w:hAnsi="Times New Roman;sans-serif"/>
                <w:b/>
                <w:color w:val="000000"/>
                <w:sz w:val="13"/>
              </w:rPr>
              <w:t>(1)</w:t>
            </w:r>
          </w:p>
        </w:tc>
        <w:tc>
          <w:tcPr>
            <w:tcW w:w="10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of $1.2 million and income tax benefit of $0.1 million for the three and six months ended June 30, 2023, respectively, represent taxes on both U.S. and foreign earnings at a combined effective income tax provision rate of 212.3% and income tax benefit rate of 1.6%, respectively. The effective tax rate for the three months ended June 30, 2023 differs from the federal statutory income tax rate of 21.0% primarily due to state and local tax expense, the impact of non-deductible expenses, and foreign losses for which no tax benefit is recognized as such amounts are fully offset with a valuation allowance, partially offset by a benefit for federal credits. The effective tax rate for the six months ended June 30, 2023 differs from the federal statutory income tax rate of 21.0% primarily due to state and local tax expense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$0.1 million and income tax provision of $1.6 million for the three and six months ended June 30, 2022, respectively, represent taxes on both U.S. and foreign earnings at a combined effective income tax benefit rate of 2.5% and an income tax provision rate of (69.8)%, respectively. The negative rate for the six months ended June 30, 2022 reflects tax expense on a pretax financial reporting loss. The effective tax rate for the three and six months ended June 30, 2022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identified the following jurisdictions as “major” tax jurisdictions: U.S. Federal, California, Massachusetts, New Jersey, New York and the United Kingdom.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June 30, 2023 and June 30, 2022.</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 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tbl>
      <w:tblPr>
        <w:tblW w:w="8654" w:type="dxa"/>
        <w:jc w:val="left"/>
        <w:tblInd w:w="0" w:type="dxa"/>
        <w:tblLayout w:type="fixed"/>
        <w:tblCellMar>
          <w:top w:w="28" w:type="dxa"/>
          <w:left w:w="28" w:type="dxa"/>
          <w:bottom w:w="28" w:type="dxa"/>
          <w:right w:w="28" w:type="dxa"/>
        </w:tblCellMar>
      </w:tblPr>
      <w:tblGrid>
        <w:gridCol w:w="1097"/>
        <w:gridCol w:w="966"/>
        <w:gridCol w:w="9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4696"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31"/>
        <w:gridCol w:w="905"/>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608,496 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725,888 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13</w:t>
      </w:r>
      <w:r>
        <w:rPr>
          <w:color w:val="000000"/>
        </w:rPr>
        <w:t xml:space="preserve"> — </w:t>
      </w:r>
      <w:r>
        <w:rPr>
          <w:rFonts w:ascii="Times New Roman;sans-serif" w:hAnsi="Times New Roman;sans-serif"/>
          <w:b/>
          <w:color w:val="000000"/>
          <w:sz w:val="20"/>
        </w:rPr>
        <w:t>CONTINGENCIES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Wallace EPA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contamination at and from the Site and to determine the nature of the remedial action needed to address the contamination. The EPA requested access to the property occupied by WSPR to install monitoring wells and to undertake groundwater sampling as part of this expanded investigation. WSPR consented to the EPA’s access request, provided that the EPA received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2023.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EPA released its proposed plan for OU-2 in July 2019, and on September 30, 2019, the EPA issued the ROD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Since that time, WSPR has been actively participating in negotiations among the U.S. Government (the Department of Justice and the EPA) and other potentially responsible parties with respect to the remedial work at OU-1. While the U.S. Government and the potentially responsible parties (including WSPR) all signed the Consent Decree as of July 19, 2023, several procedural steps remain before the Consent Decree is effective. On July 26, 2023, the U.S. Government filed a complaint in United States District Court for the District of Puerto Rico for the purpose of seeking judicial approval of the Consent Decree, which is required for the Consent Decree to be effective. As required by applicable regulations, the U.S. Government simultaneously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lodged the Consent Decree for public comment. After conclusion of the comment period, the U.S. Government will file with the Court any comments received as well as responses to the comments. At that time, if appropriate, the U.S. Government will file a Motion to Enter the Consent Decree.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 Customs and Border Protection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period of investigation covers a five-year period, the Company is compiling supporting documentation packages for all tableware collections imported during this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CBP accepts the evidence presented, then no additional duties or penalties will be owed. If CBP rejects the Company’s position, then the estimated amount of duties that could be owed is $0.9 million. In such event, it is reasonably possible that additional penalties could be assessed, depending upon the level of culpability found, of up to $1.7 million for negligence and up to $3.4 million for gross negligence. In the event penalties are assessed, the Company will have the opportunity to further contest CBP’s findings and seek cancellation or mitigation of such assessments.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14 </w:t>
      </w:r>
      <w:r>
        <w:rPr>
          <w:color w:val="000000"/>
        </w:rPr>
        <w:t>— </w:t>
      </w:r>
      <w:r>
        <w:rPr>
          <w:rFonts w:ascii="Times New Roman;sans-serif" w:hAnsi="Times New Roman;sans-serif"/>
          <w:b/>
          <w:color w:val="000000"/>
          <w:sz w:val="20"/>
        </w:rPr>
        <w:t>OTHER</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declared in the six months ended June 30, 2023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3/8/2023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5/15/2023</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6/22/2023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8/15/2023</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Company paid dividends of $1.9 million. This included payments made on February 15, 2023 and May 15, 2023 of $0.9 million and $0.9 million to stockholders of record on February 1, 2023 and May 1, 2023, respectively, and payments of $0.1 million for dividends payable upon the vesting of restricted shares and performance shares.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June 30, 2023, the Company reduced retained earnings for the accrual of $1.0 million relating to the dividend payable on August 15,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2023, the Board declared a quarterly dividend of $0.0425 per share of common stock payable on November 15, 2023 to stockholders of record on November 1,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During the six months ended June 30, 2023, the Company repurchased 320,204 shares for a total cost of $2.5 million and thereafter retired the shares.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bl>
      <w:tblPr>
        <w:tblW w:w="6158" w:type="dxa"/>
        <w:jc w:val="left"/>
        <w:tblInd w:w="0" w:type="dxa"/>
        <w:tblLayout w:type="fixed"/>
        <w:tblCellMar>
          <w:top w:w="28" w:type="dxa"/>
          <w:left w:w="28" w:type="dxa"/>
          <w:bottom w:w="28" w:type="dxa"/>
          <w:right w:w="28" w:type="dxa"/>
        </w:tblCellMar>
      </w:tblPr>
      <w:tblGrid>
        <w:gridCol w:w="1441"/>
        <w:gridCol w:w="1263"/>
        <w:gridCol w:w="1270"/>
        <w:gridCol w:w="196"/>
        <w:gridCol w:w="646"/>
        <w:gridCol w:w="109"/>
        <w:gridCol w:w="109"/>
        <w:gridCol w:w="109"/>
        <w:gridCol w:w="109"/>
        <w:gridCol w:w="196"/>
        <w:gridCol w:w="55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accumulated other comprehensive loss, net</w:t>
      </w:r>
    </w:p>
    <w:tbl>
      <w:tblPr>
        <w:tblW w:w="10154" w:type="dxa"/>
        <w:jc w:val="left"/>
        <w:tblInd w:w="0" w:type="dxa"/>
        <w:tblLayout w:type="fixed"/>
        <w:tblCellMar>
          <w:top w:w="28" w:type="dxa"/>
          <w:left w:w="28" w:type="dxa"/>
          <w:bottom w:w="28" w:type="dxa"/>
          <w:right w:w="28" w:type="dxa"/>
        </w:tblCellMar>
      </w:tblPr>
      <w:tblGrid>
        <w:gridCol w:w="1818"/>
        <w:gridCol w:w="1601"/>
        <w:gridCol w:w="1605"/>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deferred (losses) gains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(losses) gains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of cash flow hedge </w:t>
            </w:r>
            <w:r>
              <w:rPr>
                <w:rFonts w:ascii="Times New Roman;sans-serif" w:hAnsi="Times New Roman;sans-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flow hedges, net of taxes of $0, $243, $(2), $413</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Amounts reclassified from accumulated other comprehensive loss:</w:t>
            </w:r>
            <w:r>
              <w:rPr>
                <w:color w:val="000000"/>
              </w:rPr>
              <w:t xml:space="preserve"> </w:t>
            </w:r>
            <w:r>
              <w:rPr>
                <w:rFonts w:ascii="Times New Roman;sans-serif" w:hAnsi="Times New Roman;sans-serif"/>
                <w:b w:val="false"/>
                <w:color w:val="000000"/>
                <w:sz w:val="12"/>
              </w:rPr>
              <w:t>(2)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loss, net of taxes of $(4), $(10), $(8), $(19)</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 at end of period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(36,356)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Amounts reclassified are recorded in interest expense and cost of sales on the unaudited condensed consolidated statement of operations.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ans-serif" w:hAnsi="Times New Roman;sans-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2022 (the “2022 Annual Report on Form 10-K”) in Part I, Item 1A under the heading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Macroeconomic conditions, including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United Kingdom's exit from the European Union on the Company's U.K.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Legislative or regulatory risks relating to climate change;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Company's ability to complete acquisitions or successfully integrate acquisitions, such as the recent acquisition of S'well;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Intense market competition and changing customer practices or preferences;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Geopolitical conditions, including war, conflict, unrest and sanctions, including those related to the conflict in Ukraine;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ans-serif" w:hAnsi="Times New Roman;sans-serif"/>
          <w:b w:val="false"/>
          <w:i/>
          <w:color w:val="000000"/>
          <w:sz w:val="20"/>
          <w:u w:val="single"/>
        </w:rPr>
        <w:t>http://www.lifetimebrands.com</w:t>
      </w:r>
      <w:r>
        <w:rPr>
          <w:rFonts w:ascii="Times New Roman;sans-serif" w:hAnsi="Times New Roman;sans-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ans-serif" w:hAnsi="Times New Roman;sans-serif"/>
          <w:b w:val="false"/>
          <w:i/>
          <w:color w:val="000000"/>
          <w:sz w:val="20"/>
          <w:u w:val="single"/>
        </w:rPr>
        <w:t>http://www.sec.gov.</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ABOUT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2022, Kitchenware products and Tableware products accounted for approximately 82% of the Company’s U.S. segment’s net sales and 84% of the Company’s consolidated net sales.</w:t>
      </w:r>
    </w:p>
    <w:p>
      <w:pPr>
        <w:pStyle w:val="TextBody"/>
        <w:bidi w:val="0"/>
        <w:spacing w:lineRule="auto" w:line="288" w:before="240" w:after="283"/>
        <w:jc w:val="left"/>
        <w:rPr/>
      </w:pPr>
      <w:r>
        <w:rPr>
          <w:rFonts w:ascii="Times New Roman;sans-serif" w:hAnsi="Times New Roman;sans-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ans-serif" w:hAnsi="Times New Roman;sans-serif"/>
          <w:b w:val="false"/>
          <w:color w:val="000000"/>
          <w:sz w:val="13"/>
        </w:rPr>
        <w:t>®</w:t>
      </w:r>
      <w:r>
        <w:rPr>
          <w:rFonts w:ascii="Times New Roman;sans-serif" w:hAnsi="Times New Roman;sans-serif"/>
          <w:b w:val="false"/>
          <w:color w:val="000000"/>
          <w:sz w:val="20"/>
        </w:rPr>
        <w:t>, Mikasa</w:t>
      </w:r>
      <w:r>
        <w:rPr>
          <w:rFonts w:ascii="Times New Roman;sans-serif" w:hAnsi="Times New Roman;sans-serif"/>
          <w:b w:val="false"/>
          <w:color w:val="000000"/>
          <w:sz w:val="13"/>
        </w:rPr>
        <w:t>®</w:t>
      </w:r>
      <w:r>
        <w:rPr>
          <w:rFonts w:ascii="Times New Roman;sans-serif" w:hAnsi="Times New Roman;sans-serif"/>
          <w:b w:val="false"/>
          <w:color w:val="000000"/>
          <w:sz w:val="20"/>
        </w:rPr>
        <w:t>, KitchenAid</w:t>
      </w:r>
      <w:r>
        <w:rPr>
          <w:rFonts w:ascii="Times New Roman;sans-serif" w:hAnsi="Times New Roman;sans-serif"/>
          <w:b w:val="false"/>
          <w:color w:val="000000"/>
          <w:sz w:val="13"/>
        </w:rPr>
        <w:t>®</w:t>
      </w:r>
      <w:r>
        <w:rPr>
          <w:rFonts w:ascii="Times New Roman;sans-serif" w:hAnsi="Times New Roman;sans-serif"/>
          <w:b w:val="false"/>
          <w:color w:val="000000"/>
          <w:sz w:val="20"/>
        </w:rPr>
        <w:t>, Taylor</w:t>
      </w:r>
      <w:r>
        <w:rPr>
          <w:rFonts w:ascii="Times New Roman;sans-serif" w:hAnsi="Times New Roman;sans-serif"/>
          <w:b w:val="false"/>
          <w:color w:val="000000"/>
          <w:sz w:val="13"/>
        </w:rPr>
        <w:t>®</w:t>
      </w:r>
      <w:r>
        <w:rPr>
          <w:rFonts w:ascii="Times New Roman;sans-serif" w:hAnsi="Times New Roman;sans-serif"/>
          <w:b w:val="false"/>
          <w:color w:val="000000"/>
          <w:sz w:val="20"/>
        </w:rPr>
        <w:t>, Rabbit</w:t>
      </w:r>
      <w:r>
        <w:rPr>
          <w:rFonts w:ascii="Times New Roman;sans-serif" w:hAnsi="Times New Roman;sans-serif"/>
          <w:b w:val="false"/>
          <w:color w:val="000000"/>
          <w:sz w:val="13"/>
        </w:rPr>
        <w:t>®</w:t>
      </w:r>
      <w:r>
        <w:rPr>
          <w:rFonts w:ascii="Times New Roman;sans-serif" w:hAnsi="Times New Roman;sans-serif"/>
          <w:b w:val="false"/>
          <w:color w:val="000000"/>
          <w:sz w:val="20"/>
        </w:rPr>
        <w:t>, Pfaltzgraff</w:t>
      </w:r>
      <w:r>
        <w:rPr>
          <w:rFonts w:ascii="Times New Roman;sans-serif" w:hAnsi="Times New Roman;sans-serif"/>
          <w:b w:val="false"/>
          <w:color w:val="000000"/>
          <w:sz w:val="13"/>
        </w:rPr>
        <w:t>®</w:t>
      </w:r>
      <w:r>
        <w:rPr>
          <w:rFonts w:ascii="Times New Roman;sans-serif" w:hAnsi="Times New Roman;sans-serif"/>
          <w:b w:val="false"/>
          <w:color w:val="000000"/>
          <w:sz w:val="20"/>
        </w:rPr>
        <w:t>, Built NY</w:t>
      </w:r>
      <w:r>
        <w:rPr>
          <w:rFonts w:ascii="Times New Roman;sans-serif" w:hAnsi="Times New Roman;sans-serif"/>
          <w:b w:val="false"/>
          <w:color w:val="000000"/>
          <w:sz w:val="13"/>
        </w:rPr>
        <w:t>®</w:t>
      </w:r>
      <w:r>
        <w:rPr>
          <w:rFonts w:ascii="Times New Roman;sans-serif" w:hAnsi="Times New Roman;sans-serif"/>
          <w:b w:val="false"/>
          <w:color w:val="000000"/>
          <w:sz w:val="20"/>
        </w:rPr>
        <w:t>, Sabatier</w:t>
      </w:r>
      <w:r>
        <w:rPr>
          <w:rFonts w:ascii="Times New Roman;sans-serif" w:hAnsi="Times New Roman;sans-serif"/>
          <w:b w:val="false"/>
          <w:color w:val="000000"/>
          <w:sz w:val="13"/>
        </w:rPr>
        <w:t>®</w:t>
      </w:r>
      <w:r>
        <w:rPr>
          <w:rFonts w:ascii="Times New Roman;sans-serif" w:hAnsi="Times New Roman;sans-serif"/>
          <w:b w:val="false"/>
          <w:color w:val="000000"/>
          <w:sz w:val="20"/>
        </w:rPr>
        <w:t>, Fred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&amp; Friends, Kamenstein</w:t>
      </w:r>
      <w:r>
        <w:rPr>
          <w:rFonts w:ascii="Times New Roman;sans-serif" w:hAnsi="Times New Roman;sans-serif"/>
          <w:b w:val="false"/>
          <w:color w:val="000000"/>
          <w:sz w:val="13"/>
        </w:rPr>
        <w:t>®</w:t>
      </w:r>
      <w:r>
        <w:rPr>
          <w:rFonts w:ascii="Times New Roman;sans-serif" w:hAnsi="Times New Roman;sans-serif"/>
          <w:b w:val="false"/>
          <w:color w:val="000000"/>
          <w:sz w:val="20"/>
        </w:rPr>
        <w:t>, and S'well</w:t>
      </w:r>
      <w:r>
        <w:rPr>
          <w:rFonts w:ascii="Times New Roman;sans-serif" w:hAnsi="Times New Roman;sans-serif"/>
          <w:b w:val="false"/>
          <w:color w:val="000000"/>
          <w:sz w:val="13"/>
        </w:rPr>
        <w:t>®</w:t>
      </w:r>
      <w:r>
        <w:rPr>
          <w:rFonts w:ascii="Times New Roman;sans-serif" w:hAnsi="Times New Roman;sans-serif"/>
          <w:b w:val="false"/>
          <w:color w:val="000000"/>
          <w:sz w:val="20"/>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economy is experiencing relatively high inflation, which has in part been caused by the supply chain disruptions and higher consumer spending. The rise in inflation is contributing to higher prices, which may result in increased transportation and labor cost and consumer spending and buying patterns. Retailers have responded to the economic challenges by rightsizing inventory levels, and further reducing safety stock and weekly supply on hand. Further, the U.K. economy has been facing unfavorable economic and market conditions, with high inflation and low consumer confidence due to uncertain geopolitical and economic outlooks. The Company has been adversely impacted by these trends in 2022 and these trends have continued in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EQUITY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recorded its proportionate share of Vasconia’s net income (reduced for amortization expense related to the customer relationships acquired) for the three and six months ended June 30, 2023 and 2022 in the accompanying unaudited condensed consolidated statements of operations. Pursuant to a Shares Subscription Agreement, the Company may designate four persons to be nominated as members of Vasconia’s Board of Directors (the "Vasconia Board"). As of June 30, 2023, the Vasconia Board was comprised of eleven members, of whom the Company had no designated members.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2022 and 2021, net sales for the third and fourth quarters accounted for 54% and 56% of total annual net sales, respectively. The current market conditions and shifts in both consumer and retailer purchasing patterns has impacted the seasonality of the Company's net sales compared to historical trends. In anticipation of the pre-holiday shipping season, inventory levels increase primarily in the June through October time period. In 2023, the Company's inventory trends may deviate from historical trends due to a change in inventory strategy to react to the current market conditions impacting the Company and retailers.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the seasonality of the Company’s net sales and inventory levels, the Company also experiences seasonality in its inventory turnover and turnover days from one quarter to the next.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pPr>
      <w:r>
        <w:rPr>
          <w:rFonts w:ascii="Times New Roman;sans-serif" w:hAnsi="Times New Roman;sans-serif"/>
          <w:b w:val="false"/>
          <w:color w:val="000000"/>
          <w:sz w:val="20"/>
        </w:rPr>
        <w:t xml:space="preserve">There have been no material changes to the Company’s critical accounting estimates discussed in the 2022 Annual Report on Form 10-K in Item 7 under the heading </w:t>
      </w:r>
      <w:r>
        <w:rPr>
          <w:rFonts w:ascii="Times New Roman;sans-serif" w:hAnsi="Times New Roman;sans-serif"/>
          <w:b w:val="false"/>
          <w:i/>
          <w:color w:val="000000"/>
          <w:sz w:val="20"/>
        </w:rPr>
        <w:t>Management’s Discussion and Analysis of Financial Condition and Results of Operations – Critical Accounting Policies and Estimates</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statements of operations data of the Company as a percentage of net sales for the periods indicated:</w:t>
      </w:r>
    </w:p>
    <w:tbl>
      <w:tblPr>
        <w:tblW w:w="9629" w:type="dxa"/>
        <w:jc w:val="left"/>
        <w:tblInd w:w="0" w:type="dxa"/>
        <w:tblLayout w:type="fixed"/>
        <w:tblCellMar>
          <w:top w:w="28" w:type="dxa"/>
          <w:left w:w="28" w:type="dxa"/>
          <w:bottom w:w="28" w:type="dxa"/>
          <w:right w:w="28" w:type="dxa"/>
        </w:tblCellMar>
      </w:tblPr>
      <w:tblGrid>
        <w:gridCol w:w="1713"/>
        <w:gridCol w:w="1510"/>
        <w:gridCol w:w="1531"/>
        <w:gridCol w:w="278"/>
        <w:gridCol w:w="278"/>
        <w:gridCol w:w="352"/>
        <w:gridCol w:w="150"/>
        <w:gridCol w:w="150"/>
        <w:gridCol w:w="150"/>
        <w:gridCol w:w="278"/>
        <w:gridCol w:w="278"/>
        <w:gridCol w:w="352"/>
        <w:gridCol w:w="109"/>
        <w:gridCol w:w="109"/>
        <w:gridCol w:w="109"/>
        <w:gridCol w:w="278"/>
        <w:gridCol w:w="278"/>
        <w:gridCol w:w="310"/>
        <w:gridCol w:w="132"/>
        <w:gridCol w:w="132"/>
        <w:gridCol w:w="132"/>
        <w:gridCol w:w="278"/>
        <w:gridCol w:w="278"/>
        <w:gridCol w:w="310"/>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gain (loss) on interest rate derivatives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retirement of debt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 and equity in (losses) earnings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earnings, net of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 COMPARED TO THE THREE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three months ended June 30, 2023 were $146.4 million, representing a decrease of $4.9 million, or 3.2%, as compared to net sales of $151.3 million for the corresponding period in 2022. In constant currency, a non-GAAP financial measure, which excludes the impact of foreign exchange fluctuations and was determined by applying 2023 average rates to 2022 local currency amounts, consolidated net sales decreased by $5.3 million, or 3.5%, as compared to consolidated net sales in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three months ended June 30, 2023 were $135.0 million, a decrease of $2.2 million, or 1.6%, as compared to net sales of $137.2 million for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$84.0 million for the three months ended June 30, 2023, a decrease of $0.3 million, or 0.4%, as compared to $84.3 million for the corresponding period in 2022. The decrease was driven by lower sales for cutlery and boards reflecting retail inventory rightsizing, offset by higher sales in other product lines, most notably for Taylor branded measurement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segment’s Tableware product category were $26.1 million for the three months ended June 30, 2023, a decrease of $3.8 million, or 12.7%, as compared to $29.9 million for the corresponding period in 2022. The decrease was attributable to lower dinnerware sales primarily due to a warehouse club program not repeated in 2023 and lower sales in other distribution channels.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segment’s Home Solutions product category were $24.9 million for the three months ended June 30, 2023, an increase of $1.9 million, or 8.3%, as compared to $23.0 million for the corresponding period in 2022. The increase was in Taylor branded bath measurement products, partially offset by hydration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International segment were $11.4 million for the three months ended June 30, 2023, a decrease of $2.7 million, or 19.1%, as compared to net sales of $14.1 million for the corresponding period in 2022. In constant currency, a non-GAAP financial measure, which excludes the impact of foreign exchange fluctuations, net sales decreased $2.7 million, or 18.8%, as compared to consolidated net sales in the corresponding period in 2022. The decrease was a result of a slowing of replenishment orders in the United Kingdom (“U.K.”) due to weaker end market demand caused by macroeconomic factors and lower e-commerce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three months ended June 30, 2023 was $56.0 million, or 38.2%, as compared to $55.2 million, or 36.5%, for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U.S. segment was $51.7 million, or 38.3%, for the three months ended June 30, 2023, as compared to $50.9 million, or 37.1%, for the corresponding period in 2022. The improvement in the gross margin percentage for the U.S. segment was driven by lower inbound freight costs and product mix.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International segment was $4.3 million, or 37.7%, for the three months ended June 30, 2023, as compared to $4.3 million, or 30.5%, for the corresponding period in 2022. The improvement in the gross margin percentage was attributable to lower product costs, lower inbound freight costs and product mix. In addition, the current year reflects the benefit of lower duty costs on goods sold to European Union (“EU”) customers now distributed from the EU through the Company’s Netherlands distribution facility rather than the U.K.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three months ended June 30, 2023 were $15.7 million, as compared to $17.4 million for the corresponding period in 2022. Distribution expenses as a percentage of net sales were 10.7% for the three months ended June 30, 2023, as compared to 11.5% for the three months ended June 30,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U.S. segment were approximately 9.3% and 10.5% for the three months ended June 30, 2023 and 2022, respectively. Distribution expenses during the three months ended June 30, 2023 and 2022 included $0.2 million and $0.1 million, respectively, for redesign costs related to the Company's U.S. warehouses.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percentage of sales shipped from the Company’s U.S. warehouses, excluding non-recurring expenses, distribution expenses were 9.7% and 11.3% for the three months ended June 30, 2023 and 2022, respectively. The decrease in expenses as a percentage of sales was attributable to improved labor management efficiencies resulting in a decrease of employee expenses, lower storage expenses, and pallet expenses.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International segment were 27.7% for the three months ended June 30, 2023, compared to 21.4% for the corresponding period in 2022. As a percentage of sales shipped from the Company’s international warehouses distribution expenses were 25.1% and 22.1% for the three months ended June 30, 2023 and 2022, respectively. The increase in expenses as a percentage of sales was attributable to lower shipment volume.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June 30, 2023 were $35.9 million, a decrease of $2.4 million, or 6.3%, as compared to $38.3 million for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U.S. segment were $27.4 million for the three months ended June 30, 2023, as compared to $29.1 million for the corresponding period in 2022. As a percentage of net sales, selling, general and administrative expenses were 20.3% and 21.2% for the three months ended June 30, 2023 and 2022, respectively. The decrease in expense was primarily due to integration costs related to the S'well acquisition incurred in the prior year.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International segment were $4.0 million for the three months ended June 30, 2023, as compared to $4.3 million for the corresponding period in 2022. As a percentage of net sales, selling, general and administrative expenses were 35.1% and 30.5% for the three months ended June 30, 2023 and 2022, respectively. The expense decrease was attributable to lower employee costs. The reduction in employee costs was a result of the restructuring action taken by the Company in the fourth quarter of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Unallocated corporate expenses for the three months ended June 30, 2023 were $4.5 million, as compared to $4.9 million for the corresponding period in 2022. The current period decrease was driven by lower stock compensation expense and salary costs. The decrease in salary is due to the elimination of the Executive Chairman role as of March 31, 2023. The decrease was partially offset by an increase in professional expenses.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$5.5 million and $3.7 million for the three months ended June 30, 2023 and 2022, respectively. The increase in expense was a result of higher interest rates on outstanding borrowings, partially offset by lower average outstanding borrowings.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gain (loss)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gain on interest rate derivatives was $0.2 million for the three months ended June 30, 2023, as compared to a mark to market gain on interest rate derivatives of $0.3 million for the three months ended June 30, 2022. The gain recognized for the three months ended June 30, 2022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2023,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Gain on early retirement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 was $1.5 million for the three months ended June 30, 2023. The gain recognized for the three months ended June 30, 2023 was attributable to the repurchase of $47.2 million in principal amount of the Term Loan. Refer to NOTE 7 — DEBT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of $1.2 million and income tax benefit of $0.1 million for the three months ended June 30, 2023 and 2022, respectively, represent taxes on both U.S. and foreign earnings at a combined effective income tax provision rate of 212.3% and an income tax benefit rate of 2.5%, respectively. The effective tax rate for the three months ended June 30, 2023 differs from the federal statutory income tax rate of 21.0% primarily due to state and local tax expense, the impact of non-deductible expenses, and foreign losses for which no tax benefit is recognized as such amounts are fully offset with a valuation allowance, partially offset by a benefit for federal credits. The effective tax rate for the three months ended June 30, 2022 differs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statutory income tax rate of 21.0% primarily due to foreign losses for which no tax benefit is recognized as such amounts are fully offset with a valuation allowance.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earnings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Vasconia, net of taxes, was $1.4 million for the three months ended June 30, 2023, as compared to equity in earnings of Vasconia, net of taxes, of $0.3 million for the three months ended June 30, 2022. For the three months ended June 30, 2023, equity in losses included a non-cash impairment charge of $4.4 million to reduce the carrying value of the Company’s investment in Vasconia to its fair value. The decline in the fair value was determined to be other than temporary due to the decline in the quoted stock price, the continued decline in the operating results of Vasconia and the recent downgrade in Vasconia’s debt rating.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Vasconia reported income from operations of $0.2 million for the three months ended June 30, 2023, as compared to income from operations of $0.5 million for the three months ended June 30, 2022. The decrease in income from operations was primarily attributable to decreased operating results in the current period in Vasconia’s aluminum division.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2023 COMPARED TO THE SIX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six months ended June 30, 2023 were $291.9 million, a decrease of $42.1 million, or 12.6%, as compared to net sales of $334.0 million for the corresponding period in 2022. In constant currency, a non-GAAP financial measure, which excludes the impact of foreign exchange fluctuations and was determined by applying 2023 average rates to 2022 local currency amounts, consolidated net sales decreased by $40.3 million, or 12.1%, as compared to consolidated net sales in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six months ended June 30, 2023 were $268.5 million, a decrease of $34.9 million, or 11.5%, as compared to net sales of $303.4 million for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$169.7 million for the six months ended June 30, 2023, a decrease of $28.8 million, or 14.5%, as compared to $198.5 million for the corresponding period in 2022. The decrease was mainly driven by lower sales across most distribution channels for kitchen tools and gadgets, cutlery and board, and bakeware products. The decrease was a result of slowing replenishment orders as retailers reduced safety stock and weeks supply, which began in the second quarter of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Tableware product category were $50.1 million for the six months ended June 30, 2023, a decrease of $6.4 million, or 11.3%, as compared to $56.5 million for the corresponding period in 2022. The decrease was primarily driven by dinnerware sales due to a warehouse club program not repeated in 2023 and lower sales for e-commerce and brick-and-mortar customers. This was partially offset by an increase in sales to off-price retailers.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$48.7 million for the six months ended June 30, 2023, an increase of $0.3 million, or 0.6%, as compared to $48.4 million for the corresponding period in 2022. The increase was primarily driven by a private label hydration program.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International segment were $23.4 million for the six months ended June 30, 2023, a decrease of $7.2 million, or 23.5%, as compared to net sales of $30.6 million for the corresponding period in 2022. In constant currency, a non-GAAP financial measure, which excludes the impact of foreign exchange fluctuations, net sales decreased $5.4 million, or 18.6%, as compared to consolidated net sales in the corresponding period in 2022. The decrease was driven by a slowing of replenishment orders in the U.K. due to weaker end market demand caused by macroeconomic factors and lower e-commerce sales.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six months ended June 30, 2023 was $109.8 million, or 37.6%, as compared to $118.2 million, or 35.4%, for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U.S. segment was $100.6 million, or 37.5%, for the six months ended June 30, 2023, as compared to $108.7 million, or 35.8%, for the corresponding period in 2022. The decrease in gross margin for the U.S. was driven by lower sales. The improvement in gross margin percentage was due to lower inbound freight costs and product mix.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International segment was $9.2 million, or 39.3%, for the six months ended June 30, 2023, as compared to $9.5 million, or 31.0%, for the corresponding period in 2022. The decrease in gross margin was driven by lower sales. The increase in gross margin percentage was due to lower product costs and inbound freight costs. In addition, the current year reflects the benefit of lower duty costs on goods sold to European Union (“EU”) customers now distributed from the EU through the Company’s Netherlands distribution facility rather than the U.K.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six months ended June 30, 2023 were $32.6 million, as compared to $36.6 million for the corresponding period in 2022. Distribution expenses as a percentage of net sales were 11.2% for the six months ended June 30, 2023, as compared to 11.0% for the six months ended June 30,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as a percentage of net sales for the U.S. segment were approximately 9.7% and 9.6% for the six months ended June 30, 2023 and 2022, respectively. Distribution expenses during the six months ended June 30, 2023 and 2022 include $0.4 million and $0.2 million, respectively, for redesign costs related to the Company's U.S. warehouses. As a percentage of sales shipped from the Company’s U.S. warehouses, excluding non-recurring expenses, distribution expenses were 10.0% and 10.6% for the six months ended June 30, 2023 and 2022, respectively. The decrease in the expenses as a percentage of sales was a result of lower pallet expenses, improved labor management efficiencies resulting in a decrease of employee expenses and lower storage expenses, partially offset by higher real estate taxes.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International segment were 27.6% for the six months ended June 30, 2023, compared to 24.0% for the corresponding period in 2022. Distribution expenses during the six months ended June 30, 2022 include $0.4 million for the Company’s relocation costs for its new warehouse distribution facility in the Netherlands. As a percentage of sales shipped from the Company’s international warehouse, excluding non-recurring expenses, distribution expenses were 24.5% and 21.9% for the six months ended June 30, 2023 and 2022, respectively. The increase was primarily attributed to lower shipment volume.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six months ended June 30, 2023 were $73.8 million, a decrease of $3.9 million, or 5.0%, as compared to $77.7 million for the corresponding period in 2022.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U.S. segment were $56.7 million for the six months ended June 30, 2023, as compared to $57.6 million for the corresponding period in 2022. As a percentage of net sales, selling, general and administrative expenses were 21.1% and 19.0% for the six months ended June 30, 2023 and 2022, respectively. The increase in selling, general and administrative expense as a percentage of net sales is due to the impact of fixed costs on lower sales volume. The decrease was attributable to cost incurred in the prior year for integration costs related to the S'well acquisition and financing fees on receivables sold to HSBC, and lower rent expense in the current period. The decrease was partially offset by the provision for doubtful accounts in the current period related to significant declines in the financial condition of the Company's customer Bed, Bath and Beyond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for the International segment were $7.5 million for the six months ended June 30, 2023, as compared to $9.3 million for the corresponding period in 2022. The decrease was primarily attributable to lower foreign currency exchange losses and lower employee costs. The reduction in employee costs was a result of the restructuring action taken by the Company in the fourth quarter of 2022.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for the six months ended June 30, 2023 were $9.5 million, as compared to $10.8 million for the corresponding period in 2022. The decrease was driven by lower salary costs, as a result of the elimination of the Executive Chairman role as of March 31, 2023 and lower stock compensation expense.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 incurred $0.8 million of unallocated corporate expense related to the termination payment with its Executive Chairman. On November 1, 2022, the Company entered into a transition agreement with its Executive Chairman, which provides for termination of his employment with the Company, effective March 31, 2023. The transition agreement amends his employment agreement which was set to expire on December 31, 2022. The employment agreement provided for a one-time termination payment which was paid in April, 2023.</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was $10.9 million and $7.5 million for the six months ended June 30, 2023 and 2022, respectively. The increase in expense was a result of higher interest rates on outstanding borrowings, partially offset by lower average outstanding borrowings.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gain (loss)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to market loss on interest rate derivatives was $0.04 million for the six months ended June 30, 2023, as compared to a mark to market gain on interest rate derivatives of $1.4 million for the six months ended June 30, 2022. The decrease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2023, the intent of the Company is to hold these derivative contracts until their maturity.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Gain on early retirement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 was $1.5 million for the six months ended June 30, 2023. The gain recognized for the six months ended June 30, 2023 was attributable to the repurchase of $47.2 million in principal amount of the Term Loan. Refer to NOTE 7 — DEBT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pPr>
      <w:r>
        <w:rPr>
          <w:rFonts w:ascii="Times New Roman;sans-serif" w:hAnsi="Times New Roman;sans-serif"/>
          <w:b w:val="false"/>
          <w:color w:val="000000"/>
          <w:sz w:val="20"/>
        </w:rPr>
        <w:t>Income tax benefit of $0.1 million and income tax provision of $1.6 million for the six months ended June 30, 2023 and 2022, respectively, represent taxes on both US and foreign earnings at a combined</w:t>
      </w:r>
      <w:r>
        <w:rPr>
          <w:color w:val="000000"/>
        </w:rPr>
        <w:t xml:space="preserve"> </w:t>
      </w:r>
      <w:r>
        <w:rPr>
          <w:rFonts w:ascii="Times New Roman;sans-serif" w:hAnsi="Times New Roman;sans-serif"/>
          <w:b w:val="false"/>
          <w:color w:val="000000"/>
          <w:sz w:val="20"/>
        </w:rPr>
        <w:t>effective income tax benefit rate of 1.6% and an income tax provision of (69.8)%, respectively. The negative tax rate for the six months ended June 30, 2022 reflects tax expense on a pretax financial reporting loss. The effective tax rate for the six months ended June 30, 2023 differs from the federal statutory income tax rate of 21.0% primarily due to state and local tax expense and foreign losses for which no tax benefit is recognized as such amounts are fully offset with a valuation allowance. The effective tax rate for the six months ended June 30, 2022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earnings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Vasconia, net of taxes, was $2.1 million for the six months ended June 30, 2023, as compared to equity in earnings of Vasconia, net of taxes, of $0.8 million for the six months ended June 30, 2022. For the six months ended June 30, 2023, equity in losses included a non-cash impairment charge of $6.5 million to reduce the carrying value of the Company’s investment in Vasconia to its fair value. The decline in the fair value was determined to be other than temporary due to the decline in the quoted stock price, the continued decline in the operating results of Vasconia and the recent downgrade in Vasconia’s debt rating.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Vasconia reported loss from operations of $0.8 million for the six months ended June 30, 2023, as compared to income from operations of $5.2 million for the six months ended June 30, 2022. The decrease in income from operations was primarily attributable to decreased operating results in the current period in Vasconia's aluminum divisions.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 </w:t>
      </w:r>
    </w:p>
    <w:p>
      <w:pPr>
        <w:pStyle w:val="TextBody"/>
        <w:bidi w:val="0"/>
        <w:spacing w:lineRule="auto" w:line="288" w:before="240" w:after="283"/>
        <w:jc w:val="left"/>
        <w:rPr/>
      </w:pPr>
      <w:r>
        <w:rPr>
          <w:rFonts w:ascii="Times New Roman;sans-serif" w:hAnsi="Times New Roman;sans-serif"/>
          <w:b w:val="false"/>
          <w:color w:val="000000"/>
          <w:sz w:val="20"/>
        </w:rPr>
        <w:t xml:space="preserve">At June 30, 2023, the Company had cash and cash equivalents of $15.1 million, compared to </w:t>
      </w:r>
      <w:r>
        <w:rPr>
          <w:rFonts w:ascii="Times New Roman;sans-serif" w:hAnsi="Times New Roman;sans-serif"/>
          <w:b w:val="false"/>
          <w:color w:val="000000"/>
          <w:sz w:val="20"/>
          <w:shd w:fill="FFFFFF" w:val="clear"/>
        </w:rPr>
        <w:t>$23.6 million</w:t>
      </w:r>
      <w:r>
        <w:rPr>
          <w:color w:val="000000"/>
        </w:rPr>
        <w:t xml:space="preserve"> </w:t>
      </w:r>
      <w:r>
        <w:rPr>
          <w:rFonts w:ascii="Times New Roman;sans-serif" w:hAnsi="Times New Roman;sans-serif"/>
          <w:b w:val="false"/>
          <w:color w:val="000000"/>
          <w:sz w:val="20"/>
        </w:rPr>
        <w:t>at December 31, 2022. Working capital was $222.4 million at June 30, 2023, compared to $270.4 million at December 31, 2022. Liquidity, which includes cash and cash equivalents, availability under the ABL Agreement, and available funding under the Receivables Purchase Agreement, was approximately $190.5 million at June 30,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2023, inventory turnover was 1.7 times, or 213 days, as compared to 1.4 times, or 270 days, for the three months ended June 30, 2022. The improvement was attributable to lower inventory levels as compared to the prior year, which were elevated due to inventory buildup at retailers as a result of supply chain disruptions and weaker end market demand.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Wallace EPA Matter, the Company expects in the next twelve months it will be required to provide financial assurance of $5.6 million, which it expects to provide in the form of a letter of credit. This would reduce availability under the revolving credit facility.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or available on terms favorable to the Company.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loan agreement, dated as of March 2, 2018, (the “Term Loan” and together with the ABL Agreement, the “Debt Agreements”) provides for a senior secured term loan credit in the original principal amount of $275.0 million, which matures on February 28, 2025. On December 29, 2022, the Company entered into Amendment No. 1 to the Term Loan, which replaces the LIBOR-based interest rates with SOFR-based interest rates and modifies the provisions for determining the alternative rate of interest upon the occurrence of certain events relating to the availability of interest rate benchmarks.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unaudited condensed consolidated balance sheets. Additionally, the Term Loan requires quarterly payments, which commenced on June 30, 2018, of principal equal to 0.25% of the original aggregate principal amount of the Term Loan, which payments are to be adjusted from time to time to account for prepayments made. Per the Term Loan, when the Company makes an Excess Cash Flow payment, the payment is first applied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satisfy the next eight (8)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but limited to $220.0 million pursuant to the Term Loan.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3.75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December 31, 2022, the total availability under the ABL Agreement was as follows (in thousands): </w:t>
      </w:r>
    </w:p>
    <w:tbl>
      <w:tblPr>
        <w:tblW w:w="719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17"/>
        <w:gridCol w:w="817"/>
        <w:gridCol w:w="121"/>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152,105 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176,222 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$200.0 million commitment thereunder may not represent actual borrowing capacity.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2023, the Company completed the repurchase of $47.2 million in principal amount of the Term Loan, for $95.0 per $100.0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was $1.5 million, net of fees and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096"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17"/>
        <w:gridCol w:w="817"/>
        <w:gridCol w:w="121"/>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181,950 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242,857 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June 30, 2023 represents the Company’s estimate for the 2024 Excess Cash Flow Payment. There was no Excess Cash Flow payment due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2023 was 4.93%. The Company paid a commitment fee of 0.25% during the six months ended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2.5% or (ii) SOFR for the applicable interest period, multiplied by any statutory reserve rate, but not less than 1.0%, plus a margin of 3.5%. The interest rate on outstanding borrowings under the Term Loan at June 30, 2023 was 8.72%.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 Calculations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adjusted EBITDA (including pro forma adjustments), for the trailing twelve months ended June 30, 2023 was $52.9 million.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for the six months ended June 30, 2023 were $1.0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net (loss) income, as reported, to adjusted EBITDA, for each of the last four quarters and the 12 months ended June 30, 2023:</w:t>
      </w:r>
    </w:p>
    <w:tbl>
      <w:tblPr>
        <w:tblW w:w="10205" w:type="dxa"/>
        <w:jc w:val="left"/>
        <w:tblInd w:w="0" w:type="dxa"/>
        <w:tblLayout w:type="fixed"/>
        <w:tblCellMar>
          <w:top w:w="28" w:type="dxa"/>
          <w:left w:w="28" w:type="dxa"/>
          <w:bottom w:w="28" w:type="dxa"/>
          <w:right w:w="28" w:type="dxa"/>
        </w:tblCellMar>
      </w:tblPr>
      <w:tblGrid>
        <w:gridCol w:w="1230"/>
        <w:gridCol w:w="738"/>
        <w:gridCol w:w="740"/>
        <w:gridCol w:w="263"/>
        <w:gridCol w:w="869"/>
        <w:gridCol w:w="146"/>
        <w:gridCol w:w="109"/>
        <w:gridCol w:w="109"/>
        <w:gridCol w:w="109"/>
        <w:gridCol w:w="215"/>
        <w:gridCol w:w="710"/>
        <w:gridCol w:w="119"/>
        <w:gridCol w:w="109"/>
        <w:gridCol w:w="109"/>
        <w:gridCol w:w="109"/>
        <w:gridCol w:w="196"/>
        <w:gridCol w:w="601"/>
        <w:gridCol w:w="109"/>
        <w:gridCol w:w="109"/>
        <w:gridCol w:w="109"/>
        <w:gridCol w:w="109"/>
        <w:gridCol w:w="196"/>
        <w:gridCol w:w="646"/>
        <w:gridCol w:w="109"/>
        <w:gridCol w:w="109"/>
        <w:gridCol w:w="109"/>
        <w:gridCol w:w="109"/>
        <w:gridCol w:w="372"/>
        <w:gridCol w:w="1340"/>
        <w:gridCol w:w="298"/>
      </w:tblGrid>
      <w:tr>
        <w:trPr/>
        <w:tc>
          <w:tcPr>
            <w:tcW w:w="123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June 30, 2023</w:t>
            </w:r>
          </w:p>
        </w:tc>
      </w:tr>
      <w:tr>
        <w:trPr/>
        <w:tc>
          <w:tcPr>
            <w:tcW w:w="27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as reported</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(18,411)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Undistributed equity losses, net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(gain) loss on interest rate derivatives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fair value adjustments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retirement of debt</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expenses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2,276 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Warehouse relocation and redesign expenses</w:t>
            </w:r>
            <w:r>
              <w:rPr>
                <w:rFonts w:ascii="Times New Roman;sans-serif" w:hAnsi="Times New Roman;sans-serif"/>
                <w:b w:val="false"/>
                <w:color w:val="000000"/>
                <w:sz w:val="12"/>
              </w:rPr>
              <w:t>(1)</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S'well integration costs</w:t>
            </w:r>
            <w:r>
              <w:rPr>
                <w:rFonts w:ascii="Times New Roman;sans-serif" w:hAnsi="Times New Roman;sans-serif"/>
                <w:b w:val="false"/>
                <w:color w:val="000000"/>
                <w:sz w:val="12"/>
              </w:rPr>
              <w:t>(2)</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Wallace facility remediation expense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before limitation</w:t>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54,572 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18"/>
              </w:rPr>
              <w:t>Pro forma projected synergies adjustment</w:t>
            </w:r>
            <w:r>
              <w:rPr>
                <w:rFonts w:ascii="Times New Roman;sans-serif" w:hAnsi="Times New Roman;sans-serif"/>
                <w:b w:val="false"/>
                <w:color w:val="000000"/>
                <w:sz w:val="12"/>
              </w:rPr>
              <w:t>(3)</w:t>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 forma Adjusted EBITDA, before limitation</w:t>
            </w:r>
            <w:r>
              <w:rPr>
                <w:rFonts w:ascii="Times New Roman;sans-serif" w:hAnsi="Times New Roman;sans-serif"/>
                <w:b w:val="false"/>
                <w:color w:val="000000"/>
                <w:sz w:val="12"/>
              </w:rPr>
              <w:t>(5)</w:t>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55,984 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18"/>
              </w:rPr>
              <w:t xml:space="preserve">Permitted non-recurring charge limitation </w:t>
            </w:r>
            <w:r>
              <w:rPr>
                <w:rFonts w:ascii="Times New Roman;sans-serif" w:hAnsi="Times New Roman;sans-serif"/>
                <w:b w:val="false"/>
                <w:color w:val="000000"/>
                <w:sz w:val="12"/>
              </w:rPr>
              <w:t>(4)</w:t>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Pro forma Adjusted EBITDA</w:t>
            </w:r>
            <w:r>
              <w:rPr>
                <w:rFonts w:ascii="Times New Roman;sans-serif" w:hAnsi="Times New Roman;sans-serif"/>
                <w:b w:val="false"/>
                <w:color w:val="000000"/>
                <w:sz w:val="12"/>
              </w:rPr>
              <w:t>(5)</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18,772 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52,860 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2708"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For the twelve months ended June 30, 2023, the warehouse relocation and redesign expenses were related to the U.S. segment.</w:t>
      </w:r>
    </w:p>
    <w:p>
      <w:pPr>
        <w:pStyle w:val="TextBody"/>
        <w:bidi w:val="0"/>
        <w:spacing w:lineRule="auto" w:line="288" w:before="60" w:after="283"/>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6"/>
        </w:rPr>
        <w:t>For the twelve months ended June 30, 2023, S'well integration costs included $0.3 million of expenses related to inventory step up adjustment in connection with S'well acquisition.</w:t>
      </w:r>
    </w:p>
    <w:p>
      <w:pPr>
        <w:pStyle w:val="TextBody"/>
        <w:bidi w:val="0"/>
        <w:spacing w:lineRule="auto" w:line="288" w:before="60" w:after="283"/>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6"/>
        </w:rPr>
        <w:t>Pro forma projected synergies represents the projected cost savings of $0.8 million associated with the reorganization of the International segment's workforce, $0.4 million associated with the Executive Chairman's cessation of service in such role, and $0.2 million associated with reorganization of the U.S. segment's sales management structure.</w:t>
      </w:r>
    </w:p>
    <w:p>
      <w:pPr>
        <w:pStyle w:val="TextBody"/>
        <w:bidi w:val="0"/>
        <w:spacing w:lineRule="auto" w:line="288" w:before="60" w:after="283"/>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6"/>
        </w:rPr>
        <w:t>Permitted non-recurring charges include restructuring expenses, integration charges, Wallace facility remediation expense, and warehouse relocation and redesign expenses. These are permitted exclusions from the Company’s adjusted EBITDA, subject to limitations, pursuant to the Company’s Debt Agreements.</w:t>
      </w:r>
    </w:p>
    <w:p>
      <w:pPr>
        <w:pStyle w:val="TextBody"/>
        <w:bidi w:val="0"/>
        <w:spacing w:lineRule="auto" w:line="288" w:before="60" w:after="283"/>
        <w:jc w:val="left"/>
        <w:rPr/>
      </w:pPr>
      <w:r>
        <w:rPr>
          <w:rFonts w:ascii="Times New Roman;sans-serif" w:hAnsi="Times New Roman;sans-serif"/>
          <w:b w:val="false"/>
          <w:color w:val="000000"/>
          <w:sz w:val="12"/>
        </w:rPr>
        <w:t>(5)</w:t>
      </w:r>
      <w:r>
        <w:rPr>
          <w:color w:val="000000"/>
        </w:rPr>
        <w:t xml:space="preserve"> </w:t>
      </w:r>
      <w:r>
        <w:rPr>
          <w:rFonts w:ascii="Times New Roman;sans-serif" w:hAnsi="Times New Roman;sans-serif"/>
          <w:b w:val="false"/>
          <w:color w:val="000000"/>
          <w:sz w:val="16"/>
        </w:rPr>
        <w:t>Adjusted EBITDA is a non-GAAP financial measure that is defined in the Company’s debt agreements. Adjusted EBITDA is defined as net (loss) income, adjusted to exclude undistributed equity in losses, income tax provision (benefit), interest expense, depreciation and amortization, mark to market (gain) loss on interest rate derivatives, stock compensation expense, gain on early retirement of debt, Wallace facility remediation expense, and other items detailed in the table above that are consistent with exclusions permitted by our debt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sell receivables to HSBC during the three and six months ended June 30, 2023. Pursuant to the Receivable Purchase Agreement, the Company sold to HSBC $33.5 million and $79.8 million of receivables during the three and six months ended June 30, 2022, respectively. Charges of $0.2 million and $0.3 million, respectively, related to the sale of the receivables were included in selling, general and administrative expenses in the unaudited condensed consolidated statements of operations for the three and six months ended June 30, 2022. At June 30, 2023 and 2022, zero and $25.6 million, respectively, of receivables sold were outstanding and due to HSBC from customers.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$23.3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total outstanding notional value of interest rate swaps was $25.0 million at June 30, 2023. These non-designated interest rate swaps were entered into in June 2019 and serve as cash flow hedges of the Company’s exposure to the variability of the payment of interest on a portion of its Term Loan borrowings and expire in February 2025.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June 30, 2023.</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gross notional value of foreign exchange contracts at June 30, 2023 was $7.0 million. These foreign exchange contracts have been designated as hedges in order to apply hedge accounting.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2023,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$29.0 million for the six months ended June 30, 2023, as compared to net cash used in operating activities of $8.9 million for the six months ended June 30, 2022. The increase from 2023 compared to 2022 was attributable to a reduction in inventory levels and the timing of payments for accounts payable and accrued expenses, partially offset by timing of collections related to the Company's accounts receivables.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$1.0 million and $19.4 million for the six months ended June 30, 2023 and 2022, respectively. The decrease from 2023 compared to 2022 was attributable to the cash consideration of $18.0 million paid for the acquisition of S'well in 2022.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$36.5 million for the six months ended June 30, 2023, as compared to net cash provided by financing activities of $7.7 million for the six months ended June 30, 2022. The change was mainly attributable to the repurchase of a portion of the term loan in the 2023 period, compared to the Excess Cash Flow principal payment on the term loan in the 2022 period and lower proceeds from the revolving credit facility in the 2023 period. The cash used in financing activities was partially offset by decreased payments for stock repurchases in the 2023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During the six months ended June 30, 2023, the Company repurchased 320,204 shares for a total cost of $2.5 million and thereafter retired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market risk for changes in foreign currency exchange rates and interest rates from the information provided in Item 7A – Quantitative and Qualitative Disclosures About Market Risk in the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and the Chief Financial Officer of the Company (its principal executive officer and principal financial officer, respectively) have concluded, based on their evaluation as of June 30, 2023,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(b)Changes in Internal Controls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the Company’s internal controls over financial reporting that occurred during the Company’s most recent fiscal quarter that has materially affected, or is reasonably likely to materially affect, the Company’s internal controls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the Company’s legal proceedings, please see NOTE 13 — CONTINGENCIES, to the Company's condensed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pPr>
      <w:r>
        <w:rPr>
          <w:rFonts w:ascii="Times New Roman;sans-serif" w:hAnsi="Times New Roman;sans-serif"/>
          <w:b w:val="false"/>
          <w:color w:val="000000"/>
          <w:sz w:val="20"/>
        </w:rPr>
        <w:t>In addition to the other information set forth in this Quarterly Report on Form 10-Q, readers should carefully consider the factors discussed in Part I, Item 1A—Risk Factors in the 2022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2022 Annual Report on Form 10-K</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Purchases of Equity Securities</w:t>
      </w:r>
    </w:p>
    <w:tbl>
      <w:tblPr>
        <w:tblW w:w="8786" w:type="dxa"/>
        <w:jc w:val="left"/>
        <w:tblInd w:w="0" w:type="dxa"/>
        <w:tblLayout w:type="fixed"/>
        <w:tblCellMar>
          <w:top w:w="28" w:type="dxa"/>
          <w:left w:w="28" w:type="dxa"/>
          <w:bottom w:w="28" w:type="dxa"/>
          <w:right w:w="28" w:type="dxa"/>
        </w:tblCellMar>
      </w:tblPr>
      <w:tblGrid>
        <w:gridCol w:w="661"/>
        <w:gridCol w:w="578"/>
        <w:gridCol w:w="591"/>
        <w:gridCol w:w="109"/>
        <w:gridCol w:w="109"/>
        <w:gridCol w:w="109"/>
        <w:gridCol w:w="455"/>
        <w:gridCol w:w="455"/>
        <w:gridCol w:w="456"/>
        <w:gridCol w:w="109"/>
        <w:gridCol w:w="109"/>
        <w:gridCol w:w="109"/>
        <w:gridCol w:w="335"/>
        <w:gridCol w:w="694"/>
        <w:gridCol w:w="187"/>
        <w:gridCol w:w="109"/>
        <w:gridCol w:w="109"/>
        <w:gridCol w:w="109"/>
        <w:gridCol w:w="500"/>
        <w:gridCol w:w="500"/>
        <w:gridCol w:w="501"/>
        <w:gridCol w:w="109"/>
        <w:gridCol w:w="109"/>
        <w:gridCol w:w="109"/>
        <w:gridCol w:w="218"/>
        <w:gridCol w:w="1071"/>
        <w:gridCol w:w="122"/>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p>
            <w:pPr>
              <w:pStyle w:val="TableContents"/>
              <w:bidi w:val="0"/>
              <w:spacing w:lineRule="auto" w:line="240" w:before="0" w:after="0"/>
              <w:jc w:val="center"/>
              <w:rPr/>
            </w:pPr>
            <w:r>
              <w:rPr>
                <w:rFonts w:ascii="Times New Roman;sans-serif" w:hAnsi="Times New Roman;sans-serif"/>
                <w:b/>
                <w:color w:val="000000"/>
                <w:sz w:val="18"/>
              </w:rPr>
              <w:t>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part of publicly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announced plans</w:t>
            </w:r>
          </w:p>
          <w:p>
            <w:pPr>
              <w:pStyle w:val="TableContents"/>
              <w:bidi w:val="0"/>
              <w:spacing w:lineRule="auto" w:line="240" w:before="0" w:after="0"/>
              <w:jc w:val="center"/>
              <w:rPr/>
            </w:pPr>
            <w:r>
              <w:rPr>
                <w:rFonts w:ascii="Times New Roman;sans-serif" w:hAnsi="Times New Roman;sans-serif"/>
                <w:b/>
                <w:color w:val="000000"/>
                <w:sz w:val="18"/>
              </w:rPr>
              <w:t>or programs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Maximum</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approximate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dollar value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that may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yet be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under the plans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 programs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subsequent to</w:t>
            </w:r>
          </w:p>
          <w:p>
            <w:pPr>
              <w:pStyle w:val="TableContents"/>
              <w:bidi w:val="0"/>
              <w:spacing w:lineRule="auto" w:line="240" w:before="0" w:after="0"/>
              <w:jc w:val="center"/>
              <w:rPr/>
            </w:pPr>
            <w:r>
              <w:rPr>
                <w:rFonts w:ascii="Times New Roman;sans-serif" w:hAnsi="Times New Roman;sans-serif"/>
                <w:b/>
                <w:color w:val="000000"/>
                <w:sz w:val="18"/>
              </w:rPr>
              <w:t xml:space="preserve">end of period </w:t>
            </w:r>
            <w:r>
              <w:rPr>
                <w:rFonts w:ascii="Times New Roman;sans-serif" w:hAnsi="Times New Roman;sans-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 April 30, 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11,140,752 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 May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11,140,752 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 June 30, 2023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17,910 </w:t>
            </w:r>
          </w:p>
        </w:tc>
        <w:tc>
          <w:tcPr>
            <w:tcW w:w="4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11,140,752 </w:t>
            </w:r>
          </w:p>
        </w:tc>
        <w:tc>
          <w:tcPr>
            <w:tcW w:w="1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On March 14, 2022, the Company announced that its Board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No repurchases occurred during the three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below, which is incorporated by reference herein.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675"/>
        <w:gridCol w:w="2536"/>
        <w:gridCol w:w="358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Fourth Amendment to the Amended and Restated Employment Agreement, dated as of March 8, 2023, by and between the Company and Laurence Winoker (incorporated by reference to Exhibit 10.18 to the Company’s Annual Report on Form 10-K for the fiscal year ended December 31, 2022)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Third Amendment, dated March 8, 2023, to the Employment Agreement dated as of November 8, 2017, by and between Lifetime Brands, Inc. and Daniel Siegel (incorporated by reference to Exhibit 10.26 to the Company’s Annual Report on Form 10-K for the fiscal year ended December 31, 2022)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Third Amendment, dated March 8, 2023, to the Employment Agreement dated as of December 22, 2017 by and between Lifetime Brands, Inc. and Robert Kay (incorporated by reference to Exhibit 10.35 to the Company’s Annual Report on Form 10-K for the fiscal year ended December 31, 2022)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Amendment No. 2 to the Receivables Purchase Agreement, dated as of January 6, 2023 by and among the Company, as a Seller and as a Seller Agent and initial Servicer, for itself and each of its subsidiaries thereto as a Seller, and HSBC Bank USA, National Association, as Purchaser (incorporated by reference to Exhibit 10.45 to the Company’s Annual Report on Form 10-K for the fiscal year ended December 31, 2022)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Amendment to Option Grant Certificates, dated as of March 8, 2023, by and among the Company and Jeffrey Siegel (incorporated by reference to Exhibit 10.46 to the Company’s Annual Report on Form 10-K for the fiscal year ended December 31, 2022)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023.htm">
              <w:r>
                <w:rPr>
                  <w:rStyle w:val="InternetLink"/>
                  <w:rFonts w:ascii="Times New Roman;sans-serif" w:hAnsi="Times New Roman;sans-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023.htm">
              <w:r>
                <w:rPr>
                  <w:rStyle w:val="InternetLink"/>
                  <w:rFonts w:ascii="Times New Roman;sans-serif" w:hAnsi="Times New Roman;sans-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6302023.htm">
              <w:r>
                <w:rPr>
                  <w:rStyle w:val="InternetLink"/>
                  <w:rFonts w:ascii="Times New Roman;sans-serif" w:hAnsi="Times New Roman;sans-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5743fb67c28d451faf3104e72984b85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970"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07"/>
        <w:gridCol w:w="407"/>
        <w:gridCol w:w="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Treasurer and Chief Financial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Laurence Winoker,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Robert B. Kay, Chief Executive Officer and Director, and Laurence Winoker, Executive Vice-President –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periodic report on Form 10-Q for the period ended June 30, 2023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4396/000162828023007371/lcutex101812312022.htm" TargetMode="External"/><Relationship Id="rId3" Type="http://schemas.openxmlformats.org/officeDocument/2006/relationships/hyperlink" Target="https://www.sec.gov/Archives/edgar/data/874396/000162828023007371/lcutex102612312022.htm" TargetMode="External"/><Relationship Id="rId4" Type="http://schemas.openxmlformats.org/officeDocument/2006/relationships/hyperlink" Target="https://www.sec.gov/Archives/edgar/data/874396/000162828023007371/lcutex103512312022.htm" TargetMode="External"/><Relationship Id="rId5" Type="http://schemas.openxmlformats.org/officeDocument/2006/relationships/hyperlink" Target="https://www.sec.gov/Archives/edgar/data/874396/000162828023007371/lcutex104512312022.htm" TargetMode="External"/><Relationship Id="rId6" Type="http://schemas.openxmlformats.org/officeDocument/2006/relationships/hyperlink" Target="https://www.sec.gov/Archives/edgar/data/874396/000162828023007371/lcutex10461231202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25880</Words>
  <Characters>141322</Characters>
  <CharactersWithSpaces>165621</CharactersWithSpaces>
  <Paragraphs>2708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