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11-2682486</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95"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1000 Stewart Avenue, Garden City, New York, 11530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9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9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July 31, 2018 was 20,740,997.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 ENDED JUNE 30,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7980" w:type="dxa"/>
            <w:vAlign w:val="bottom"/>
            <w:gridSpan w:val="15"/>
            <w:vMerge w:val="restart"/>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6"/>
        </w:trPr>
        <w:tc>
          <w:tcPr>
            <w:tcW w:w="2260" w:type="dxa"/>
            <w:vAlign w:val="bottom"/>
            <w:tcBorders>
              <w:bottom w:val="single" w:sz="8" w:color="0000EE"/>
            </w:tcBorders>
            <w:gridSpan w:val="5"/>
            <w:vMerge w:val="continue"/>
          </w:tcPr>
          <w:p>
            <w:pPr>
              <w:spacing w:after="0"/>
              <w:rPr>
                <w:sz w:val="13"/>
                <w:szCs w:val="13"/>
                <w:color w:val="auto"/>
              </w:rPr>
            </w:pPr>
          </w:p>
        </w:tc>
        <w:tc>
          <w:tcPr>
            <w:tcW w:w="7980" w:type="dxa"/>
            <w:vAlign w:val="bottom"/>
            <w:gridSpan w:val="15"/>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2018 (unaudited) and December 31, 2017</w:t>
              </w:r>
            </w:hyperlink>
          </w:p>
        </w:tc>
        <w:tc>
          <w:tcPr>
            <w:tcW w:w="200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Three and Six Months Ended June 30, 2018 and 2017</w:t>
              </w:r>
            </w:hyperlink>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60" w:type="dxa"/>
            <w:vAlign w:val="bottom"/>
            <w:gridSpan w:val="1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 (Loss) (unaudited) – Three and Six Months Ended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2018 and 2017</w:t>
              </w:r>
            </w:hyperlink>
          </w:p>
        </w:tc>
        <w:tc>
          <w:tcPr>
            <w:tcW w:w="6520" w:type="dxa"/>
            <w:vAlign w:val="bottom"/>
            <w:tcBorders>
              <w:top w:val="single" w:sz="8" w:color="0000EE"/>
            </w:tcBorders>
            <w:gridSpan w:val="9"/>
          </w:tcPr>
          <w:p>
            <w:pPr>
              <w:spacing w:after="0"/>
              <w:rPr>
                <w:sz w:val="17"/>
                <w:szCs w:val="17"/>
                <w:color w:val="auto"/>
              </w:rPr>
            </w:pPr>
          </w:p>
        </w:tc>
        <w:tc>
          <w:tcPr>
            <w:tcW w:w="52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60" w:type="dxa"/>
            <w:vAlign w:val="bottom"/>
            <w:gridSpan w:val="1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(unaudited) – Six Months Ended June 30, 2018 and 2017</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9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Report of Independent Registered Public Accounting Firm</w:t>
              </w:r>
            </w:hyperlink>
          </w:p>
        </w:tc>
        <w:tc>
          <w:tcPr>
            <w:tcW w:w="640" w:type="dxa"/>
            <w:vAlign w:val="bottom"/>
            <w:tcBorders>
              <w:top w:val="single" w:sz="8" w:color="0000EE"/>
            </w:tcBorders>
            <w:gridSpan w:val="3"/>
          </w:tcPr>
          <w:p>
            <w:pPr>
              <w:spacing w:after="0"/>
              <w:rPr>
                <w:sz w:val="24"/>
                <w:szCs w:val="24"/>
                <w:color w:val="auto"/>
              </w:rPr>
            </w:pPr>
          </w:p>
        </w:tc>
        <w:tc>
          <w:tcPr>
            <w:tcW w:w="39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3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44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40" w:type="dxa"/>
            <w:vAlign w:val="bottom"/>
            <w:gridSpan w:val="20"/>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742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442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48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3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less allowances of $6,037 at June 30, 2018 and</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$6,190 at December 31, 2017</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108,033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197,879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132,436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315,785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258,423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06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742,046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401,521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Short term loan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 LONG-TERM</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94,744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263,329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$1.00 par value, shares authorized: 100 shares of Series A</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2,000,000 shares of Series B; none issued and outstanding</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480" w:type="dxa"/>
            <w:vAlign w:val="bottom"/>
          </w:tcPr>
          <w:p>
            <w:pPr>
              <w:ind w:left="340"/>
              <w:spacing w:after="0" w:line="201" w:lineRule="exact"/>
              <w:rPr>
                <w:sz w:val="20"/>
                <w:szCs w:val="20"/>
                <w:color w:val="auto"/>
              </w:rPr>
            </w:pPr>
            <w:r>
              <w:rPr>
                <w:rFonts w:ascii="Arial" w:cs="Arial" w:eastAsia="Arial" w:hAnsi="Arial"/>
                <w:sz w:val="18"/>
                <w:szCs w:val="18"/>
                <w:color w:val="auto"/>
              </w:rPr>
              <w:t>Common stock, $.01 par value, shares authorized: 50,000,000 at June 30, 2018</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and December 31, 2017; shares issued and outstanding: 20,740,997 at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June 30, 2018 and 14,902,527 at December 31, 2017</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178,909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(31,676)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(29,325)</w:t>
            </w:r>
          </w:p>
        </w:tc>
      </w:tr>
      <w:tr>
        <w:trPr>
          <w:trHeight w:val="230"/>
        </w:trPr>
        <w:tc>
          <w:tcPr>
            <w:tcW w:w="20" w:type="dxa"/>
            <w:vAlign w:val="bottom"/>
          </w:tcPr>
          <w:p>
            <w:pPr>
              <w:spacing w:after="0"/>
              <w:rPr>
                <w:sz w:val="20"/>
                <w:szCs w:val="20"/>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265,839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210,279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742,046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401,521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169,655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Distribution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Loss before income taxes and equity in earnings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(23,462)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Equity in earnings, net of taxes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(17,655)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COMMON SHARE</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$(2,096)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2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$ 1,233</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Six Months Ended</w:t>
      </w:r>
    </w:p>
    <w:p>
      <w:pPr>
        <w:jc w:val="center"/>
        <w:ind w:left="89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(17,655)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(3,427)</w:t>
            </w: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Adjustments to reconcile net loss to net cash provided by operating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Undistributed equity in earnings, net of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40"/>
              <w:spacing w:after="0" w:line="201" w:lineRule="exact"/>
              <w:rPr>
                <w:sz w:val="20"/>
                <w:szCs w:val="20"/>
                <w:color w:val="auto"/>
              </w:rPr>
            </w:pPr>
            <w:r>
              <w:rPr>
                <w:rFonts w:ascii="Arial" w:cs="Arial" w:eastAsia="Arial" w:hAnsi="Arial"/>
                <w:sz w:val="18"/>
                <w:szCs w:val="18"/>
                <w:color w:val="auto"/>
              </w:rPr>
              <w:t>Changes in operating assets and liabilities (excluding the effects of business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52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(39,555)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(30,769)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(5,291)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(4,279)</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(6,858)</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(4,285)</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(217,932)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(221,100)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123,534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(161,173)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(110,937)</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Repayment of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Credit Agreement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short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 of financing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equity issuance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w:t>
            </w: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225,383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(3,761)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200" w:right="4160"/>
        <w:spacing w:after="0" w:line="378" w:lineRule="auto"/>
        <w:rPr>
          <w:sz w:val="20"/>
          <w:szCs w:val="20"/>
          <w:color w:val="auto"/>
        </w:rPr>
      </w:pPr>
      <w:r>
        <w:rPr>
          <w:rFonts w:ascii="Arial" w:cs="Arial" w:eastAsia="Arial" w:hAnsi="Arial"/>
          <w:sz w:val="18"/>
          <w:szCs w:val="18"/>
          <w:b w:val="1"/>
          <w:bCs w:val="1"/>
          <w:color w:val="auto"/>
        </w:rPr>
        <w:t>NOTE A — BASIS OF PRESENTATION AND SUMMARY ACCOUNTING POLICIES Organization and business</w:t>
      </w:r>
    </w:p>
    <w:p>
      <w:pPr>
        <w:ind w:left="200" w:right="16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18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On March 2, 2018, the Company expanded its portfolio of products and brands through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six months ended June 30, 2018 includes the operations of Filament for the period from March 2, 2018 to June 30, 2018. See Note C– Acquisition to the condensed consolidated financial statements included in this Quarterly Report on Form 10-Q for additional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estimates and adjustments, which consist only of normal recurring accruals, considered necessary for a fair presentation of the financial position have been included. These condensed consolidated financial statements should be read in conjunction with the condensed consolidated financial statements and footnotes thereto included in the Company’s Annual Report on Form 10-K for the fiscal year ended December 31, 2017.</w:t>
      </w:r>
    </w:p>
    <w:p>
      <w:pPr>
        <w:spacing w:after="0" w:line="16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Operating results for the three and six months ended June 30, 2018 are not necessarily indicative of the results that may be expected for the year ending December 31, 2018.</w:t>
      </w:r>
    </w:p>
    <w:p>
      <w:pPr>
        <w:spacing w:after="0" w:line="17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to the condensed consolidated financial statements included in this Quarterly Report on Form 10-Q for additional information.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Judgment is required to assess the ultimate realization of these receivables, including assessing the initial and on-going creditworthiness of the Company’s customers.</w:t>
      </w:r>
    </w:p>
    <w:p>
      <w:pPr>
        <w:spacing w:after="0" w:line="181"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Company’s Receivable Purchase Agreement with HSBC, are reflected as a reduction of accounts receivable in the Company’s condensed consolidated balance sheet at the time of sale and any related expense is included in selling, general and administrative expenses in the Company’s condensed consolidated statements of operations. Pursuant to this agreement, the Company sold to HSBC $19.1 million and $38.7 million of receivables during the three and six months ended June 30, 2018, respectively, and $17.6 million and $39.2 million of receivables during the three and six months ended June 30, 2017, respectively. Charges of $99,000 and $189,000 related to the sale of the receivables are included in selling, general and administrative expenses in the condensed consolidated statements of operations for the three and six months ended June 30, 2018, respectively. Charges of $63,000 and $130,000 related to the sale of the receivables are included in selling, general and administrative expenses in the condensed consolidated statements of operations for the three and six months ended June 30, 2017, respectively.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inventory are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June 30,</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$188,813</w:t>
            </w:r>
          </w:p>
        </w:tc>
        <w:tc>
          <w:tcPr>
            <w:tcW w:w="7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125,355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Work in process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4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197,879</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132,436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 based on a recognized index rate.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The Company accounts for derivative instruments in accordance with Accounting Standard Codification (“ASC”) Topic No.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(“ASC Topic No. 815”). ASC Topic No. 815 requires that all derivative instruments be recognized on the balance sheet at fair value as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93"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two-step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two-step process. 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six months ended June 30, 2018 the Company incurred $0.4 million and $0.8 million, respectively, of severance restructuring charges. At June 30, 2018, $0.4 million of restructuring changes were accrued.</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2016, to reduce costs and achieve synergies, the Company began the process of integrating its legal entities operating in Europe. During the three and six months ended June 30, 2017, the Company recorded $254,000, of restructuring expense related to the execution of this plan, primarily related to severance.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 xml:space="preserve">Effective January 1, 2018, the Company adopted Accounting Standards Update (“ASU”)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standard assists with evaluating whether transactions should be accounted for as acquisitions (or disposals) of assets or businesses. This standard will be applied prospectively to acquisitions and has not had an impact on the Company’s condensed consolidated financial statements.</w:t>
      </w:r>
    </w:p>
    <w:p>
      <w:pPr>
        <w:spacing w:after="0" w:line="166"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Effective January 1, 2018, the Company adopted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The Company adopted the new guidance under the modified retrospective approach. The adoption of this guidance did not have a significant impact on the Company’s condensed consolidated financial statements. The adoption resulted in the recognition of right of a return asset related to certain product returns by increasing the returns liability; this gross up had no corresponding impact on the Condensed Consolidated Statement of Operations.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 xml:space="preserve">Effective January 1, 2018, the Company adopted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which expands and refines hedge accounting for both non-financial and financial risk components and aligns the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the effects of the hedging instrument and the hedged item in the financial statements. The guidance also makes certain improvements to simplify the application of hedge accounting guidance and ease the administrative burden of hedge documentation requirements and assessing hedge effectiveness. The Company applied the new guidance to existing cash flow hedge relationships using a modified retrospective approach. No adjustment was recorded to opening retained earnings on the date of adoption, as there was no ineffectiveness previously recorded in retained earnings that would have been included in other comprehensive income if the new guidance had been applied since hedge inception. The adoption of this ASU did not have a material impact on the Company’s financial condition, results of operations or cash flows.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 xml:space="preserve">In February 2018, the Financial Accounting Standards Board (“FASB”) issued ASU 2018-02, </w:t>
      </w:r>
      <w:r>
        <w:rPr>
          <w:rFonts w:ascii="Arial" w:cs="Arial" w:eastAsia="Arial" w:hAnsi="Arial"/>
          <w:sz w:val="18"/>
          <w:szCs w:val="18"/>
          <w:i w:val="1"/>
          <w:iCs w:val="1"/>
          <w:color w:val="auto"/>
        </w:rPr>
        <w:t>Income Statement-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which addresses the effect on items within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(loss) of the change in the U.S. federal corporate tax rate due to the enactment of the Tax Cuts and Jobs Act (the “Tax Act”) on December 22, 2017. The guidance is effective for fiscal years beginning after December 15, 2018, with early adoption permitted. The Company is evaluating the effect of adopting this pronouncement.</w:t>
      </w:r>
    </w:p>
    <w:p>
      <w:pPr>
        <w:spacing w:after="0" w:line="188"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is permitted for interim or annual goodwill impairment tests performed on testing dates after January 1, 2017. The Company is evaluating the effect of adopting this pronouncement.</w:t>
      </w:r>
    </w:p>
    <w:p>
      <w:pPr>
        <w:spacing w:after="0" w:line="1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with those years. Early adoption is permitted. The Company is in the process of evaluating the effect the guidance will have on its existing accounting policies and its consolidated financial statements, but expects there will be an increase in assets and liabilities on the consolidated balance sheets at adoption due to the recording of the right-of-use assets and corresponding lease liabilities, which the Company estimates be material.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$0.8 million and $1.3 million for the three and six months ended June 30, 2018, respectively and $0.6 million and $1.2 million for the three and six months ended June 30, 2017, respectively. Net sales exclude taxes that are collected from customers and remitted to the taxing authorities.</w:t>
      </w:r>
    </w:p>
    <w:p>
      <w:pPr>
        <w:spacing w:after="0" w:line="169"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 of operations. Incidental items that are immaterial in the context of the contract are expensed as incurred.</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six months ended June 30, 2018 (in thousands).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40" w:type="dxa"/>
            <w:vAlign w:val="bottom"/>
            <w:gridSpan w:val="3"/>
          </w:tcPr>
          <w:p>
            <w:pPr>
              <w:jc w:val="center"/>
              <w:ind w:left="2154"/>
              <w:spacing w:after="0"/>
              <w:rPr>
                <w:sz w:val="20"/>
                <w:szCs w:val="20"/>
                <w:color w:val="auto"/>
              </w:rPr>
            </w:pPr>
            <w:r>
              <w:rPr>
                <w:rFonts w:ascii="Arial" w:cs="Arial" w:eastAsia="Arial" w:hAnsi="Arial"/>
                <w:sz w:val="14"/>
                <w:szCs w:val="14"/>
                <w:b w:val="1"/>
                <w:bCs w:val="1"/>
                <w:color w:val="auto"/>
                <w:w w:val="93"/>
              </w:rPr>
              <w:t>Three Months</w:t>
            </w:r>
          </w:p>
        </w:tc>
        <w:tc>
          <w:tcPr>
            <w:tcW w:w="58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11"/>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146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Wholesale</w:t>
            </w:r>
          </w:p>
        </w:tc>
        <w:tc>
          <w:tcPr>
            <w:tcW w:w="2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2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67,633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24,501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Retail Direct</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United States</w:t>
            </w: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119,659</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 of World</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—ACQUISITION</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$295.4 million, consisting of $218.5 million of cash consideration and 5,593,116 newly issued shares of the Company’s common stock, with a value equal to $76.9 million based on the market value of the Company’s common stock as of March 2, 2018. The cash portion of the consideration was revised for certain adjustments as defined in the agreement.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purchase price, as adjusted, has been determined to be as follows (in thousands):</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Share consideration</w:t>
            </w:r>
          </w:p>
        </w:tc>
        <w:tc>
          <w:tcPr>
            <w:tcW w:w="40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295,411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60" w:type="dxa"/>
            <w:vAlign w:val="bottom"/>
            <w:vMerge w:val="restart"/>
          </w:tcPr>
          <w:p>
            <w:pPr>
              <w:jc w:val="right"/>
              <w:ind w:right="2730"/>
              <w:spacing w:after="0"/>
              <w:rPr>
                <w:sz w:val="20"/>
                <w:szCs w:val="20"/>
                <w:color w:val="auto"/>
              </w:rPr>
            </w:pPr>
            <w:r>
              <w:rPr>
                <w:rFonts w:ascii="Arial" w:cs="Arial" w:eastAsia="Arial" w:hAnsi="Arial"/>
                <w:sz w:val="18"/>
                <w:szCs w:val="18"/>
                <w:color w:val="auto"/>
              </w:rPr>
              <w:t>- 12 -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purchase price was allocated based on the Company’s preliminary estimate of the fair value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Inventory</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(25,176)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(26,633)</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284,978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295,411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 xml:space="preserve">The acquisition is being accounted for as a business combination using the acquisition method of accounting in accordance with FASB ASC Topic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(“ASC Topic 815”), which established a new basis of accounting for all identifiable assets acquired and liabilities assumed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ASC Topic 805 allows the acquiring Company to adjust preliminary amounts recognized at the acquisition date to their subsequently determined final fair values during a measurement period, generally up to one year from the date of acquisition. The fair values of net assets acquired are based on the Company’s preliminary estimate of the respective fair values. The final valuation of net assets may result in material adjustments to the respective fair values and resulting goodwill. During the six months ended June 30, 2018, the Company increased goodwill by approximately</w:t>
      </w:r>
    </w:p>
    <w:p>
      <w:pPr>
        <w:spacing w:after="0" w:line="5"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$1.4 million, net, due to certain adjustments primarily related to the opening balance sheet income tax provision and unrecorded accruals. Goodwill results from such factors as an assembled workforce. The total amount of goodwill is not expected to be deductible for tax purposes. The goodwill and other intangible assets are primarily included in the U.S. Wholesale segment. Customer relationships, which are included in intangible assets, net, are amortized on a straight-line basis over their estimated useful lives (see Note E– Intangible Assets to the condensed consolidated financial statements included in this Quarterly Report on Form 10-Q).</w:t>
      </w:r>
    </w:p>
    <w:p>
      <w:pPr>
        <w:spacing w:after="0" w:line="191"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six months ended June 30, 2018 includes the operations of Filament for the period from March 2, 2018, the date of acquisition, to June 30, 2018. The condensed consolidated statement of operations for the three months ended June 30, 2018, includes $29.3 million of net sales and $0.4 million of net loss from operations contributed by Filament. The condensed consolidated statement of operations for the six months ended June 30, 2018, includes $38.6 million of net sales and $1.5 million of net loss from operations contributed by Filament.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following table presents the Company’s pro forma consolidated net sales, loss before income taxes and equity in earnings and net loss for the three and six months ended June 30, 2018 and June 30, 2017. The unaudited pro forma results include the historical statement of operations information of the Company and of Filament, giving effect to the Filament acquisition and related financing as if they had occurred at the beginning of the periods presented.</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color w:val="auto"/>
                <w:w w:val="97"/>
              </w:rPr>
              <w:t>Unaudited pro forma results</w:t>
            </w: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Three Months Ended</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Six Months Ended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right"/>
              <w:ind w:right="316"/>
              <w:spacing w:after="0"/>
              <w:rPr>
                <w:sz w:val="20"/>
                <w:szCs w:val="20"/>
                <w:color w:val="auto"/>
              </w:rPr>
            </w:pPr>
            <w:r>
              <w:rPr>
                <w:rFonts w:ascii="Arial" w:cs="Arial" w:eastAsia="Arial" w:hAnsi="Arial"/>
                <w:sz w:val="14"/>
                <w:szCs w:val="14"/>
                <w:color w:val="auto"/>
                <w:w w:val="94"/>
              </w:rPr>
              <w:t>June 30, 2018</w:t>
            </w:r>
          </w:p>
        </w:tc>
        <w:tc>
          <w:tcPr>
            <w:tcW w:w="1540" w:type="dxa"/>
            <w:vAlign w:val="bottom"/>
            <w:gridSpan w:val="3"/>
          </w:tcPr>
          <w:p>
            <w:pPr>
              <w:jc w:val="right"/>
              <w:ind w:right="400"/>
              <w:spacing w:after="0"/>
              <w:rPr>
                <w:sz w:val="20"/>
                <w:szCs w:val="20"/>
                <w:color w:val="auto"/>
              </w:rPr>
            </w:pPr>
            <w:r>
              <w:rPr>
                <w:rFonts w:ascii="Arial" w:cs="Arial" w:eastAsia="Arial" w:hAnsi="Arial"/>
                <w:sz w:val="14"/>
                <w:szCs w:val="14"/>
                <w:color w:val="auto"/>
              </w:rPr>
              <w:t>June 30, 2017</w:t>
            </w:r>
          </w:p>
        </w:tc>
        <w:tc>
          <w:tcPr>
            <w:tcW w:w="280" w:type="dxa"/>
            <w:vAlign w:val="bottom"/>
          </w:tcPr>
          <w:p>
            <w:pPr>
              <w:spacing w:after="0"/>
              <w:rPr>
                <w:sz w:val="14"/>
                <w:szCs w:val="14"/>
                <w:color w:val="auto"/>
              </w:rPr>
            </w:pPr>
          </w:p>
        </w:tc>
        <w:tc>
          <w:tcPr>
            <w:tcW w:w="1240" w:type="dxa"/>
            <w:vAlign w:val="bottom"/>
            <w:gridSpan w:val="2"/>
          </w:tcPr>
          <w:p>
            <w:pPr>
              <w:jc w:val="right"/>
              <w:ind w:right="296"/>
              <w:spacing w:after="0"/>
              <w:rPr>
                <w:sz w:val="20"/>
                <w:szCs w:val="20"/>
                <w:color w:val="auto"/>
              </w:rPr>
            </w:pPr>
            <w:r>
              <w:rPr>
                <w:rFonts w:ascii="Arial" w:cs="Arial" w:eastAsia="Arial" w:hAnsi="Arial"/>
                <w:sz w:val="14"/>
                <w:szCs w:val="14"/>
                <w:color w:val="auto"/>
                <w:w w:val="94"/>
              </w:rPr>
              <w:t>June 30, 2018</w:t>
            </w:r>
          </w:p>
        </w:tc>
        <w:tc>
          <w:tcPr>
            <w:tcW w:w="1340" w:type="dxa"/>
            <w:vAlign w:val="bottom"/>
            <w:gridSpan w:val="3"/>
          </w:tcPr>
          <w:p>
            <w:pPr>
              <w:jc w:val="right"/>
              <w:ind w:right="180"/>
              <w:spacing w:after="0"/>
              <w:rPr>
                <w:sz w:val="20"/>
                <w:szCs w:val="20"/>
                <w:color w:val="auto"/>
              </w:rPr>
            </w:pPr>
            <w:r>
              <w:rPr>
                <w:rFonts w:ascii="Arial" w:cs="Arial" w:eastAsia="Arial" w:hAnsi="Arial"/>
                <w:sz w:val="14"/>
                <w:szCs w:val="14"/>
                <w:color w:val="auto"/>
              </w:rPr>
              <w:t>June 30, 2017</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color w:val="auto"/>
                <w:w w:val="91"/>
              </w:rPr>
              <w:t>(In thousands, except per share data)</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color w:val="auto"/>
                <w:w w:val="91"/>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148,651</w:t>
            </w: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149,043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292,631</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307,313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Loss before income taxes and equity in earnings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(6,694)</w:t>
            </w:r>
          </w:p>
        </w:tc>
        <w:tc>
          <w:tcPr>
            <w:tcW w:w="6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(22,904)</w:t>
            </w:r>
          </w:p>
        </w:tc>
        <w:tc>
          <w:tcPr>
            <w:tcW w:w="5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(11,245)</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(5,092)</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(17,235)</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(5,935)</w:t>
            </w: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and diluted loss per common share</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(0.25)</w:t>
            </w:r>
          </w:p>
        </w:tc>
        <w:tc>
          <w:tcPr>
            <w:tcW w:w="6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(0.85)</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bl>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The Company owns approximately a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three and six months ended June 30, 2018 and 2017 in the accompanying condensed consolidated statements of operations. The value of the Company’s investment balance has been translated from Mexican Pesos (“MXN”) to U.S. Dollars (“USD”) using the spot rates of MXN 19.88 and MXN 19.68 at June 30, 2018 and December 31, 2017, respectively. The Company’s proportionate share of Vasconia’s net income has been translated from MXN to USD using the average exchange rates of MXN 19.38 and MXN 18.54 during the three months ended June 30, 2018 and 2017, respectively, and MXN 18.71 to MXN 19.38 and MXN 18.54 to MXN 20.30 during the six months ended June 30, 2018 and 2017, respectively. The effect of the translation of the Company’s investment resulted in a decrease to the investment of $1.1 million during the six months ended June 30, 2018 and an increase to the investment of $1.8 million during the six months ended 2017. These translation effects are recorded in accumulated other comprehensive income (loss). Included within prepaid expenses and other current assets at June 30, 2018 and December 31, 2017 are amounts due from Vasconia of $100,000 and $64,000, respectively. No amounts were due to Vasconia at June 30, 2018 or December 31, 2017.</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Summarized statement of income information for Vasconia in USD and MXN is as follows:</w:t>
      </w:r>
    </w:p>
    <w:p>
      <w:pPr>
        <w:spacing w:after="0" w:line="24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jc w:val="center"/>
        <w:ind w:left="61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66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3"/>
          </w:tcPr>
          <w:p>
            <w:pPr>
              <w:jc w:val="center"/>
              <w:ind w:left="144"/>
              <w:spacing w:after="0" w:line="123" w:lineRule="exact"/>
              <w:rPr>
                <w:sz w:val="20"/>
                <w:szCs w:val="20"/>
                <w:color w:val="auto"/>
              </w:rPr>
            </w:pPr>
            <w:r>
              <w:rPr>
                <w:rFonts w:ascii="Arial" w:cs="Arial" w:eastAsia="Arial" w:hAnsi="Arial"/>
                <w:sz w:val="14"/>
                <w:szCs w:val="14"/>
                <w:color w:val="auto"/>
                <w:w w:val="90"/>
              </w:rPr>
              <w:t>(in thousands)</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Arial" w:cs="Arial" w:eastAsia="Arial" w:hAnsi="Arial"/>
                <w:sz w:val="14"/>
                <w:szCs w:val="14"/>
                <w:color w:val="auto"/>
              </w:rPr>
              <w:t>MXN</w:t>
            </w:r>
          </w:p>
        </w:tc>
        <w:tc>
          <w:tcPr>
            <w:tcW w:w="34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MXN</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2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$48,061</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931,329</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$41,736</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773,825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9,986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193,517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143,790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31,258</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2,457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47,621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21,663</w:t>
            </w:r>
          </w:p>
        </w:tc>
        <w:tc>
          <w:tcPr>
            <w:tcW w:w="40" w:type="dxa"/>
            <w:vAlign w:val="bottom"/>
          </w:tcPr>
          <w:p>
            <w:pPr>
              <w:spacing w:after="0"/>
              <w:rPr>
                <w:sz w:val="20"/>
                <w:szCs w:val="20"/>
                <w:color w:val="auto"/>
              </w:rPr>
            </w:pPr>
          </w:p>
        </w:tc>
      </w:tr>
      <w:tr>
        <w:trPr>
          <w:trHeight w:val="32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center"/>
              <w:ind w:left="144"/>
              <w:spacing w:after="0"/>
              <w:rPr>
                <w:sz w:val="20"/>
                <w:szCs w:val="20"/>
                <w:color w:val="auto"/>
              </w:rPr>
            </w:pPr>
            <w:r>
              <w:rPr>
                <w:rFonts w:ascii="Arial" w:cs="Arial" w:eastAsia="Arial" w:hAnsi="Arial"/>
                <w:sz w:val="14"/>
                <w:szCs w:val="14"/>
                <w:b w:val="1"/>
                <w:bCs w:val="1"/>
                <w:color w:val="auto"/>
                <w:w w:val="92"/>
              </w:rPr>
              <w:t>Six Months Ended</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144"/>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6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3"/>
          </w:tcPr>
          <w:p>
            <w:pPr>
              <w:jc w:val="center"/>
              <w:ind w:left="144"/>
              <w:spacing w:after="0" w:line="123" w:lineRule="exact"/>
              <w:rPr>
                <w:sz w:val="20"/>
                <w:szCs w:val="20"/>
                <w:color w:val="auto"/>
              </w:rPr>
            </w:pPr>
            <w:r>
              <w:rPr>
                <w:rFonts w:ascii="Arial" w:cs="Arial" w:eastAsia="Arial" w:hAnsi="Arial"/>
                <w:sz w:val="14"/>
                <w:szCs w:val="14"/>
                <w:color w:val="auto"/>
                <w:w w:val="90"/>
              </w:rPr>
              <w:t>(in thousands)</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Arial" w:cs="Arial" w:eastAsia="Arial" w:hAnsi="Arial"/>
                <w:sz w:val="14"/>
                <w:szCs w:val="14"/>
                <w:color w:val="auto"/>
              </w:rPr>
              <w:t>MXN</w:t>
            </w:r>
          </w:p>
        </w:tc>
        <w:tc>
          <w:tcPr>
            <w:tcW w:w="34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MXN</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$87,630</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$1,671,735</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$78,558</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$1,521,320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Gross Profit</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17,105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326,724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303,211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80,587</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46,706</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60" w:type="dxa"/>
            <w:vAlign w:val="bottom"/>
          </w:tcPr>
          <w:p>
            <w:pPr>
              <w:jc w:val="right"/>
              <w:ind w:right="890"/>
              <w:spacing w:after="0"/>
              <w:rPr>
                <w:sz w:val="20"/>
                <w:szCs w:val="20"/>
                <w:color w:val="auto"/>
              </w:rPr>
            </w:pPr>
            <w:r>
              <w:rPr>
                <w:rFonts w:ascii="Arial" w:cs="Arial" w:eastAsia="Arial" w:hAnsi="Arial"/>
                <w:sz w:val="18"/>
                <w:szCs w:val="18"/>
                <w:color w:val="auto"/>
              </w:rPr>
              <w:t>- 14 -</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recorded equity in earnings of Vasconia, net of taxes, of $155,000 and $232,000, for the three and six months ended June 30, 2018, respectively. The Company recorded equity in earnings of Vasconia of $458,000 and $998,000 for the three and six months ended June 30, 2017, respectively. Equity in earnings for the three and six months ended June 30, 2018, includes deferred tax expense of $501,000 and $306,000, respectively, due to the requirement to record tax benefits for foreign currency translation gains and losses through other comprehensive income (loss), with a corresponding adjustment to deferred tax liabilities. Equity in earnings for the three and six months ended June 30, 2017, includes deferred tax benefit of $140,000 and $365,000, respectively</w:t>
      </w:r>
    </w:p>
    <w:p>
      <w:pPr>
        <w:spacing w:after="0" w:line="193"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As of June 30, 2018 and December 31, 2017, the fair value (based upon Vasconia’s quoted stock price) of the Company’s investment in Vasconia was $32.2 million and $31.8 million, respectively. The carrying value of the Company’s investment in Vasconia was $23.3 million and $23.8 million as of June 30, 2018 and December 31, 2017,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December 31, 2017</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Gross</w:t>
            </w:r>
          </w:p>
        </w:tc>
        <w:tc>
          <w:tcPr>
            <w:tcW w:w="1240" w:type="dxa"/>
            <w:vAlign w:val="bottom"/>
            <w:gridSpan w:val="4"/>
          </w:tcPr>
          <w:p>
            <w:pPr>
              <w:ind w:left="2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130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30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Licenses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700"/>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169,414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70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411,129</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366,198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126,729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summary of the activities related to the Company’s intangible assets for the six months ended June 30, 2018 consists of the following (in thousands):</w:t>
      </w:r>
    </w:p>
    <w:p>
      <w:pPr>
        <w:spacing w:after="0" w:line="29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Goodwill acquired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Trade names acquired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Customer relationships acquired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acquired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Goodwill and Intangible Assets, June 30, 2018</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366,198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540"/>
              <w:spacing w:after="0"/>
              <w:rPr>
                <w:sz w:val="20"/>
                <w:szCs w:val="20"/>
                <w:color w:val="auto"/>
              </w:rPr>
            </w:pPr>
            <w:r>
              <w:rPr>
                <w:rFonts w:ascii="Arial" w:cs="Arial" w:eastAsia="Arial" w:hAnsi="Arial"/>
                <w:sz w:val="18"/>
                <w:szCs w:val="18"/>
                <w:color w:val="auto"/>
              </w:rPr>
              <w:t>- 15 -</w:t>
            </w: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F—DEBT</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 connection with the Company’s acquisition of Filament, on March 2, 2018, the Company entered into a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original principal amount of $275.0 million, which will mature on February 28, 2025. The Term Loan facility requires quarterly payments of principal equal to 0.25% of the original aggregate principal amount of the term loan facility beginning June 30, 2018.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At June 30, 2018, borrowings outstanding under the ABL Agreement were $59.6 million, and open letters of credit were $3.1 million. At June 30, 2018, availability under the ABL Agreement was approximately $87.3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 at any given time.</w:t>
      </w:r>
    </w:p>
    <w:p>
      <w:pPr>
        <w:spacing w:after="0" w:line="193"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At June 30, 2018, $274.3 million was outstanding under the Term Loan. At June 30, 2018, unamortized debt issuance costs of $1.5 million and $8.2 million offset the short-term and long-term outstanding balances, respectively, of the Term Loan.</w:t>
      </w:r>
    </w:p>
    <w:p>
      <w:pPr>
        <w:spacing w:after="0" w:line="17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June 30, 2018 ranged from 2.0% to 5.5%. In addition, the Company paid a commitment fee of 0.375% on the unused portion of the ABL Agreement during the three months ended June 30, 2018.</w:t>
      </w:r>
    </w:p>
    <w:p>
      <w:pPr>
        <w:spacing w:after="0" w:line="193"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Term Loan facility bears interest, at the Company’s option, at one of the following rates: (i) alternate base rate, defined, for any day, as the greater of the prime rate, a federal funds and overnight bank funding based rate, plus 0.5% or one-month LIBOR (at the Company’s option), plus 1.0%, plus a margin of 2.50% or (ii) LIBOR plus a margin of 3.50%. The interest rate on outstanding borrowings under the Term Loan at June 30, 2018 ranged from 5.5% to 5.6%.</w:t>
      </w:r>
    </w:p>
    <w:p>
      <w:pPr>
        <w:spacing w:after="0" w:line="18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recently-ended four consecutive fiscal quarters on or prior to the date that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June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December 31, 2017, borrowings outstanding under the Company’s former credit facility were $94.7 million and open letters of credit were</w:t>
      </w:r>
    </w:p>
    <w:p>
      <w:pPr>
        <w:spacing w:after="0" w:line="35"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$3.2 million. Availability under the former credit agreement was approximately $58.0 million at December 31, 2017. Upon entering into the Debt Agreements in March 2018 the Company repaid its outstanding borrowings under its former credit agreement. In connection therewith, debt issuance costs of $66,000 were written off.</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value of $125.0 million at June 30, 2018. The Company designated the interest rate swaps as cash flow hedges of the Company’s exposure to the variability of the payment of interest on a portion of its Term Loan borrowings. The hedge periods of these agreements commenced in April 2018 and will expire in March 2023. The notional amounts are reduced over these periods.</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has also entered into certain foreign exchange contracts, primarily to offset the earnings impact related to fluctuations in foreign currency exchange rates associated with inventory purchases denominated in foreign currencies. The aggregate gross notional values of foreign exchange contracts at June 30, 2018 and December 31, 2017 were $21.5 million and $34.9 million, respectively. These foreign exchange contracts have not been designated as hedges as required in order to apply hedge accounting. The changes in the fair values of these contracts are recorded in earnings immediately.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80" w:type="dxa"/>
            <w:vAlign w:val="bottom"/>
          </w:tcPr>
          <w:p>
            <w:pPr>
              <w:spacing w:after="0"/>
              <w:rPr>
                <w:sz w:val="14"/>
                <w:szCs w:val="14"/>
                <w:color w:val="auto"/>
              </w:rPr>
            </w:pPr>
          </w:p>
        </w:tc>
        <w:tc>
          <w:tcPr>
            <w:tcW w:w="352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Balance Sheet Location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8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3900" w:type="dxa"/>
            <w:vAlign w:val="bottom"/>
            <w:gridSpan w:val="3"/>
          </w:tcPr>
          <w:p>
            <w:pPr>
              <w:ind w:left="3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Deferred rent &amp; other long-term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24"/>
                <w:szCs w:val="24"/>
                <w:color w:val="auto"/>
              </w:rPr>
            </w:pPr>
          </w:p>
        </w:tc>
        <w:tc>
          <w:tcPr>
            <w:tcW w:w="352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Balance Sheet Location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The fair values of the derivative financial instruments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2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amounts of gains and losses related to the Company’s derivative financial instruments designated as hedging instruments are recognized in other comprehensive income (loss) as follows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16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3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Ended June 30,</w:t>
            </w:r>
          </w:p>
        </w:tc>
        <w:tc>
          <w:tcPr>
            <w:tcW w:w="34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4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$(263)</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$(277)</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During the three and six months ended June 30, 2018 the Company recognized $0.2 million of interest expense related to the interest rate swaps. Gains or losses on the interest rate swaps will be reclassified into earnings as interest expense as the interest expense on the debt is recognized in earnings.</w:t>
      </w:r>
    </w:p>
    <w:p>
      <w:pPr>
        <w:spacing w:after="0" w:line="124"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In connection with the financing transaction described in Note F– Debt to the condensed consolidated financial statements included in this Quarterly Report on Form 10-Q, in March 2018 the Company settled its outstanding interest rate swaps, which had been accounted for as hedges and had an aggregate notional value of $5.3 million. The net gain at such time in accumulated other comprehensive income at December 31, 2017 related to the interest rate swaps was reclassified into interest expense during the three months ended March 31, 2018.</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680" w:type="dxa"/>
            <w:vAlign w:val="bottom"/>
          </w:tcPr>
          <w:p>
            <w:pPr>
              <w:spacing w:after="0"/>
              <w:rPr>
                <w:sz w:val="14"/>
                <w:szCs w:val="14"/>
                <w:color w:val="auto"/>
              </w:rPr>
            </w:pPr>
          </w:p>
        </w:tc>
        <w:tc>
          <w:tcPr>
            <w:tcW w:w="380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4"/>
                <w:szCs w:val="14"/>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Ended June 30,</w:t>
            </w:r>
          </w:p>
        </w:tc>
        <w:tc>
          <w:tcPr>
            <w:tcW w:w="80" w:type="dxa"/>
            <w:vAlign w:val="bottom"/>
          </w:tcPr>
          <w:p>
            <w:pPr>
              <w:spacing w:after="0"/>
              <w:rPr>
                <w:sz w:val="14"/>
                <w:szCs w:val="1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2018</w:t>
            </w: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$1,468</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$(1,377)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$(47)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$(1,566)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H</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On June 28, 2018, the shareholders of the Company approved an amendment and restatement of the Company’s Amended and Restated 2000 Long-Term Incentive Plan (the “Plan”). The amendment and restatement of the Plan revised the terms and conditions of the Plan to, among other things, increase the shares available for grant under the Plan by 900,000 shares. As of June 30, 2018, there were 944,419 shares available for the grant of awards under the Plan.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2018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1120" w:type="dxa"/>
            <w:vAlign w:val="bottom"/>
            <w:gridSpan w:val="2"/>
          </w:tcPr>
          <w:p>
            <w:pPr>
              <w:jc w:val="center"/>
              <w:ind w:left="336"/>
              <w:spacing w:after="0" w:line="149" w:lineRule="exact"/>
              <w:rPr>
                <w:sz w:val="20"/>
                <w:szCs w:val="20"/>
                <w:color w:val="auto"/>
              </w:rPr>
            </w:pPr>
            <w:r>
              <w:rPr>
                <w:rFonts w:ascii="Arial" w:cs="Arial" w:eastAsia="Arial" w:hAnsi="Arial"/>
                <w:sz w:val="14"/>
                <w:szCs w:val="14"/>
                <w:b w:val="1"/>
                <w:bCs w:val="1"/>
                <w:color w:val="auto"/>
                <w:w w:val="92"/>
              </w:rPr>
              <w:t>contractual</w:t>
            </w:r>
          </w:p>
        </w:tc>
        <w:tc>
          <w:tcPr>
            <w:tcW w:w="4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price</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4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1,456,200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205,750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13.56</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(13,875)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17.43</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June 30,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1,638,825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1,512,990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exercisable, June 30,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13.32</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1,312,395</w:t>
            </w:r>
          </w:p>
        </w:tc>
        <w:tc>
          <w:tcPr>
            <w:tcW w:w="26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1,512,990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2018. The intrinsic value is calculated for each in-the-money stock option as the difference between the closing price of the Company’s common stock on June 30, 2018 and the exercise price.</w:t>
      </w:r>
    </w:p>
    <w:p>
      <w:pPr>
        <w:spacing w:after="0" w:line="18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Total unrecognized stock option compensation expense at June 30, 2018, before the effect of income taxes, was $1.4 million and is expected to be recognized over a weighted-average period of 2.6 years.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2018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2018</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223,759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(85,177)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June 30, 2018</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$4,935,000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 of restricted stock that vested during the six months ended June 30, 2018 was $1.0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as determined by the Compensation Committee, by the end of the performance period. The shares are subject to the terms and conditions of the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the Company’s performance-based award activity and related information for the six months ended June 30, 2018 is as follows: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140" w:type="dxa"/>
            <w:vAlign w:val="bottom"/>
            <w:gridSpan w:val="3"/>
            <w:vMerge w:val="restart"/>
          </w:tcPr>
          <w:p>
            <w:pPr>
              <w:jc w:val="center"/>
              <w:ind w:left="634"/>
              <w:spacing w:after="0"/>
              <w:rPr>
                <w:sz w:val="20"/>
                <w:szCs w:val="20"/>
                <w:color w:val="auto"/>
              </w:rPr>
            </w:pPr>
            <w:r>
              <w:rPr>
                <w:rFonts w:ascii="Arial" w:cs="Arial" w:eastAsia="Arial" w:hAnsi="Arial"/>
                <w:sz w:val="14"/>
                <w:szCs w:val="14"/>
                <w:b w:val="1"/>
                <w:bCs w:val="1"/>
                <w:color w:val="auto"/>
                <w:w w:val="95"/>
              </w:rPr>
              <w:t>Performance-</w:t>
            </w:r>
          </w:p>
        </w:tc>
        <w:tc>
          <w:tcPr>
            <w:tcW w:w="22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based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2018</w:t>
            </w:r>
          </w:p>
        </w:tc>
        <w:tc>
          <w:tcPr>
            <w:tcW w:w="1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Grants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144,175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(58,888)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June 30, 2018</w:t>
            </w:r>
          </w:p>
        </w:tc>
        <w:tc>
          <w:tcPr>
            <w:tcW w:w="10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$ 3,036,000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performance-based awards that vested during the six months ended June 30, 2018 was $792,000.</w:t>
      </w:r>
    </w:p>
    <w:p>
      <w:pPr>
        <w:spacing w:after="0" w:line="22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Company recognized total stock compensation expense of $0.9 million for the three months ended June 30, 2018, of which $0.2 million represents stock option compensation expense and $0.7 million represents restricted stock and performance based stock compensation expense. For the six months ended June 30, 2018, the Company recognized total stock compensation expense of $1.8 million, of which $0.4 million represents stock option compensation expense and $1.4 million represents restricted stock and performance based stock compensation expense. The Company recognized total stock compensation expense of $0.7 million for the three months ended June 30, 2017, of which $0.2 million represents stock option compensation expense and $0.5 million represents restricted stock and performance based stock compensation expense. For the six months ended June 30, 2017, the Company recognized total stock compensation expense of $1.5 million, of which $0.6 million represents stock option compensation expense and $0.9 million represents restricted stock and performance based stock compensation expense.</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I—LOSS PER COMMON SHARE</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The calculations of basic and diluted loss per common share for the three and six months ended June 30, 2018 and 2017 are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2"/>
              </w:rPr>
              <w:t>Six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82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center"/>
              <w:ind w:right="34"/>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center"/>
              <w:ind w:right="34"/>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basic and diluted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(6,057)</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(17,655)</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(3,427)</w:t>
            </w: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Weighted-average shares outstanding – basic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20,327</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18,474</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(0.96)</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computation of diluted loss per common share for the three and six months ended June 30, 2018 excludes 1,990,536 shares and 1,938,124 shares, respectively, related to options to purchase shares and other stock awards. The computation of diluted loss per common share for the three and six months ended June 30, 2017 excludes 1,990,982 shares and 1,997,072 shares, respectively, related to options to purchase shares and other stock awards. These shares were excluded due to their antidilutive effects.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jc w:val="both"/>
        <w:ind w:left="200" w:right="140"/>
        <w:spacing w:after="0" w:line="312" w:lineRule="auto"/>
        <w:rPr>
          <w:sz w:val="20"/>
          <w:szCs w:val="20"/>
          <w:color w:val="auto"/>
        </w:rPr>
      </w:pPr>
      <w:r>
        <w:rPr>
          <w:rFonts w:ascii="Arial" w:cs="Arial" w:eastAsia="Arial" w:hAnsi="Arial"/>
          <w:sz w:val="16"/>
          <w:szCs w:val="16"/>
          <w:color w:val="auto"/>
        </w:rPr>
        <w:t>On December 22, 2017, the legislation commonly referred to as the Tax Cuts and Jobs Act (the “Tax Act”) was enacted. The Tax Act revised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47" w:lineRule="exact"/>
        <w:rPr>
          <w:sz w:val="20"/>
          <w:szCs w:val="20"/>
          <w:color w:val="auto"/>
        </w:rPr>
      </w:pPr>
    </w:p>
    <w:p>
      <w:pPr>
        <w:ind w:left="200" w:right="300"/>
        <w:spacing w:after="0" w:line="293" w:lineRule="auto"/>
        <w:rPr>
          <w:sz w:val="20"/>
          <w:szCs w:val="20"/>
          <w:color w:val="auto"/>
        </w:rPr>
      </w:pPr>
      <w:r>
        <w:rPr>
          <w:rFonts w:ascii="Arial" w:cs="Arial" w:eastAsia="Arial" w:hAnsi="Arial"/>
          <w:sz w:val="16"/>
          <w:szCs w:val="16"/>
          <w:color w:val="auto"/>
        </w:rPr>
        <w:t>The Securities and Exchange Commission issued Staff Accounting Bulletin 118 (“SAB 118”) to provide guidance to companies that have not yet completed their accounting for the Tax Act in the period of enactment. SAB 118 provides that the Company include in its financial statements a reasonable estimate of the impact of the Tax Act on earnings to the extent such estimate has been determined. Accordingly, in the year ended December 31, 2017, the Company recorded a provisional income tax expense of $3.3 million associated with the re-measurement of the Company’s deferred tax assets stemming from the reduction of the U.S. federal income tax rate and one-time transition tax on the Company’s material wholly owned foreign subsidiaries’ accumulated, unremitted earnings, based on the reasonable estimate guidance provided by SAB 118.</w:t>
      </w:r>
    </w:p>
    <w:p>
      <w:pPr>
        <w:spacing w:after="0" w:line="165"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As of June 30, 2018 the Company has not changed the provisional estimates recognized in 2017, and the Company is not yet able to calculate a reasonable estimate for the impact of the one-time transition tax on the Company’s equity investment due to the complexity of calculating accumulated foreign earnings and profits, foreign tax paid, and other tax components involved in foreign tax credit calculations for applicable years after 1986.</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Since January 1, 2018, the Tax Act has subjected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Given the complexity of the GILTI provisions, the Company is still evaluating the tax impact and has not yet made the accounting policy election. As of June 30, 2018, the Company was able to reasonably estimate provisional adjustments, based on current year operations only, related to GILTI and FDII that have been recognized in the Company’s financial statements. For the BEAT and Interest Limitation impact of the Tax Act, the Company has not recorded a provisional estimate in its effective tax rate for the six months ended June 30, 2018 because the Company does not currently estimate that these provisions of the Tax Act will apply in 2018.</w:t>
      </w:r>
    </w:p>
    <w:p>
      <w:pPr>
        <w:spacing w:after="0" w:line="197" w:lineRule="exact"/>
        <w:rPr>
          <w:sz w:val="20"/>
          <w:szCs w:val="20"/>
          <w:color w:val="auto"/>
        </w:rPr>
      </w:pPr>
    </w:p>
    <w:p>
      <w:pPr>
        <w:jc w:val="both"/>
        <w:ind w:left="200" w:right="100"/>
        <w:spacing w:after="0" w:line="342" w:lineRule="auto"/>
        <w:rPr>
          <w:sz w:val="20"/>
          <w:szCs w:val="20"/>
          <w:color w:val="auto"/>
        </w:rPr>
      </w:pPr>
      <w:r>
        <w:rPr>
          <w:rFonts w:ascii="Arial" w:cs="Arial" w:eastAsia="Arial" w:hAnsi="Arial"/>
          <w:sz w:val="16"/>
          <w:szCs w:val="16"/>
          <w:color w:val="auto"/>
        </w:rPr>
        <w:t>Pursuant to SAB 118, the Company is allowed a measurement period of up to one year after the enactment date of the Tax Act to finalize the recording of the related tax impacts. The Company will continue to calculate the impact of the Tax Act and will record any resulting tax adjustments during 2018.</w:t>
      </w:r>
    </w:p>
    <w:p>
      <w:pPr>
        <w:spacing w:after="0" w:line="124" w:lineRule="exact"/>
        <w:rPr>
          <w:sz w:val="20"/>
          <w:szCs w:val="20"/>
          <w:color w:val="auto"/>
        </w:rPr>
      </w:pPr>
    </w:p>
    <w:p>
      <w:pPr>
        <w:ind w:left="200" w:right="360"/>
        <w:spacing w:after="0" w:line="286" w:lineRule="auto"/>
        <w:rPr>
          <w:sz w:val="20"/>
          <w:szCs w:val="20"/>
          <w:color w:val="auto"/>
        </w:rPr>
      </w:pPr>
      <w:r>
        <w:rPr>
          <w:rFonts w:ascii="Arial" w:cs="Arial" w:eastAsia="Arial" w:hAnsi="Arial"/>
          <w:sz w:val="17"/>
          <w:szCs w:val="17"/>
          <w:color w:val="auto"/>
        </w:rPr>
        <w:t>Income tax benefit of $1.8 million and $5.6 million for the three and six months ended June 30, 2018, respectively, represent taxes on both U.S. and foreign earnings at a combined effective income tax benefit rate of 22.1% and 23.8%, respectively. The effective rates for the three and six months ended June 30, 2018 reflects the reduced U.S. corporate income tax rate, partially offset by non-deductible expenses.</w:t>
      </w:r>
    </w:p>
    <w:p>
      <w:pPr>
        <w:spacing w:after="0" w:line="166"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Income tax benefit of $1.7 million and $2.6 million for the three and six months ended June 30, 2017, respectively, represent taxes on both U.S. and foreign earnings at a combined effective income tax benefit rates of 39.9% and 37.4%, respectively.</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On a quarterly basis, the Company evaluates its tax positions and revises its estimates accordingly. The estimated value of the Company’s uncertain tax positions at June 30, 2018 is a gross liability of $3.7 million. The Company believes that $3.0 million of its tax positions will be resolved within the next twelve months.</w:t>
      </w:r>
    </w:p>
    <w:p>
      <w:pPr>
        <w:spacing w:after="0" w:line="181"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The Company has identified the following jurisdictions as “major” tax jurisdictions: U.S. Federal, California, Massachusetts, New York, New Jersey, Illinois and the United Kingdom. The Company is no longer subject to U.S. Federal income tax examinations for the years prior to 2014. At June 30, 2018, the periods subject to examination for the Company’s major state jurisdictions are the years ended 2013 through 2017.</w:t>
      </w:r>
    </w:p>
    <w:p>
      <w:pPr>
        <w:spacing w:after="0" w:line="147"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The Company’s policy for recording interest and penalties is to record such items as a component of income taxes. Interest and penalties were not material to the Company’s results of operations or cash flows as of and for the three and six months ended June 30, 2018 and 2017. At June 30, 2018, interest and penalties included in the Company’s uncertain tax position gross liability was approximately $1.1 million.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BUSINESS SEGMENTS</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Company has three reportable business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where the Company markets and sells a limited selection of its products directly to consumers through third party and its own internet websites.</w:t>
      </w:r>
    </w:p>
    <w:p>
      <w:pPr>
        <w:spacing w:after="0" w:line="18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 Company has segmented its operations to reflect the manner in which management reviews and evaluates the results of its operations. While the three segments distribute similar products, the segments are distinct due to the different methods the Company uses to sell, market, and distribute the products. Management evaluates the performance of the U.S. Wholesale, International and Retail Direct segments based on net sales and income (loss) from operations. Such measures give recognition to specifically identifiable operating costs such as cost of sales,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8"/>
          </w:tcPr>
          <w:p>
            <w:pPr>
              <w:jc w:val="right"/>
              <w:ind w:right="640"/>
              <w:spacing w:after="0" w:line="142"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U.S. Wholesale</w:t>
            </w:r>
          </w:p>
        </w:tc>
        <w:tc>
          <w:tcPr>
            <w:tcW w:w="2540" w:type="dxa"/>
            <w:vAlign w:val="bottom"/>
            <w:gridSpan w:val="5"/>
          </w:tcPr>
          <w:p>
            <w:pPr>
              <w:jc w:val="right"/>
              <w:spacing w:after="0"/>
              <w:rPr>
                <w:sz w:val="20"/>
                <w:szCs w:val="20"/>
                <w:color w:val="auto"/>
              </w:rPr>
            </w:pPr>
            <w:r>
              <w:rPr>
                <w:rFonts w:ascii="Arial" w:cs="Arial" w:eastAsia="Arial" w:hAnsi="Arial"/>
                <w:sz w:val="18"/>
                <w:szCs w:val="18"/>
                <w:color w:val="auto"/>
              </w:rPr>
              <w:t>$124,348</w:t>
            </w:r>
          </w:p>
        </w:tc>
        <w:tc>
          <w:tcPr>
            <w:tcW w:w="3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$ 94,770</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215,143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19,083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19,365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Retail Direct</w:t>
            </w: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5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148,651</w:t>
            </w:r>
          </w:p>
        </w:tc>
        <w:tc>
          <w:tcPr>
            <w:tcW w:w="3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117,393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266,820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Wholesale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Direct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(3,301)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(16,617)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Wholesale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Direct</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Total depreciation and amortization</w:t>
            </w:r>
          </w:p>
        </w:tc>
        <w:tc>
          <w:tcPr>
            <w:tcW w:w="1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color w:val="auto"/>
                <w:w w:val="90"/>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U.S. Wholesale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$619,288</w:t>
            </w: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281,398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102,584</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105,984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Retail Direct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Other</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19,075</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742,046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401,521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L</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ind w:left="200" w:right="34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M</w:t>
      </w:r>
      <w:r>
        <w:rPr>
          <w:rFonts w:ascii="Arial" w:cs="Arial" w:eastAsia="Arial" w:hAnsi="Arial"/>
          <w:sz w:val="18"/>
          <w:szCs w:val="18"/>
          <w:color w:val="auto"/>
        </w:rPr>
        <w:t>—</w:t>
      </w:r>
      <w:r>
        <w:rPr>
          <w:rFonts w:ascii="Arial" w:cs="Arial" w:eastAsia="Arial" w:hAnsi="Arial"/>
          <w:sz w:val="18"/>
          <w:szCs w:val="18"/>
          <w:b w:val="1"/>
          <w:bCs w:val="1"/>
          <w:color w:val="auto"/>
        </w:rPr>
        <w:t>OTHER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declared in the six months ended June 30, 2018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Dividend per share</w:t>
            </w:r>
          </w:p>
        </w:tc>
        <w:tc>
          <w:tcPr>
            <w:tcW w:w="3900" w:type="dxa"/>
            <w:vAlign w:val="bottom"/>
          </w:tcPr>
          <w:p>
            <w:pPr>
              <w:spacing w:after="0"/>
              <w:rPr>
                <w:sz w:val="16"/>
                <w:szCs w:val="16"/>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Date declared</w:t>
            </w:r>
          </w:p>
        </w:tc>
        <w:tc>
          <w:tcPr>
            <w:tcW w:w="26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Date of record</w:t>
            </w:r>
          </w:p>
        </w:tc>
        <w:tc>
          <w:tcPr>
            <w:tcW w:w="260" w:type="dxa"/>
            <w:vAlign w:val="bottom"/>
          </w:tcPr>
          <w:p>
            <w:pPr>
              <w:spacing w:after="0"/>
              <w:rPr>
                <w:sz w:val="16"/>
                <w:szCs w:val="16"/>
                <w:color w:val="auto"/>
              </w:rPr>
            </w:pP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Payment date</w:t>
            </w:r>
          </w:p>
        </w:tc>
      </w:tr>
      <w:tr>
        <w:trPr>
          <w:trHeight w:val="203"/>
        </w:trPr>
        <w:tc>
          <w:tcPr>
            <w:tcW w:w="3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0.0425</w:t>
            </w:r>
          </w:p>
        </w:tc>
        <w:tc>
          <w:tcPr>
            <w:tcW w:w="3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March 8, 2018</w:t>
            </w: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 2018</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15, 2018</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0.0425</w:t>
            </w:r>
          </w:p>
        </w:tc>
        <w:tc>
          <w:tcPr>
            <w:tcW w:w="5060" w:type="dxa"/>
            <w:vAlign w:val="bottom"/>
            <w:gridSpan w:val="2"/>
          </w:tcPr>
          <w:p>
            <w:pPr>
              <w:ind w:left="3900"/>
              <w:spacing w:after="0"/>
              <w:rPr>
                <w:sz w:val="20"/>
                <w:szCs w:val="20"/>
                <w:color w:val="auto"/>
              </w:rPr>
            </w:pPr>
            <w:r>
              <w:rPr>
                <w:rFonts w:ascii="Arial" w:cs="Arial" w:eastAsia="Arial" w:hAnsi="Arial"/>
                <w:sz w:val="18"/>
                <w:szCs w:val="18"/>
                <w:color w:val="auto"/>
                <w:w w:val="99"/>
              </w:rPr>
              <w:t>June 28, 2018</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w w:val="97"/>
              </w:rPr>
              <w:t>August 1, 2018</w:t>
            </w: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w w:val="97"/>
              </w:rPr>
              <w:t>August 15, 2018</w:t>
            </w:r>
          </w:p>
        </w:tc>
      </w:tr>
    </w:tbl>
    <w:p>
      <w:pPr>
        <w:spacing w:after="0" w:line="187"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On February 15, 2018 and May 15, 2018, the Company paid dividends of $0.6 million and $0.9 million, respectively, to shareholders of record on February 1, 2018 and May 1, 2018, respectively. In the six months ended June 30, 2018, the Company reduced retained earnings for the accrual of $0.9 million relating to the dividend payable on August 15, 2018.</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On July 31, 2018 the Board of Directors declared a quarterly dividend of $0.0425 per share payable on November 15, 2018 to shareholders of record on November 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Six Months Ended</w:t>
      </w:r>
    </w:p>
    <w:p>
      <w:pPr>
        <w:jc w:val="center"/>
        <w:ind w:left="67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500" w:type="dxa"/>
            <w:vAlign w:val="bottom"/>
            <w:gridSpan w:val="2"/>
          </w:tcPr>
          <w:p>
            <w:pPr>
              <w:jc w:val="right"/>
              <w:ind w:right="274"/>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Supplemental disclosure of cash flow information:</w:t>
            </w:r>
          </w:p>
        </w:tc>
        <w:tc>
          <w:tcPr>
            <w:tcW w:w="2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720" w:type="dxa"/>
            <w:vAlign w:val="bottom"/>
            <w:gridSpan w:val="2"/>
          </w:tcPr>
          <w:p>
            <w:pPr>
              <w:jc w:val="right"/>
              <w:ind w:right="168"/>
              <w:spacing w:after="0"/>
              <w:rPr>
                <w:sz w:val="20"/>
                <w:szCs w:val="20"/>
                <w:color w:val="auto"/>
              </w:rPr>
            </w:pPr>
            <w:r>
              <w:rPr>
                <w:rFonts w:ascii="Arial" w:cs="Arial" w:eastAsia="Arial" w:hAnsi="Arial"/>
                <w:sz w:val="18"/>
                <w:szCs w:val="18"/>
                <w:color w:val="auto"/>
              </w:rPr>
              <w:t>$ 5,614</w:t>
            </w:r>
          </w:p>
        </w:tc>
        <w:tc>
          <w:tcPr>
            <w:tcW w:w="700" w:type="dxa"/>
            <w:vAlign w:val="bottom"/>
          </w:tcPr>
          <w:p>
            <w:pPr>
              <w:jc w:val="right"/>
              <w:spacing w:after="0"/>
              <w:rPr>
                <w:sz w:val="20"/>
                <w:szCs w:val="20"/>
                <w:color w:val="auto"/>
              </w:rPr>
            </w:pPr>
            <w:r>
              <w:rPr>
                <w:rFonts w:ascii="Arial" w:cs="Arial" w:eastAsia="Arial" w:hAnsi="Arial"/>
                <w:sz w:val="18"/>
                <w:szCs w:val="18"/>
                <w:color w:val="auto"/>
              </w:rPr>
              <w:t>$1,704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7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2,763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adjustment</w:t>
            </w:r>
          </w:p>
        </w:tc>
        <w:tc>
          <w:tcPr>
            <w:tcW w:w="37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920" w:type="dxa"/>
            <w:vAlign w:val="bottom"/>
          </w:tcPr>
          <w:p>
            <w:pPr>
              <w:jc w:val="right"/>
              <w:ind w:right="2370"/>
              <w:spacing w:after="0"/>
              <w:rPr>
                <w:sz w:val="20"/>
                <w:szCs w:val="20"/>
                <w:color w:val="auto"/>
              </w:rPr>
            </w:pPr>
            <w:r>
              <w:rPr>
                <w:rFonts w:ascii="Arial" w:cs="Arial" w:eastAsia="Arial" w:hAnsi="Arial"/>
                <w:sz w:val="18"/>
                <w:szCs w:val="18"/>
                <w:color w:val="auto"/>
              </w:rPr>
              <w:t>- 25 -</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June 30, 2018</w:t>
      </w:r>
    </w:p>
    <w:p>
      <w:pPr>
        <w:spacing w:after="0" w:line="10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60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(24,441)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(33,668)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(27,821)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(35,644)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during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(29,930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(30,356</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(29,930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(30,356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Derivative fair value adjustment, net of taxes of $88 and $1 for the three month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periods ended June 30, 2018 and 2017, respectively and $88 and $9 for the six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months ended June 30, 2018 and 2017,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520"/>
              <w:spacing w:after="0" w:line="201" w:lineRule="exact"/>
              <w:rPr>
                <w:sz w:val="20"/>
                <w:szCs w:val="20"/>
                <w:color w:val="auto"/>
              </w:rPr>
            </w:pPr>
            <w:r>
              <w:rPr>
                <w:rFonts w:ascii="Arial" w:cs="Arial" w:eastAsia="Arial" w:hAnsi="Arial"/>
                <w:sz w:val="18"/>
                <w:szCs w:val="18"/>
                <w:color w:val="auto"/>
                <w:w w:val="97"/>
              </w:rPr>
              <w:t>Amortization of actuarial losses, net of taxes of $12 and $10 for the three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w w:val="94"/>
              </w:rPr>
              <w:t>month periods ended June 30, 2018 and 2017, respectively and $24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$20 for the six months ended June 30, 2018 and 2017,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other comprehensive loss at end of period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(31,676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(31,666</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(31,676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(31,666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recorded as interest expense on the condensed consolidated statements of operations.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condensed consolidated statements of operations.</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780"/>
          </w:cols>
          <w:pgMar w:left="240" w:top="459" w:right="8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Lifetime Brands,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reviewed the accompanying condensed consolidated balance sheet of Lifetime Brands, Inc. (the Company) as of June 30, 2018, the related condensed consolidated statements of operations and comprehensive income (loss) for the three and six-month periods ended June 30, 2018 and 2017, the condensed consolidated statements of cash flows for the six-month periods ended June 30, 2018 and 2017 and the related notes (collectively referred to as the “condensed consolidated interim financial statements”). Based on our reviews, we are not aware of any material modifications that should be made to the condensed consolidated interim financial statements for them to be in conformity with U.S. generally accepted accounting principles.</w:t>
      </w:r>
    </w:p>
    <w:p>
      <w:pPr>
        <w:spacing w:after="0" w:line="158"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balance sheet of the Company as of December 31, 2017, the related consolidated statements of operations, comprehensive income (loss), stockholders’ equity and cash flows for the year then ended, and the related notes and schedules (not presented herein); and in our report dated March 16, 2018, we expressed an unqualified audit opinion on those consolidated financial statements and included an explanatory paragraph for reference to other auditors.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Jericho, New York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7,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When used in this Quarterly Report on Form</w:t>
      </w:r>
    </w:p>
    <w:p>
      <w:pPr>
        <w:spacing w:after="0" w:line="2"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10-Q, the words “estimates,” “expects,” “anticipates,” “projects,” “plans,” “intends,” “believes,” “may,” “should,” “assumes,” “seeks,” and variations of such words or similar expressions, and the negatives thereof,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79" w:lineRule="exact"/>
        <w:rPr>
          <w:sz w:val="20"/>
          <w:szCs w:val="20"/>
          <w:color w:val="auto"/>
        </w:rPr>
      </w:pPr>
    </w:p>
    <w:p>
      <w:pPr>
        <w:ind w:left="200" w:right="300"/>
        <w:spacing w:after="0" w:line="257" w:lineRule="auto"/>
        <w:rPr>
          <w:sz w:val="20"/>
          <w:szCs w:val="20"/>
          <w:color w:val="auto"/>
        </w:rPr>
      </w:pPr>
      <w:r>
        <w:rPr>
          <w:rFonts w:ascii="Arial" w:cs="Arial" w:eastAsia="Arial" w:hAnsi="Arial"/>
          <w:sz w:val="18"/>
          <w:szCs w:val="18"/>
          <w:color w:val="auto"/>
        </w:rPr>
        <w:t>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this Quarterly Report on Form 10-Q in Part II, Item 1A Risk Factors and in Part I, Item 1A. Risk Factors included in the Company’s Annual Report on Form 10-K for the fiscal year ended December 31, 2017. Such risks, uncertainties and other important factors include, among others, risks related to:</w:t>
      </w:r>
    </w:p>
    <w:p>
      <w:pPr>
        <w:spacing w:after="0" w:line="9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252"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252"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252"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252"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252"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 The Company, however, reserves the right to update such statements, or any portion thereof, at any time for any reason.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and giftware); and one category, Home Solutions, which comprises other products used in the home (thermal beverageware, food storage, neoprene travel products, bath scales, and home décor). In 2017, Kitchenware products and Tableware products accounted for approximately 89% of the Company’s U.S. Wholesale segment’s net sales and 88% of the Company’s consolidated net sales.</w:t>
      </w:r>
    </w:p>
    <w:p>
      <w:pPr>
        <w:spacing w:after="0" w:line="17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six months ended June 30, 2018 includes the operations of Filament for the period from March 2, 2018 to June 30, 2018.</w:t>
      </w:r>
    </w:p>
    <w:p>
      <w:pPr>
        <w:spacing w:after="0" w:line="187"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At the heart of the Company is a culture of innovation. The Company employs over 120 artists, engineers, industrial designers and graphics specialists, who create new products, packaging and merchandising concepts. The Company expects to introduce approximately 4,000 new or redesigned products globally in 2018. Newly introduced products generally reach their peak sales in 12 to 18 months.</w:t>
      </w:r>
    </w:p>
    <w:p>
      <w:pPr>
        <w:spacing w:after="0" w:line="166"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Fitz and Floyd</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xml:space="preserve"> and LaCafetière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The Company operates in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third party and its own internet websites. The Company has segmented its operations to reflect the manner in which management reviews and evaluates its results of operations.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81"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The Company accounts for its investment in Vasconia using the equity method of accounting and has recorded its proportionate share of Vasconia’s net income, net of taxes, as equity in earnings in the Company’s consolidated statements of operations. Pursuant to a Shares Subscription Agreement (the “Agreement”), the Company may designate four persons to be nominated as members of Vasconia’s Board of Directors. As of June 30, 2018, Vasconia’s Board of Directors was comprised of eleven members of whom the Company has designated three members.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2017 and 2016, net sales for the third and fourth quarters accounted for 60% and 61%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three and six months ended June 30, 2018, the Company incurred $0.4 million and $0.8 million, respectively, of restructuring charges primarily related to severance.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The following is an update to the corresponding critical accounting policies and estimates set forth in the Company’s Annual Report on Form 10-K for the fiscal year ended December 31, 2017. Except as modified below, there have been no material changes to the Company’s critical accounting policies and estimates discussed in Item 7. Management’s Discussion and Analysis of Financial Condition and Results of Operations – Critical Accounting Policies and Estimates included in the Company’s Annual Report on Form 10-K for the fiscal year ended December 31, 2017.</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sells products:</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to retailers and distributors,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directly to consumers.</w:t>
      </w:r>
    </w:p>
    <w:p>
      <w:pPr>
        <w:spacing w:after="0" w:line="22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Effective January 1, 2018, the Company adopted Accounting Standards Codification (“ASC”) Topic 606, discussed in Note A — Basis of Presentation and Summary Accounting Policies to the condensed consolidated financial statements included in this Quarterly Report on Form 10-Q, regarding revenue recognition. Wholesale sales and retail sales are recognized at the point in time the customer obtains control of the products in an amount that reflects the consideration the Company expects to be entitled to in exchange for those products.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3"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 of operations. Incidental items that are immaterial in the context of the contract are expensed as incurred.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 accounts for derivative instruments in accordance with ASC Topic No. 815, Derivatives and Hedging, discussed in Note A — Basis of Presentation and Summary Accounting Policies to the condensed consolidated financial statements included in this Quarterly Report on Form 10-Q.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condensed consolidated statements of operations to mirror the location of the hedged items impacting earnings.</w:t>
      </w:r>
    </w:p>
    <w:p>
      <w:pPr>
        <w:spacing w:after="0" w:line="189"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23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Distribution expenses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3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3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3300" w:type="dxa"/>
            <w:vAlign w:val="bottom"/>
            <w:gridSpan w:val="3"/>
          </w:tcPr>
          <w:p>
            <w:pPr>
              <w:jc w:val="right"/>
              <w:ind w:right="388"/>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 and equity in earnings</w:t>
            </w:r>
          </w:p>
        </w:tc>
        <w:tc>
          <w:tcPr>
            <w:tcW w:w="2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 earnings, net of taxes</w:t>
            </w:r>
          </w:p>
        </w:tc>
        <w:tc>
          <w:tcPr>
            <w:tcW w:w="23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00" w:type="dxa"/>
            <w:vAlign w:val="bottom"/>
            <w:vMerge w:val="restart"/>
          </w:tcPr>
          <w:p>
            <w:pPr>
              <w:jc w:val="right"/>
              <w:ind w:right="1130"/>
              <w:spacing w:after="0"/>
              <w:rPr>
                <w:sz w:val="20"/>
                <w:szCs w:val="20"/>
                <w:color w:val="auto"/>
              </w:rPr>
            </w:pPr>
            <w:r>
              <w:rPr>
                <w:rFonts w:ascii="Arial" w:cs="Arial" w:eastAsia="Arial" w:hAnsi="Arial"/>
                <w:sz w:val="18"/>
                <w:szCs w:val="18"/>
                <w:color w:val="auto"/>
              </w:rPr>
              <w:t>- 32 -</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18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2018 COMPARED TO THE THREE MONTHS ENDED JUNE 30, 2017</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three months ended June 30, 2018 were $148.7 million, an increase of $31.3 million, or 26.7%, as compared to net sales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$117.4 million for the corresponding period in 2017. The three months ended June 30, 2018 includes net sales of $29.3 million from Filament.</w:t>
      </w:r>
    </w:p>
    <w:p>
      <w:pPr>
        <w:spacing w:after="0" w:line="222"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Net sales for the U.S. Wholesale segment for the three months ended June 30, 2018 were $124.3 million, an increase of $29.5 million, or 31.1%, as compared to net sales of $94.8 million for the corresponding period in 2017.</w:t>
      </w:r>
    </w:p>
    <w:p>
      <w:pPr>
        <w:spacing w:after="0" w:line="17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Net sales for the U.S. Wholesale segment’s Kitchenware product category were $67.6 million for the three months ended June 30, 2018, an increase of $6.1 million, or 9.9%, as compared to $61.5 million for the corresponding period in 2017. The increase in the U.S. Wholesale segment’s Kitchenware product category was primarily attributable to contributions from Filament, partially offset by a decrease in tools and gadget and cutlery sales reflecting the Company’s decision not to pursue certain low margin business that was done in 2017 and the planned timing of pantryware sales.</w:t>
      </w:r>
    </w:p>
    <w:p>
      <w:pPr>
        <w:spacing w:after="0" w:line="154"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Net sales for the U.S. Wholesale segment’s Tableware product category were $32.2 million for the three months ended June 30, 2018, an increase of $9.9 million, or 44.4%, as compared to $22.3 million for the corresponding period in 2017. The increase was mainly attributable to new houseware programs and contributions from the Fitz and Floyd product line.</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Net sales for the U.S. Wholesale segment’s Home Solutions product category were $24.5 million for the three months ended June 30, 2018, an increase of $13.5 million, as compared to $11.0 million for the corresponding period in 2017. The increase primarily reflects contributions from Filament and BuiltNY product launches.</w:t>
      </w:r>
    </w:p>
    <w:p>
      <w:pPr>
        <w:spacing w:after="0" w:line="18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Net sales for the International segment were $19.1 million for the three months ended June 30, 2018, a decrease of $0.3 million, or 1.6%, as compared to net sales of $19.4 million for the corresponding period in 2017. In constant currency, net sales decreased approximately 7.2%. The decrease, in constant currency, was in part due to the closing of the Netherlands operations, partially offset by an increase in ecommerce sales.</w:t>
      </w:r>
    </w:p>
    <w:p>
      <w:pPr>
        <w:spacing w:after="0" w:line="16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Net sales for the Retail Direct segment were $5.2 million for the three months ended June 30, 2018, as compared to net sales of $3.3 million for the corresponding period in 2017. The increase reflects contributions from Filament’s retail websites.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Gross margin for the three months ended June 30, 2018 was $52.1 million, or 35.0%, as compared to $42.8 million, or 36.5%, for the corresponding period in 2017.</w:t>
      </w:r>
    </w:p>
    <w:p>
      <w:pPr>
        <w:spacing w:after="0" w:line="17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Gross margin for the U.S. Wholesale segment was $42.5 million, or 34.2%, for the three months ended June 30, 2018, as compared to $34.6 million, or 36.5%, for the corresponding period in 2017. Gross margin may fluctuate from period to period based on a number of factors, including product and customer mix. The decrease in margin primarily reflects the sale of excess inventory at lower margins, as well as strategic promotions for certain customers.</w:t>
      </w:r>
    </w:p>
    <w:p>
      <w:pPr>
        <w:spacing w:after="0" w:line="18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Gross margin for the International segment was $6.3 million, or 33.3%, for the three months ended June 30, 2018, as compared to $6.0 million, or 31.1%, for the corresponding period in 2017. The increase in margin is mainly attributable to favorable customer and product mix. The 2017 period reflects the establishment of inventory reserves, not repeated in 2018.</w:t>
      </w:r>
    </w:p>
    <w:p>
      <w:pPr>
        <w:spacing w:after="0" w:line="181"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Gross margin for the Retail Direct segment was $3.2 million, or 61.2%, for the three months ended June 30, 2018, as compared to $2.2 million, or 67.4%, for the corresponding period in 2017. The decrease in gross margin in the Retail Direct segment primarily reflects an increase in promotions.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Distribution expenses for the three months ended June 30, 2018 were $14.9 million, as compared to $12.6 million for the corresponding period in 2017. Distribution expenses as a percentage of net sales were 10.1% for the three months ended June 30, 2018, as compared to 10.7% for the three months ended June 30,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Distribution expenses as a percentage of net sales for the U.S. Wholesale segment was approximately 8.6% and 9.8% for the three months ended</w:t>
      </w:r>
    </w:p>
    <w:p>
      <w:pPr>
        <w:spacing w:after="0" w:line="35"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June 30, 2018 and 2017, respectively. As a percentage of sales shipped from the Company’s warehouses, distribution expenses were 9.8% for the three months ended June 30, 2018 and 10.8% for the three months ended June 30, 2017. Excluding the Company’s west coast distribution facility relocation and Filament, distribution expense as a percentage of sales shipped decrease to 10.7%. This decrease reflects a decrease in prepaid freight sales and improved labor efficiency, partially offset by lower shipments from the Company’s managed warehouses.</w:t>
      </w:r>
    </w:p>
    <w:p>
      <w:pPr>
        <w:spacing w:after="0" w:line="17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Distribution expenses as a percentage of net sales for the International segment were approximately 14.1% and 11.3% for the three months ended June 30, 2018 and 2017, respectively. Distribution expenses as a percentage of sales shipped from the Company’s U.K. warehouses were 14.5% and 12.9% for the three months ended June 30, 2018 and 2017, respectively. The increase in distribution expenses as a percentage of net sales reflects higher labor and facility expenses, as well as higher freight expenses on increased sales to continental Europe.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Distribution expenses as a percentage of net sales for the Retail Direct segment were approximately 28.8% and 33.3% for the three months ended</w:t>
      </w:r>
    </w:p>
    <w:p>
      <w:pPr>
        <w:spacing w:after="0" w:line="46"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June 30, 2018 and 2017, respectively. The decrease primarily reflects the addition of Filament, which has less distribution expense as a percentage of net sales than the Company’s historical operations.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2018 were $40.0 million, an increase of $6.9 million, or 20.9%, as compared to $33.1 million for the corresponding period in 2017.</w:t>
      </w:r>
    </w:p>
    <w:p>
      <w:pPr>
        <w:spacing w:after="0" w:line="17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Selling, general and administrative expenses for the U.S. Wholesale segment were $29.3 million for the three months ended June 30, 2018, as compared to $21.6 million for the three months ended June 30, 2017. The 2018 period reflects an increase related to the Company’s acquisition of Filament and increases in intangible amortization expense related to the Company’s acquisitions of Fitz and Floyd in 2017 and Filament in 2018. The acquisition related increases offset a decrease in legacy U.S. Wholesale employee and office expenses. As a percentage of net sales, selling, general and administrative expenses were 23.7% and 22.8% for the three months ended June 30, 2018 and 2017, respectively.</w:t>
      </w:r>
    </w:p>
    <w:p>
      <w:pPr>
        <w:spacing w:after="0" w:line="173"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Selling, general and administrative expenses for the three months ended June 30, 2018 for the International segment were $3.9 million, a decrease of $3.4 million, from $7.3 million for the corresponding period in 2017. The decrease in selling, general and administrative expenses in the 2018 quarter was primarily due to the change in mark to market valuation of foreign currency contracts.</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Selling, general and administrative expenses for the Retail Direct segment were $1.8 million for the three months ended June 30, 2018, as compared to $1.4 million for the three months ended June 30, 2017. The increase in expenses was primarily due to the acquisition of Filament’s retail direct operations. As a percentage of net sales, selling, general and administrative expenses were 34.3% and 34.6% for the three months ended June 30, 2018 and 2017, respectively.</w:t>
      </w:r>
    </w:p>
    <w:p>
      <w:pPr>
        <w:spacing w:after="0" w:line="187"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color w:val="auto"/>
        </w:rPr>
        <w:t>Unallocated corporate expenses for the three months ended June 30, 2018 were $5.1 million, as compared to $2.8 million for the corresponding period in 2017. The increase reflects an increase in acquisition related expenses, professional fees and insurance expenses.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During the three months ended June 30, 2018, the Company incurred $0.4 million of restructuring expense, primarily for severance, related to the Company’s Filament integration.</w:t>
      </w:r>
    </w:p>
    <w:p>
      <w:pPr>
        <w:spacing w:after="0" w:line="17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During the three months ended June 30, 2017, the Company incurred $0.3 million of restructuring expense, primarily for severance, related to the integration of legal entities operating in Europe.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Interest expense for the three months ended June 30, 2018 was $4.7 million, an increase of $3.7 million, from $1.0 million for the three months ended June 30, 2017. The increase in expense was attributable to the financing obtained in connection with the acquisition of Filament.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Income tax benefit for the three months ended June 30, 2018 was $1.8 million, as compared to $1.7 million for the corresponding period in 2017. The Company’s effective tax rate for the three months ended June 30, 2018 was 22.1%, as compared to 39.9% for the corresponding 2017 period. The effective tax rate for the three months ended June 30, 2018 reflects the reduced statutory U.S. corporate income tax rate, partially offset by non-deductible expenses. The effective tax rate for the three months ended June 30, 2017 reflects the jurisdictional mix in forecasted earnings for the year, as well as the benefit generated on share based compensation. This was partially offset by foreign losses for which no benefit was recorded.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Equity in earnings of Vasconia, net of taxes, was $0.2 million, for the three months ended June 30, 2018, as compared to $0.5 million for the three months ended June 30, 2017. Equity in earnings for the three months ended June 30, 2018 and 2017 includes a deferred tax (expense) benefit of $(0.5) million and $0.1 million, respectively, due to the requirement to record tax benefits for foreign currency translation losses and gains through other comprehensive income (loss), with a corresponding adjustment to deferred tax liabilities. Vasconia reported income from operations of $3.7 million for the three months ended June 30, 2018, as compared to income from operations of $1.7 million for the three months ended June 30, 2017. The increase in income from operations is primarily due to an increase in gross profit in the aluminum business.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12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2018 COMPARED TO THE SIX MONTHS ENDED JUNE 30, 2017</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six months ended June 30, 2018 were $266.8 million, an increase of $36.1 million, or 15.7%, as compared to net sales of</w:t>
      </w:r>
    </w:p>
    <w:p>
      <w:pPr>
        <w:spacing w:after="0" w:line="35"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$230.7 million for the corresponding period in 2017. The six months ended June 30, 2018 includes net sales of $38.6 million from Filament for the period from March 2, 2018, the date of acquisition.</w:t>
      </w:r>
    </w:p>
    <w:p>
      <w:pPr>
        <w:spacing w:after="0" w:line="18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Net sales for the U.S. Wholesale segment for the six months ended June 30, 2018 were $215.1 million, an increase of $32.9 million, or 18.1%, as compared to net sales of $182.2 million for the corresponding period in 2017.</w:t>
      </w:r>
    </w:p>
    <w:p>
      <w:pPr>
        <w:spacing w:after="0" w:line="170"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Net sales for the U.S. Wholesale segment’s Kitchenware product category were $124.6 million for the six months ended June 30, 2018, an increase of $6.7 million, or 5.7%, as compared to $117.9 million for the corresponding period in 2017. The increase in the U.S. Wholesale segment’s Kitchenware product category was primarily attributable to contributions from Filament, partially offset by a decrease in tools and gadget sales with certain retailers and a decrease due to the timing of pantryware sales.</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Net sales for the U.S. Wholesale segment’s Tableware product category were $53.1 million for the six months ended June 30, 2018, an increase of $11.0 million, or 26.1%, as compared to $42.1 million for the corresponding period in 2017. The increase was primarily attributable to new houseware programs and contributions from the Fitz and Floyd product line.</w:t>
      </w:r>
    </w:p>
    <w:p>
      <w:pPr>
        <w:spacing w:after="0" w:line="18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Net sales for the U.S. Wholesale segment’s Home Solutions product category were $37.4 million for the six months ended June 30, 2018, an increase of $15.3 million, or 69.2%, as compared to $22.1 million for the corresponding period in 2017. The increase primarily reflects contributions from Filament and BuiltNY product launches, partially offset by a decrease due to a home decor program not repeated in 2018.</w:t>
      </w:r>
    </w:p>
    <w:p>
      <w:pPr>
        <w:spacing w:after="0" w:line="166"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Net sales for the International segment were $40.9 million for the six months ended June 30, 2018, an increase of $0.3 million, or 0.7%, as compared to net sales of $40.6 million for the corresponding period in 2017. In constant currency, net sales decreased approximately 7.7%. The decrease, in constant currency, was in part due to the closing of the Netherlands operations, offset by an increase in ecommerce sales.</w:t>
      </w:r>
    </w:p>
    <w:p>
      <w:pPr>
        <w:spacing w:after="0" w:line="16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Net sales for the Retail Direct segment were $10.7 million for the six months ended June 30, 2018, as compared to net sales of $8.0 million for the corresponding period in 2017. The increase primarily reflects contributions from Filament’s retail websites.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Gross margin for the six months ended June 30, 2018 was $97.2 million, or 36.4%, as compared to $86.7 million, or 37.6%, for the corresponding period in 2017.</w:t>
      </w:r>
    </w:p>
    <w:p>
      <w:pPr>
        <w:spacing w:after="0" w:line="17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Gross margin for the U.S. Wholesale segment was $76.4 million, or 35.5%, for the six months ended June 30, 2018, as compared to $68.1 million, or 37.4%, for the corresponding period in 2017. Gross margin may fluctuate from period to period based on a number of factors, including product and customer mix. The decrease in margin is primarily attributable to the sale of excess inventory at lower margins, as well as strategic promotions for certain customers.</w:t>
      </w:r>
    </w:p>
    <w:p>
      <w:pPr>
        <w:spacing w:after="0" w:line="187"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Gross margin for the International segment was $14.0 million, or 34.1%, for the six months ended June 30, 2018, as compared to $13.3 million, or 32.7%, for the corresponding period in 2017. The increase in margin is mainly attributable to favorable customer and product mix. The 2017 period reflects the establishment of inventory reserves not repeated in 2018.</w:t>
      </w:r>
    </w:p>
    <w:p>
      <w:pPr>
        <w:spacing w:after="0" w:line="181"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Gross margin for the Retail Direct segment was $6.8 million, or 63.0%, for the six months ended June 30, 2018, as compared to $5.3 million, or 67.0%, for the corresponding period in 2017. The decrease in gross margin in the Retail Direct segment reflects an increase in promotions.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Distribution expenses for the six months ended June 30, 2018 were $32.8 million, as compared to $26.0 million for the corresponding period in 2017. Distribution expenses as a percentage of net sales were 12.3% for the six months ended June 30, 2018, as compared to 11.3% for the six months ended June 30, 2017.</w:t>
      </w:r>
    </w:p>
    <w:p>
      <w:pPr>
        <w:spacing w:after="0" w:line="181"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Distribution expenses as a percentage of net sales for the U.S. Wholesale segment was approximately 11.1% and 10.4% for the six months ended June 30, 2018 and 2017, respectively. The increase reflects expenses associated with the Company’s west coast distribution facility relocation of approximately $2.6 million. As a percentage of sales shipped from the Company’s warehouses, distribution expenses excluding the relocation costs for the U.S. Wholesale segment, were 10.8% for the six months ended June 30, 2018 and 11.0% for the six months ended June 30, 2017.</w:t>
      </w:r>
    </w:p>
    <w:p>
      <w:pPr>
        <w:spacing w:after="0" w:line="154"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Distribution expenses as a percentage of net sales for the International segment were approximately 13.4% and 11.1% for the six months ended June 30, 2018 and 2017, respectively. Distribution expenses as a percentage of sales shipped from the Company’s U.K. warehouses were 14.4% and 12.4% for the six months ended June 30, 2018 and 2017, respectively. The increase in distribution expenses as a percentage of net sales reflects higher labor and facility expenses, as well as higher freight expenses on increased sales to continental Europe.</w:t>
      </w:r>
    </w:p>
    <w:p>
      <w:pPr>
        <w:spacing w:after="0" w:line="17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31.8% and 32.5% for the six months ended June 30, 2018 and 2017, respectively. The decrease primarily reflects the addition of Filament, which has less distribution expenses as a percentage of net sales than the Company’s historical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2018 were $80.2 million, an increase of $14.7 million, or 22.5%, as compared to $65.5 million for the corresponding period in 2017.</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Selling, general and administrative expenses for the U.S. Wholesale segment were $55.1 million for the six months ended June 30, 2018, as compared to $43.2 million for the six months ended June 30, 2017. The 2018 period reflects an increase related to the Company’s acquisition of Filament and increases in employee expenses and intangible amortization expense related to the Company’s acquisitions of Fitz and Floyd in 2017 and Filament in 2018. As a percentage of net sales, selling, general and administrative expenses were 25.7% and 23.7% for the six months ended June 30, 2018 and 2017, respectively.</w:t>
      </w:r>
    </w:p>
    <w:p>
      <w:pPr>
        <w:spacing w:after="0" w:line="188"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Selling, general and administrative expenses for the six months ended June 30, 2018 for the International segment were $12.0 million, a decrease of $1.4 million, from $13.4 million for the corresponding period in 2017. The decrease in selling, general and administrative expenses in the 2018 period was primarily due to the change in mark to market valuation of foreign currency contracts.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 for the Retail Direct segment were $3.5 million for the six months ended June 30, 2018, as compared to</w:t>
      </w:r>
    </w:p>
    <w:p>
      <w:pPr>
        <w:spacing w:after="0" w:line="4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$3.0 million for the six months ended June 30, 2017. The increase in expenses was primarily due to the acquisition of Filament’s retail direct operations. As a percentage of net sales, selling, general and administrative expenses were 32.6% and 32.7% for the six months ended June 30, 2018 and 2017, respectively.</w:t>
      </w:r>
    </w:p>
    <w:p>
      <w:pPr>
        <w:spacing w:after="0" w:line="19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Unallocated corporate expenses for the six months ended June 30, 2018 were $9.6 million, as compared to $5.9 million for the corresponding period in 2017. The increase was primarily attributable to an increase in acquisition related expenses, professional fees and insurance expense.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During the six months ended June 30, 2018, the Company incurred $0.8 million of restructuring expense, primarily for severance, related to the Company’s Filament integration.</w:t>
      </w:r>
    </w:p>
    <w:p>
      <w:pPr>
        <w:spacing w:after="0" w:line="17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During the six months ended June 30, 2017, the Company incurred $0.3 million of restructuring expense, primarily for severance, related to the integration of legal entities operating in Europe.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520"/>
        <w:spacing w:after="0" w:line="342" w:lineRule="auto"/>
        <w:rPr>
          <w:sz w:val="20"/>
          <w:szCs w:val="20"/>
          <w:color w:val="auto"/>
        </w:rPr>
      </w:pPr>
      <w:r>
        <w:rPr>
          <w:rFonts w:ascii="Arial" w:cs="Arial" w:eastAsia="Arial" w:hAnsi="Arial"/>
          <w:sz w:val="16"/>
          <w:szCs w:val="16"/>
          <w:color w:val="auto"/>
        </w:rPr>
        <w:t>Interest expense for the six months ended June 30, 2018 was $6.8 million, an increase of $4.9 million, from $1.9 million for the six months ended June 30, 2017. The increase in expense was primarily attributable to the financing obtained in connection with the acquisition of Filament.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financing obtained for the acquisition of Filament, the Company wrote-off $0.1 million of the debt issuance costs.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Income tax benefit for the six months ended June 30, 2018 was $5.6 million as compared to $2.6 million for the corresponding period in 2017. The Company’s effective tax rate for the six months ended June 30, 2018 was 23.8%, as compared to 37.4% for the corresponding 2017 period. The effective tax rate for the six months ended June 30, 2018 reflects the reduced statutory U.S. corporate income tax rate, partially offset by non-deductible expenses. The effective tax rate for the six months ended June 30, 2017, reflects the jurisdictional mix in forecasted earnings for the year, as well as the benefit generated on share based compensation. This was partially offset by foreign losses for which no benefit was recorded.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Equity in earnings of Vasconia, net of taxes, was $ 0.2 million for the six months ended June 30, 2018, as compared to $1.0 million for the six months ended June 30, 2017. Equity in earnings for the six months ended June 30, 2018 and 2017 includes a deferred tax (expense) benefit of ($0.3) million and $0.4 million, respectively, due to the requirement to record tax benefits for foreign currency translation gains and losses through other comprehensive income (loss), with a corresponding adjustment to deferred tax liabilities. Vasconia reported income from operations of $4.8 million for the six months ended June 30, 2018, as compared to income from operations of $4.1 million for the six months ended June 30, 2017. The increase in income from operations is primarily due to an increase in operating income from the aluminum and kitchenware divisions.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 June 30, 2018, the Company had cash and cash equivalents of $6.0 million, compared to $7.6 million at December 31, 2017. Working capital was</w:t>
      </w:r>
    </w:p>
    <w:p>
      <w:pPr>
        <w:spacing w:after="0" w:line="46"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$217.6 million at June 30, 2018, compared to $186.9 million at December 31, 2017. Liquidity, which includes cash and cash equivalents and availability under the ABL Agreement was $93.3 million at June 30, 2018.</w:t>
      </w:r>
    </w:p>
    <w:p>
      <w:pPr>
        <w:spacing w:after="0" w:line="184"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2018 inventory turnover was 2.1 times, or 177 days, as compared to 1.9 times, or 196 days, for the three months ended June 30, 2017. The increase in turnover and decrease in turnover days primarily reflects the inclusion of Filament, partially offset by an increase in international inventory due to timing.</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On March 2, 2018, the Company entered into a new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the Company entered into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At June 30, 2018, borrowings outstanding under the ABL Agreement were $59.6 million and open letters of credit were $3.1 million. At June 30, 2018, availability under the ABL Agreement was approximately $87.3 million. The borrowing capacity under the ABL Agreement depends, in part, on eligible levels of certain current assets comprising the borrowing base and the Company’s ability to meet and maintain a financial ratio, if and when applicable.</w:t>
      </w:r>
    </w:p>
    <w:p>
      <w:pPr>
        <w:ind w:left="200" w:right="120"/>
        <w:spacing w:after="0" w:line="277" w:lineRule="auto"/>
        <w:rPr>
          <w:sz w:val="20"/>
          <w:szCs w:val="20"/>
          <w:color w:val="auto"/>
        </w:rPr>
      </w:pPr>
      <w:r>
        <w:rPr>
          <w:rFonts w:ascii="Arial" w:cs="Arial" w:eastAsia="Arial" w:hAnsi="Arial"/>
          <w:sz w:val="17"/>
          <w:szCs w:val="17"/>
          <w:color w:val="auto"/>
        </w:rPr>
        <w:t>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3"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At June 30, 2018, $274.3 million was outstanding under the Term Loan. At June 30, 2018, unamortized debt issuance costs of $1.5 million and $8.2 million offset the short-term and long-term outstanding balances, respectively, of the Term Loan.</w:t>
      </w:r>
    </w:p>
    <w:p>
      <w:pPr>
        <w:spacing w:after="0" w:line="17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June 30, 2018 ranged from 2.0% to 5.0%. In addition, the Company paid a commitment fee of 0.375% on the unused portion of the ABL Agreement during the six months ended June 30, 2018.</w:t>
      </w:r>
    </w:p>
    <w:p>
      <w:pPr>
        <w:spacing w:after="0" w:line="193"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June 30, 2018 ranged from 5.5% to 5.6%.</w:t>
      </w:r>
    </w:p>
    <w:p>
      <w:pPr>
        <w:spacing w:after="0" w:line="14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Debt Agreements provides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June 30, 2018.</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Consolidated adjusted</w:t>
            </w: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EBITDA for the Four</w:t>
            </w: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Quarters Ended June</w:t>
            </w:r>
          </w:p>
        </w:tc>
      </w:t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30, 2018</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34"/>
              <w:spacing w:after="0" w:line="142"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2018</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Three months ended March 31, 2018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Three months ended September 30,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 forma projected synergies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Total for the four quarters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69,243</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expenditures for the six months ended June 30, 2018 were $3.2 million.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Consolidated adjusted EBITDA is a non-GAAP financial measure within the meaning of Regulation G promulgated by the Securities and Exchange Commission. The following is a reconciliation of the net income (loss), as reported, to consolidated adjusted EBITDA, for the four quarters ended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December 31,</w:t>
            </w:r>
          </w:p>
        </w:tc>
        <w:tc>
          <w:tcPr>
            <w:tcW w:w="12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ended 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30, 2018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(11,598)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(earnings) losses,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Add back:</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Unrealized (gain) loss on foreign currency contracts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Permitted acquisition related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Permitted non-recurring charges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 xml:space="preserve">Pro forma Filament adjustment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10,605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Twelve Months ended June 30, 2018, Pro forma projected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xml:space="preserve">synergies </w:t>
            </w:r>
            <w:r>
              <w:rPr>
                <w:rFonts w:ascii="Arial" w:cs="Arial" w:eastAsia="Arial" w:hAnsi="Arial"/>
                <w:sz w:val="15"/>
                <w:szCs w:val="15"/>
                <w:color w:val="auto"/>
              </w:rPr>
              <w:t>(4)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Consolidated adjusted EBITDA</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40" w:hanging="436"/>
        <w:spacing w:after="0" w:line="274"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permitted non-cash charges includes non-cash purchase accounting adjustment to step-up the fair value of acquired inventory, a permitted exclusion from the Company’s Consolidated adjusted EBITDA, pursuant to the Company’s Debt Agreements.</w:t>
      </w:r>
    </w:p>
    <w:p>
      <w:pPr>
        <w:ind w:left="640" w:right="80" w:hanging="436"/>
        <w:spacing w:after="0" w:line="28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Permitted non-recurring charges include severance expense, warehouse relocation costs, transition expenses and restructuring expenses. These are permitted exclusions from the Company’s consolidated adjusted EBITDA, subject to limitations, pursuant to the Company’s Debt Agreements.</w:t>
      </w:r>
    </w:p>
    <w:p>
      <w:pPr>
        <w:spacing w:after="0" w:line="1"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Filament adjustment represents permitted adjustment to the Company’s consolidated adjusted EBITDA for the acquisition of Filament on March 2, 2018 pursuant to the Company’s Debt Agreements.</w:t>
      </w:r>
    </w:p>
    <w:p>
      <w:pPr>
        <w:ind w:left="640" w:right="20" w:hanging="436"/>
        <w:spacing w:after="0" w:line="27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 forma projected synergies represents the amount of projected cost savings, operating expense reductions, restructuring charges and expenses and cost saving synergies projected by the Company as a result of actions taken through June 30, 2018 or expected to be taken as of June 30, 2018, net of the benefits realized during the six months ended June 30, 2018. Pro forma projected synergies is a permitted exclusion from the Company’s consolidated adjusted EBITDA, subject to limitations, pursuant to the Company’s Debt Agreements.</w:t>
      </w:r>
    </w:p>
    <w:p>
      <w:pPr>
        <w:spacing w:after="0" w:line="109" w:lineRule="exact"/>
        <w:rPr>
          <w:rFonts w:ascii="Arial" w:cs="Arial" w:eastAsia="Arial" w:hAnsi="Arial"/>
          <w:sz w:val="17"/>
          <w:szCs w:val="17"/>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Bank USA, National Association (“HSBC”), as Purchaser (the “Receivables Purchase Agreement”). Under the Receivables Purchase Agreement,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may offer to sell certain eligible accounts receivable (the “Receivables”) to HSBC, which may accept such offer, and purchase the offered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Receivables. Under the Receivables Purchase Agreement, following each purchase of Receivables, the outstanding aggregate purchased Receivables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shall not exceed $25.0 million. HSBC will assume the credit risk of the Receivables purchased; and, the Company will continue to be responsible for 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non-credit risk matters. The Company will service the Receivables, and as such servicer, collect and otherwise enforce the Receivables on behalf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HSBC. The term of the agreement is for 364 days and shall automatically be extended for annual successive terms unless terminated. Either party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terminate the agreement at any time upon sixty days’ prior written notice to the other party. Pursuant to this agreement, the Company sold to HSBC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$19.1 million and $38.7 million of Receivables during the three and six months ended June 30, 2018, respectively, and $17.6 million and $39.2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Receivables during the three and six months ended June 30, 2017, respectively. Charges of $99,000 and $189,000 related to the sale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Receivables are included in selling, general and administrative expenses in the condensed consolidated statements of operations for the three and six</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2018, respectively. Charges of $63,000 and $130,000 related to the sale of the Receivables is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administrative expenses in the condensed consolidated statements of operations for the three and six months ended June 30, 2017, respectively.</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In April 2018, the Company entered into interest rate swap agreements with an aggregate notional amount of $125.0 million. The Company designated the interest rate swaps as cash flow hedges of the Company’s exposure to the variability of the payment of interest on a portion of its Term Loan borrowings. The hedge periods in these agreements are set to expire in March 2023, and amortize over this period.</w:t>
      </w:r>
    </w:p>
    <w:p>
      <w:pPr>
        <w:spacing w:after="0" w:line="16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has also entered into certain foreign exchange contracts, to primarily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condensed consolidated statement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Net cash used in operating activities was $5.8 million for the six months ended June 30, 2018, as compared to $4.3 million for the corresponding 2017 period. The change in operating cash flow was primarily due to the increase in the net loss, an increase in inventory purchases and the timing of the payment of accounts payable and accrued expenses in the current period as compared to the 2017 period.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Net cash used in investing activities was $221.1 million and $2.7 million for the six months ended June 30, 2018 and 2017, respectively. The 2018 investing activity includes the cash consideration paid for the acquisition of Filament and capital expenditures related to the Company’s relocation of its west coast distribution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Net cash provided by financing activities was $225.4 million for the six months ended June 30, 2018, as compared to $3.0 million for the corresponding 2017 period. The change in financing activities was attributable to the repayment of the Company’s former revolving credit facility and borrowings under the Debt Agreements, the proceeds of which were principally used to finance the acquisition of Filament.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Company’s Annual Report on Form 10-K for the fiscal year ended December 31, 2017, except as follows:</w:t>
      </w:r>
    </w:p>
    <w:p>
      <w:pPr>
        <w:spacing w:after="0" w:line="181"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On March 2, 2018, the Company acquired Filament, pursuant to a merger agreement dated December 22, 2017, as discussed in Note C- Acquisition to condensed consolidated financial statements included in this Quarterly Report on Form 10-Q. In connection with this acquisition, the Company entered new Debt Agreements. In April 2018, the Company entered into interest rate swap agreements to manage interest rate exposure in connection with its variable interest rate borrowings. As of June 30, 2018, approximately $208.9 million of the Company’s debt carries a variable rate of interest, as compared to $90.7 million at December 31, 2017. The remainder of the debt at June 30, 2018 and December 31, 2017 (approximately $125.0 million and $5.3 million, respectively) carries a fixed rate of interest through the use of interest rate swaps.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640" w:right="1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2018,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60" w:hanging="256"/>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On March 2, 2018, the Company acquired Filament, pursuant to a merger agreement dated December 22, 2017. The Company has begun to integrate policies, processes, people, technology and operations for the post-acquisition combined company, and it will continue to evaluate the impact of any related changes to internal control over financial reporting. Except for changes in internal controls that we have made related to the integration of Filament into the post-acquisition combined company, during the quarter ended June 30, 2018, there has been no change in the Company’s internal control over financial reporting that has materially affected, or is reasonably likely to materially affect the Company’s internal control over financial reporting.</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a description of certain legal proceedings affecting the Company, refer to Note L – Contingencies to the condensed consolidated financial statements included in this Quarterly Report on Form 10-Q, which is incorporated by reference herein.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The following is an update to the corresponding risk factor set forth in the Company’s 2017 Annual Report on Form 10-K. Except as modified below, there have been no other material changes in the Company’s risk factors from those disclosed in the Company’s 2017 Annual Report on Form 10-K.</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170"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 factors:</w:t>
      </w:r>
    </w:p>
    <w:p>
      <w:pPr>
        <w:spacing w:after="0" w:line="87"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United Kingdom, Continental Europe, Asia and elsewhere;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unstable economic and political conditions, lack of legal regulation enforcement, civil unrest and political activism, particularly in Asia.</w:t>
      </w:r>
    </w:p>
    <w:p>
      <w:pPr>
        <w:spacing w:after="0" w:line="237"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The referendum held in the United Kingdom (“U.K.”) on June 23, 2016 resulted in a determination that the U.K. should exit the European Union. Such an exit from the European Union would be unprecedented and it is unclear what impact this would have on the U.K.’s access to the EU Single Market and on the legal and regulatory environment in which the Company operates, as well as its effect on the global macroeconomic environment. Net sales attributable to U.K. domiciled businesses were $95.9 million for the year ended December 31, 2017, and represent approximately 17% of the Company’s consolidated net sales for the period. The uncertainty surrounding the terms of the U.K.’s exit and its consequences could adversely impact the U.K economy, customers and investor confidence. It may contribute to additional market volatility, including volatility in the value of the British pound and European euro, and adversely affect the Company’s businesses, results of operations, and financial condition.</w:t>
      </w:r>
    </w:p>
    <w:p>
      <w:pPr>
        <w:spacing w:after="0" w:line="16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Recently, the United States (“U.S.”) government announced and, in some cases, implemented additional tariffs on certain foreign goods, including finished products and raw materials such as steel and aluminum. These tariffs and potential tariffs have resulted or may result in increased prices for these imported goods and materials and may limit the amount of these goods and materials that may be imported into the U.S. A substantial majority of the Company’s products are sourced from vendors outside the U.S., primarily in the People’s Republic of China. To the extent that trade tariffs and other restrictions imposed by the U.S. increase the price or limit the amount of finished goods or raw materials imported by the Company into the U.S., the Company may be required to increase prices to its customers, which may diminish demand or, if the Company is unable to increase prices, result in lowering the gross margin that the Company realizes from the sale of its products. The results of either could adversely affect the Company’s results of operations and financial condition.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Various countries and regions, have announced plans or intentions to impose or have imposed tariffs on a wide range of U.S. products in retaliation for new U.S. tariffs. The reciprocal tariffs are not expected to have a material impact on the Company because the Company contracts to manufacture most of its products outside the U.S.; however, these conditions and future actions could have a significant adverse effect on world trade and the world economy and such global macro-economic factors could adversely affect the Company’s results of operations and financial condition.</w:t>
      </w:r>
    </w:p>
    <w:p>
      <w:pPr>
        <w:spacing w:after="0" w:line="154"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adoption and expansion of trade restrictions, the occurrence of a trade war, or other governmental action related to tariffs or trade agreements or policies has the potential to adversely impact demand for the Company’s products, the costs of its products and the U.S. economy, which in turn could adversely impact the Company’s business, financial condition and results of operations.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w:t>
      </w:r>
    </w:p>
    <w:p>
      <w:pPr>
        <w:spacing w:after="0" w:line="16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On June 21, 2018, the U.S. Supreme Court decided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(“the Wayfair Decision”), a case that challenged existing law under which online retailers are not required to collect sales tax unless they have a physical presence in the buyer’s state. The Wayfair Decision established that a state may enforce or adopt laws requiring online retailers to collect and remit sales tax if there is a substantial nexus between the online retailer’s activity and the state, even if the retailer has no physical presence within the taxing state. If additional states enact and enforce laws requiring the Company to start calculating, collecting and remitting sales taxes in those states, the Company could incur substantial tax liabilities, including taxes on past sales, as well as penalties and interest. The imposition by state governments of sales tax collection obligations on out-of-state retailers could also create additional administrative burdens on the Company. This decision and the enactment and enforcement of laws resulting from this decision could also impact where the Company is required to file state income taxes. As a result, the Company’s effective income tax rate, the cost of the Company’s e-commerce business, and the growth of its e-commerce business, could be materially adversely effected by the Wayfair Decision and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spacing w:after="0" w:line="488" w:lineRule="auto"/>
        <w:rPr>
          <w:sz w:val="20"/>
          <w:szCs w:val="20"/>
          <w:color w:val="auto"/>
        </w:rPr>
      </w:pPr>
      <w:r>
        <w:rPr>
          <w:rFonts w:ascii="Arial" w:cs="Arial" w:eastAsia="Arial" w:hAnsi="Arial"/>
          <w:sz w:val="16"/>
          <w:szCs w:val="16"/>
          <w:b w:val="1"/>
          <w:bCs w:val="1"/>
          <w:color w:val="auto"/>
        </w:rPr>
        <w:t xml:space="preserve">Item 2. Unregistered Sales of Equity Securities </w:t>
      </w:r>
      <w:r>
        <w:rPr>
          <w:rFonts w:ascii="Arial" w:cs="Arial" w:eastAsia="Arial" w:hAnsi="Arial"/>
          <w:sz w:val="16"/>
          <w:szCs w:val="16"/>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Arial" w:cs="Arial" w:eastAsia="Arial" w:hAnsi="Arial"/>
          <w:sz w:val="14"/>
          <w:szCs w:val="14"/>
          <w:b w:val="1"/>
          <w:bCs w:val="1"/>
          <w:u w:val="single" w:color="auto"/>
          <w:color w:val="auto"/>
        </w:rPr>
        <w:t>Period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May 1- May 31, 2018</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June 1-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7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10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Average price</w:t>
            </w: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6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80" w:type="dxa"/>
            <w:vAlign w:val="bottom"/>
            <w:gridSpan w:val="2"/>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paid per share</w:t>
            </w:r>
          </w:p>
        </w:tc>
        <w:tc>
          <w:tcPr>
            <w:tcW w:w="6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or programs</w:t>
            </w:r>
            <w:r>
              <w:rPr>
                <w:rFonts w:ascii="Arial" w:cs="Arial" w:eastAsia="Arial" w:hAnsi="Arial"/>
                <w:sz w:val="12"/>
                <w:szCs w:val="12"/>
                <w:b w:val="1"/>
                <w:bCs w:val="1"/>
                <w:color w:val="auto"/>
                <w:w w:val="94"/>
              </w:rPr>
              <w:t>(2)</w:t>
            </w:r>
          </w:p>
        </w:tc>
        <w:tc>
          <w:tcPr>
            <w:tcW w:w="6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end of period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255</w:t>
            </w:r>
          </w:p>
        </w:tc>
        <w:tc>
          <w:tcPr>
            <w:tcW w:w="64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11.00</w:t>
            </w:r>
          </w:p>
        </w:tc>
        <w:tc>
          <w:tcPr>
            <w:tcW w:w="640" w:type="dxa"/>
            <w:vAlign w:val="bottom"/>
          </w:tcPr>
          <w:p>
            <w:pPr>
              <w:spacing w:after="0"/>
              <w:rPr>
                <w:sz w:val="16"/>
                <w:szCs w:val="16"/>
                <w:color w:val="auto"/>
              </w:rPr>
            </w:pPr>
          </w:p>
        </w:tc>
        <w:tc>
          <w:tcPr>
            <w:tcW w:w="1040" w:type="dxa"/>
            <w:vAlign w:val="bottom"/>
            <w:tcBorders>
              <w:top w:val="single" w:sz="8" w:color="auto"/>
            </w:tcBorders>
          </w:tcPr>
          <w:p>
            <w:pPr>
              <w:ind w:left="760"/>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   6,771,467</w:t>
            </w:r>
          </w:p>
        </w:tc>
        <w:tc>
          <w:tcPr>
            <w:tcW w:w="0" w:type="dxa"/>
            <w:vAlign w:val="bottom"/>
          </w:tcPr>
          <w:p>
            <w:pPr>
              <w:spacing w:after="0"/>
              <w:rPr>
                <w:sz w:val="1"/>
                <w:szCs w:val="1"/>
                <w:color w:val="auto"/>
              </w:rPr>
            </w:pP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11,627</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11.86</w:t>
            </w:r>
          </w:p>
        </w:tc>
        <w:tc>
          <w:tcPr>
            <w:tcW w:w="64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6,771,467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-2169160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-282575</wp:posOffset>
            </wp:positionV>
            <wp:extent cx="643191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19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380"/>
          </w:cols>
          <w:pgMar w:left="240" w:top="459" w:right="459" w:bottom="1440" w:gutter="0" w:footer="0" w:header="0"/>
        </w:sectPr>
      </w:pPr>
    </w:p>
    <w:p>
      <w:pPr>
        <w:spacing w:after="0" w:line="29" w:lineRule="exact"/>
        <w:rPr>
          <w:sz w:val="20"/>
          <w:szCs w:val="20"/>
          <w:color w:val="auto"/>
        </w:rPr>
      </w:pPr>
    </w:p>
    <w:p>
      <w:pPr>
        <w:jc w:val="both"/>
        <w:ind w:left="640" w:right="160" w:hanging="436"/>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certain tax liabilities arising from the vesting of restricted stock. The number above does not include unvested shares forfeited back to us pursuant to the terms of our stock compensation plans.</w:t>
      </w:r>
    </w:p>
    <w:p>
      <w:pPr>
        <w:spacing w:after="0" w:line="2"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June 30, 2017.</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200"/>
          </w:cols>
          <w:pgMar w:left="24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Exhibit Index below, which is incorporated by reference herein.</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860" w:type="dxa"/>
            <w:vAlign w:val="bottom"/>
            <w:gridSpan w:val="10"/>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4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10"/>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Retirement Agreement, dated June 11, 2018, by and between Lifetime Brands, Inc. and Ronald Shiftan (incorporated by reference to</w:t>
              </w:r>
            </w:hyperlink>
          </w:p>
        </w:tc>
      </w:tr>
      <w:tr>
        <w:trPr>
          <w:trHeight w:val="196"/>
        </w:trPr>
        <w:tc>
          <w:tcPr>
            <w:tcW w:w="1120" w:type="dxa"/>
            <w:vAlign w:val="bottom"/>
          </w:tcPr>
          <w:p>
            <w:pPr>
              <w:spacing w:after="0"/>
              <w:rPr>
                <w:sz w:val="17"/>
                <w:szCs w:val="17"/>
                <w:color w:val="auto"/>
              </w:rPr>
            </w:pPr>
          </w:p>
        </w:tc>
        <w:tc>
          <w:tcPr>
            <w:tcW w:w="95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Exhibit 10.1 to the Registrant’s current Report on Form 8-K filed on June 12, 2018)</w:t>
              </w:r>
            </w:hyperlink>
          </w:p>
        </w:tc>
        <w:tc>
          <w:tcPr>
            <w:tcW w:w="280" w:type="dxa"/>
            <w:vAlign w:val="bottom"/>
            <w:gridSpan w:val="5"/>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10"/>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Amended and Restated 2000 Long-Term Incentive Plan, effective June 28, 2018 (incorporated by reference to Exhibit 10.1 to the</w:t>
              </w:r>
            </w:hyperlink>
          </w:p>
        </w:tc>
      </w:tr>
      <w:tr>
        <w:trPr>
          <w:trHeight w:val="196"/>
        </w:trPr>
        <w:tc>
          <w:tcPr>
            <w:tcW w:w="1120" w:type="dxa"/>
            <w:vAlign w:val="bottom"/>
          </w:tcPr>
          <w:p>
            <w:pPr>
              <w:spacing w:after="0"/>
              <w:rPr>
                <w:sz w:val="17"/>
                <w:szCs w:val="17"/>
                <w:color w:val="auto"/>
              </w:rPr>
            </w:pPr>
          </w:p>
        </w:tc>
        <w:tc>
          <w:tcPr>
            <w:tcW w:w="4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Registrant’s current Report on Form 8-K filed on June 29, 2018)</w:t>
              </w:r>
            </w:hyperlink>
          </w:p>
        </w:tc>
        <w:tc>
          <w:tcPr>
            <w:tcW w:w="4700" w:type="dxa"/>
            <w:vAlign w:val="bottom"/>
            <w:tcBorders>
              <w:top w:val="single" w:sz="8" w:color="0000EE"/>
            </w:tcBorders>
            <w:gridSpan w:val="3"/>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10"/>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by Robert B. Kay, Chief Executive Officer and Director, pursuant to Rule 13a-14(a) or Rule 15d-14(a) of the Securities and</w:t>
              </w:r>
            </w:hyperlink>
          </w:p>
        </w:tc>
      </w:tr>
      <w:tr>
        <w:trPr>
          <w:trHeight w:val="196"/>
        </w:trPr>
        <w:tc>
          <w:tcPr>
            <w:tcW w:w="1120" w:type="dxa"/>
            <w:vAlign w:val="bottom"/>
          </w:tcPr>
          <w:p>
            <w:pPr>
              <w:spacing w:after="0"/>
              <w:rPr>
                <w:sz w:val="17"/>
                <w:szCs w:val="17"/>
                <w:color w:val="auto"/>
              </w:rPr>
            </w:pPr>
          </w:p>
        </w:tc>
        <w:tc>
          <w:tcPr>
            <w:tcW w:w="9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gridSpan w:val="3"/>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by Laurence Winoker, Senior Vice President – Finance, Treasurer and Chief Financial Officer, pursuant to Rule 13a-14(a)</w:t>
              </w:r>
            </w:hyperlink>
          </w:p>
        </w:tc>
        <w:tc>
          <w:tcPr>
            <w:tcW w:w="14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or Rule 15d-14(a) of the Securities and Exchange Act of 1934, as adopted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962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by Robert B. Kay, Chief Executive Officer and Director, and Laurence Winoker, Senior Vice President – Finance, Treasurer</w:t>
              </w:r>
            </w:hyperlink>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and Chief Financial Officer, pursuant to 18 U.S.C. Section 1350, as adopted pursuant to Section 906 of the Sarbanes-Oxley Act of 2002</w:t>
              </w:r>
            </w:hyperlink>
          </w:p>
        </w:tc>
        <w:tc>
          <w:tcPr>
            <w:tcW w:w="40" w:type="dxa"/>
            <w:vAlign w:val="bottom"/>
            <w:gridSpan w:val="2"/>
          </w:tcPr>
          <w:p>
            <w:pPr>
              <w:spacing w:after="0"/>
              <w:rPr>
                <w:sz w:val="17"/>
                <w:szCs w:val="17"/>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120" w:type="dxa"/>
            <w:vAlign w:val="bottom"/>
          </w:tcPr>
          <w:p>
            <w:pPr>
              <w:spacing w:after="0"/>
              <w:rPr>
                <w:sz w:val="24"/>
                <w:szCs w:val="24"/>
                <w:color w:val="auto"/>
              </w:rPr>
            </w:pPr>
          </w:p>
        </w:tc>
        <w:tc>
          <w:tcPr>
            <w:tcW w:w="4640" w:type="dxa"/>
            <w:vAlign w:val="bottom"/>
          </w:tcPr>
          <w:p>
            <w:pPr>
              <w:ind w:left="4200"/>
              <w:spacing w:after="0"/>
              <w:rPr>
                <w:sz w:val="20"/>
                <w:szCs w:val="20"/>
                <w:color w:val="auto"/>
              </w:rPr>
            </w:pPr>
            <w:r>
              <w:rPr>
                <w:rFonts w:ascii="Arial" w:cs="Arial" w:eastAsia="Arial" w:hAnsi="Arial"/>
                <w:sz w:val="18"/>
                <w:szCs w:val="18"/>
                <w:color w:val="auto"/>
                <w:w w:val="99"/>
              </w:rPr>
              <w:t>- 47 -</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33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Lifetime Brands, Inc.</w:t>
            </w:r>
          </w:p>
        </w:tc>
        <w:tc>
          <w:tcPr>
            <w:tcW w:w="120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1200" w:type="dxa"/>
            <w:vAlign w:val="bottom"/>
          </w:tcPr>
          <w:p>
            <w:pPr>
              <w:ind w:left="100"/>
              <w:spacing w:after="0"/>
              <w:rPr>
                <w:sz w:val="20"/>
                <w:szCs w:val="20"/>
                <w:color w:val="auto"/>
              </w:rPr>
            </w:pPr>
            <w:r>
              <w:rPr>
                <w:rFonts w:ascii="Arial" w:cs="Arial" w:eastAsia="Arial" w:hAnsi="Arial"/>
                <w:sz w:val="18"/>
                <w:szCs w:val="18"/>
                <w:color w:val="auto"/>
                <w:w w:val="89"/>
              </w:rPr>
              <w:t>August 7, 2018</w:t>
            </w: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Robert B. Kay</w:t>
            </w:r>
          </w:p>
        </w:tc>
        <w:tc>
          <w:tcPr>
            <w:tcW w:w="120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00" w:type="dxa"/>
            <w:vAlign w:val="bottom"/>
          </w:tcPr>
          <w:p>
            <w:pPr>
              <w:spacing w:after="0"/>
              <w:rPr>
                <w:sz w:val="20"/>
                <w:szCs w:val="20"/>
                <w:color w:val="auto"/>
              </w:rPr>
            </w:pP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/s/ Laurence Winoker</w:t>
            </w:r>
          </w:p>
        </w:tc>
        <w:tc>
          <w:tcPr>
            <w:tcW w:w="1200" w:type="dxa"/>
            <w:vAlign w:val="bottom"/>
          </w:tcPr>
          <w:p>
            <w:pPr>
              <w:ind w:left="100"/>
              <w:spacing w:after="0"/>
              <w:rPr>
                <w:sz w:val="20"/>
                <w:szCs w:val="20"/>
                <w:color w:val="auto"/>
              </w:rPr>
            </w:pPr>
            <w:r>
              <w:rPr>
                <w:rFonts w:ascii="Arial" w:cs="Arial" w:eastAsia="Arial" w:hAnsi="Arial"/>
                <w:sz w:val="18"/>
                <w:szCs w:val="18"/>
                <w:color w:val="auto"/>
                <w:w w:val="89"/>
              </w:rPr>
              <w:t>August 7,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0</wp:posOffset>
            </wp:positionV>
            <wp:extent cx="2727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Senior Vice President – Finance, Treasurer and Chief Financial Officer</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480"/>
          </w:cols>
          <w:pgMar w:left="240" w:top="459" w:right="11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ectPr>
          <w:pgSz w:w="11900" w:h="16838" w:orient="portrait"/>
          <w:cols w:equalWidth="0" w:num="1">
            <w:col w:w="11420"/>
          </w:cols>
          <w:pgMar w:left="240" w:top="121" w:right="23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 Robert B. Kay, Chief Executive Officer and Director, and I, Laurence Winoker, Senior Vice President – Finance, Treasurer and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Lifetime Brands, Inc., a Delaware corporation (the “Company”), each hereby certify that:</w:t>
      </w:r>
    </w:p>
    <w:p>
      <w:pPr>
        <w:spacing w:after="0" w:line="116" w:lineRule="exact"/>
        <w:rPr>
          <w:sz w:val="20"/>
          <w:szCs w:val="20"/>
          <w:color w:val="auto"/>
        </w:rPr>
      </w:pPr>
    </w:p>
    <w:p>
      <w:pPr>
        <w:ind w:left="900" w:right="3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2018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102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Robert B. Kay</w:t>
            </w:r>
          </w:p>
        </w:tc>
        <w:tc>
          <w:tcPr>
            <w:tcW w:w="10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Laurence Winoker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0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5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Date: August 7, 2018</w:t>
            </w:r>
          </w:p>
        </w:tc>
        <w:tc>
          <w:tcPr>
            <w:tcW w:w="10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Date: August 7,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lvl w:ilvl="1">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6" Type="http://schemas.openxmlformats.org/officeDocument/2006/relationships/hyperlink" Target="http://www.sec.gov/Archives/edgar/data/874396/000119312518190548/d606344dex101.htm" TargetMode="External"/><Relationship Id="rId67" Type="http://schemas.openxmlformats.org/officeDocument/2006/relationships/hyperlink" Target="http://www.sec.gov/Archives/edgar/data/874396/000119312518209648/d8416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2019-12-28T19:58:52Z</dcterms:created>
  <dcterms:modified xsi:type="dcterms:W3CDTF">2019-12-28T19:58:52Z</dcterms:modified>
</cp:coreProperties>
</file>