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dd18407151ca4b0fa29dac7cadd2367c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2024</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20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0-19254</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p>
      <w:pPr>
        <w:pStyle w:val="TextBody"/>
        <w:bidi w:val="0"/>
        <w:spacing w:lineRule="auto" w:line="288" w:before="200" w:after="283"/>
        <w:jc w:val="center"/>
        <w:rPr>
          <w:rFonts w:ascii="Times New Roman;sans-serif" w:hAnsi="Times New Roman;sans-serif"/>
          <w:b/>
          <w:color w:val="000000"/>
          <w:sz w:val="48"/>
        </w:rPr>
      </w:pPr>
      <w:r>
        <w:rPr>
          <w:rFonts w:ascii="Times New Roman;sans-serif" w:hAnsi="Times New Roman;sans-serif"/>
          <w:b/>
          <w:color w:val="000000"/>
          <w:sz w:val="48"/>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tbl>
      <w:tblPr>
        <w:tblW w:w="3854" w:type="dxa"/>
        <w:jc w:val="center"/>
        <w:tblInd w:w="0" w:type="dxa"/>
        <w:tblLayout w:type="fixed"/>
        <w:tblCellMar>
          <w:top w:w="28" w:type="dxa"/>
          <w:left w:w="28" w:type="dxa"/>
          <w:bottom w:w="28" w:type="dxa"/>
          <w:right w:w="28" w:type="dxa"/>
        </w:tblCellMar>
      </w:tblPr>
      <w:tblGrid>
        <w:gridCol w:w="857"/>
        <w:gridCol w:w="751"/>
        <w:gridCol w:w="762"/>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11-2682486</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1000 Stewart Avenue, Garden City, New York 11530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(516) 683-6000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7192" w:type="dxa"/>
        <w:jc w:val="center"/>
        <w:tblInd w:w="0" w:type="dxa"/>
        <w:tblLayout w:type="fixed"/>
        <w:tblCellMar>
          <w:top w:w="28" w:type="dxa"/>
          <w:left w:w="28" w:type="dxa"/>
          <w:bottom w:w="28" w:type="dxa"/>
          <w:right w:w="28" w:type="dxa"/>
        </w:tblCellMar>
      </w:tblPr>
      <w:tblGrid>
        <w:gridCol w:w="981"/>
        <w:gridCol w:w="861"/>
        <w:gridCol w:w="872"/>
        <w:gridCol w:w="109"/>
        <w:gridCol w:w="109"/>
        <w:gridCol w:w="109"/>
        <w:gridCol w:w="274"/>
        <w:gridCol w:w="274"/>
        <w:gridCol w:w="276"/>
        <w:gridCol w:w="109"/>
        <w:gridCol w:w="109"/>
        <w:gridCol w:w="109"/>
        <w:gridCol w:w="878"/>
        <w:gridCol w:w="878"/>
        <w:gridCol w:w="1244"/>
      </w:tblGrid>
      <w:tr>
        <w:trPr/>
        <w:tc>
          <w:tcPr>
            <w:tcW w:w="98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w:t>
              <w:br/>
              <w:t>on which registered</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Global Select Market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8"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109"/>
        <w:gridCol w:w="109"/>
        <w:gridCol w:w="109"/>
        <w:gridCol w:w="769"/>
        <w:gridCol w:w="769"/>
        <w:gridCol w:w="773"/>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shares of the registrant’s common stock outstanding as of October 31, 2024 was 22,156,735.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 ENDED 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283"/>
        <w:gridCol w:w="249"/>
        <w:gridCol w:w="253"/>
        <w:gridCol w:w="2916"/>
        <w:gridCol w:w="2840"/>
        <w:gridCol w:w="2849"/>
        <w:gridCol w:w="237"/>
        <w:gridCol w:w="237"/>
        <w:gridCol w:w="341"/>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Page No.</w:t>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8407151ca4b0fa29dac7cadd2367c_10">
              <w:r>
                <w:rPr>
                  <w:rStyle w:val="InternetLink"/>
                  <w:rFonts w:ascii="Times New Roman;sans-serif" w:hAnsi="Times New Roman;sans-serif"/>
                  <w:b/>
                  <w:color w:val="0000FF"/>
                  <w:sz w:val="20"/>
                  <w:u w:val="single"/>
                </w:rPr>
                <w:t>Financial Information</w:t>
              </w:r>
            </w:hyperlink>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8407151ca4b0fa29dac7cadd2367c_13">
              <w:r>
                <w:rPr>
                  <w:rStyle w:val="InternetLink"/>
                  <w:rFonts w:ascii="Times New Roman;sans-serif" w:hAnsi="Times New Roman;sans-serif"/>
                  <w:b w:val="false"/>
                  <w:color w:val="0000FF"/>
                  <w:sz w:val="20"/>
                  <w:u w:val="single"/>
                </w:rPr>
                <w:t>Financial Statements</w:t>
              </w:r>
            </w:hyperlink>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8407151ca4b0fa29dac7cadd2367c_16">
              <w:r>
                <w:rPr>
                  <w:rStyle w:val="InternetLink"/>
                  <w:rFonts w:ascii="Times New Roman;sans-serif" w:hAnsi="Times New Roman;sans-serif"/>
                  <w:b w:val="false"/>
                  <w:color w:val="000080"/>
                  <w:sz w:val="20"/>
                  <w:u w:val="single"/>
                </w:rPr>
                <w:t xml:space="preserve">Condensed Consolidated Balance Sheets – </w:t>
              </w:r>
            </w:hyperlink>
            <w:r>
              <w:rPr>
                <w:rFonts w:ascii="Times New Roman;sans-serif" w:hAnsi="Times New Roman;sans-serif"/>
                <w:b w:val="false"/>
                <w:color w:val="0000FF"/>
                <w:sz w:val="20"/>
                <w:u w:val="single"/>
              </w:rPr>
              <w:t>September 30, 2024</w:t>
            </w:r>
            <w:hyperlink w:anchor="idd18407151ca4b0fa29dac7cadd2367c_16">
              <w:r>
                <w:rPr>
                  <w:rStyle w:val="InternetLink"/>
                  <w:rFonts w:ascii="Times New Roman;sans-serif" w:hAnsi="Times New Roman;sans-serif"/>
                  <w:b w:val="false"/>
                  <w:color w:val="000080"/>
                  <w:sz w:val="20"/>
                  <w:u w:val="single"/>
                </w:rPr>
                <w:t xml:space="preserve"> (unaudited) and </w:t>
              </w:r>
            </w:hyperlink>
            <w:r>
              <w:rPr>
                <w:rFonts w:ascii="Times New Roman;sans-serif" w:hAnsi="Times New Roman;sans-serif"/>
                <w:b w:val="false"/>
                <w:color w:val="0000FF"/>
                <w:sz w:val="20"/>
                <w:u w:val="single"/>
              </w:rPr>
              <w:t>December 31, 2023</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8407151ca4b0fa29dac7cadd2367c_16">
              <w:r>
                <w:rPr>
                  <w:rStyle w:val="InternetLink"/>
                  <w:rFonts w:ascii="Times New Roman;sans-serif" w:hAnsi="Times New Roman;sans-serif"/>
                  <w:b w:val="false"/>
                  <w:color w:val="0000FF"/>
                  <w:sz w:val="20"/>
                  <w:u w:val="single"/>
                </w:rPr>
                <w:t>2</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8407151ca4b0fa29dac7cadd2367c_19">
              <w:r>
                <w:rPr>
                  <w:rStyle w:val="InternetLink"/>
                  <w:rFonts w:ascii="Times New Roman;sans-serif" w:hAnsi="Times New Roman;sans-serif"/>
                  <w:b w:val="false"/>
                  <w:color w:val="000080"/>
                  <w:sz w:val="20"/>
                  <w:u w:val="single"/>
                </w:rPr>
                <w:t xml:space="preserve">Condensed Consolidated Statements of Operations (unaudited) – </w:t>
              </w:r>
            </w:hyperlink>
            <w:r>
              <w:rPr>
                <w:rFonts w:ascii="Times New Roman;sans-serif" w:hAnsi="Times New Roman;sans-serif"/>
                <w:b w:val="false"/>
                <w:color w:val="0000FF"/>
                <w:sz w:val="20"/>
                <w:u w:val="single"/>
              </w:rPr>
              <w:t>Three and Nine Months Ended</w:t>
            </w:r>
            <w:hyperlink w:anchor="idd18407151ca4b0fa29dac7cadd2367c_19">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0000FF"/>
                <w:sz w:val="20"/>
                <w:u w:val="single"/>
              </w:rPr>
              <w:t>September 30, 2024</w:t>
            </w:r>
            <w:hyperlink w:anchor="idd18407151ca4b0fa29dac7cadd2367c_19">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2023</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8407151ca4b0fa29dac7cadd2367c_19">
              <w:r>
                <w:rPr>
                  <w:rStyle w:val="InternetLink"/>
                  <w:rFonts w:ascii="Times New Roman;sans-serif" w:hAnsi="Times New Roman;sans-serif"/>
                  <w:b w:val="false"/>
                  <w:color w:val="0000FF"/>
                  <w:sz w:val="20"/>
                  <w:u w:val="single"/>
                </w:rPr>
                <w:t>3</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8407151ca4b0fa29dac7cadd2367c_22">
              <w:r>
                <w:rPr>
                  <w:rStyle w:val="InternetLink"/>
                  <w:rFonts w:ascii="Times New Roman;sans-serif" w:hAnsi="Times New Roman;sans-serif"/>
                  <w:b w:val="false"/>
                  <w:color w:val="000080"/>
                  <w:sz w:val="20"/>
                  <w:u w:val="single"/>
                </w:rPr>
                <w:t xml:space="preserve">Condensed Consolidated Statements of Comprehensive </w:t>
              </w:r>
            </w:hyperlink>
            <w:r>
              <w:rPr>
                <w:rFonts w:ascii="Times New Roman;sans-serif" w:hAnsi="Times New Roman;sans-serif"/>
                <w:b w:val="false"/>
                <w:color w:val="0000FF"/>
                <w:sz w:val="20"/>
                <w:u w:val="single"/>
              </w:rPr>
              <w:t>Income (Loss)</w:t>
            </w:r>
            <w:hyperlink w:anchor="idd18407151ca4b0fa29dac7cadd2367c_22">
              <w:r>
                <w:rPr>
                  <w:rStyle w:val="InternetLink"/>
                  <w:rFonts w:ascii="Times New Roman;sans-serif" w:hAnsi="Times New Roman;sans-serif"/>
                  <w:b w:val="false"/>
                  <w:color w:val="000080"/>
                  <w:sz w:val="20"/>
                  <w:u w:val="single"/>
                </w:rPr>
                <w:t xml:space="preserve"> (unaudited) –</w:t>
              </w:r>
            </w:hyperlink>
            <w:r>
              <w:rPr>
                <w:rFonts w:ascii="Times New Roman;sans-serif" w:hAnsi="Times New Roman;sans-serif"/>
                <w:b w:val="false"/>
                <w:color w:val="0000FF"/>
                <w:sz w:val="20"/>
                <w:u w:val="single"/>
              </w:rPr>
              <w:t xml:space="preserve"> Three and Nine Months Ended September 30, 2024 and 2023</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8407151ca4b0fa29dac7cadd2367c_22">
              <w:r>
                <w:rPr>
                  <w:rStyle w:val="InternetLink"/>
                  <w:rFonts w:ascii="Times New Roman;sans-serif" w:hAnsi="Times New Roman;sans-serif"/>
                  <w:b w:val="false"/>
                  <w:color w:val="0000FF"/>
                  <w:sz w:val="20"/>
                  <w:u w:val="single"/>
                </w:rPr>
                <w:t>4</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8407151ca4b0fa29dac7cadd2367c_25">
              <w:r>
                <w:rPr>
                  <w:rStyle w:val="InternetLink"/>
                  <w:rFonts w:ascii="Times New Roman;sans-serif" w:hAnsi="Times New Roman;sans-serif"/>
                  <w:b w:val="false"/>
                  <w:color w:val="000080"/>
                  <w:sz w:val="20"/>
                  <w:u w:val="single"/>
                </w:rPr>
                <w:t>Condensed Consolidated Statements of Stockholders’ Equity (unaudited) –</w:t>
              </w:r>
            </w:hyperlink>
            <w:r>
              <w:rPr>
                <w:rFonts w:ascii="Times New Roman;sans-serif" w:hAnsi="Times New Roman;sans-serif"/>
                <w:b w:val="false"/>
                <w:color w:val="0000FF"/>
                <w:sz w:val="20"/>
                <w:u w:val="single"/>
              </w:rPr>
              <w:t>Three and Nine Months Ended September 30, 2024 and 2023</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8407151ca4b0fa29dac7cadd2367c_25">
              <w:r>
                <w:rPr>
                  <w:rStyle w:val="InternetLink"/>
                  <w:rFonts w:ascii="Times New Roman;sans-serif" w:hAnsi="Times New Roman;sans-serif"/>
                  <w:b w:val="false"/>
                  <w:color w:val="0000FF"/>
                  <w:sz w:val="20"/>
                  <w:u w:val="single"/>
                </w:rPr>
                <w:t>5</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8407151ca4b0fa29dac7cadd2367c_28">
              <w:r>
                <w:rPr>
                  <w:rStyle w:val="InternetLink"/>
                  <w:rFonts w:ascii="Times New Roman;sans-serif" w:hAnsi="Times New Roman;sans-serif"/>
                  <w:b w:val="false"/>
                  <w:color w:val="000080"/>
                  <w:sz w:val="20"/>
                  <w:u w:val="single"/>
                </w:rPr>
                <w:t>Condensed Consolidated Statements of Cash Flows (unaudited) –</w:t>
              </w:r>
            </w:hyperlink>
            <w:r>
              <w:rPr>
                <w:rFonts w:ascii="Times New Roman;sans-serif" w:hAnsi="Times New Roman;sans-serif"/>
                <w:b w:val="false"/>
                <w:color w:val="0000FF"/>
                <w:sz w:val="20"/>
                <w:u w:val="single"/>
              </w:rPr>
              <w:t xml:space="preserve"> Nine Months Ended September 30, 2024 and 2023</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8407151ca4b0fa29dac7cadd2367c_28">
              <w:r>
                <w:rPr>
                  <w:rStyle w:val="InternetLink"/>
                  <w:rFonts w:ascii="Times New Roman;sans-serif" w:hAnsi="Times New Roman;sans-serif"/>
                  <w:b w:val="false"/>
                  <w:color w:val="0000FF"/>
                  <w:sz w:val="20"/>
                  <w:u w:val="single"/>
                </w:rPr>
                <w:t>7</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8407151ca4b0fa29dac7cadd2367c_31">
              <w:r>
                <w:rPr>
                  <w:rStyle w:val="InternetLink"/>
                  <w:rFonts w:ascii="Times New Roman;sans-serif" w:hAnsi="Times New Roman;sans-serif"/>
                  <w:b w:val="false"/>
                  <w:color w:val="0000FF"/>
                  <w:sz w:val="20"/>
                  <w:u w:val="single"/>
                </w:rPr>
                <w:t>Notes to Condensed Consolidated Financial Statements (unaudited)</w:t>
              </w:r>
            </w:hyperlink>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8407151ca4b0fa29dac7cadd2367c_31">
              <w:r>
                <w:rPr>
                  <w:rStyle w:val="InternetLink"/>
                  <w:rFonts w:ascii="Times New Roman;sans-serif" w:hAnsi="Times New Roman;sans-serif"/>
                  <w:b w:val="false"/>
                  <w:color w:val="0000FF"/>
                  <w:sz w:val="20"/>
                  <w:u w:val="single"/>
                </w:rPr>
                <w:t>8</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8407151ca4b0fa29dac7cadd2367c_7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8407151ca4b0fa29dac7cadd2367c_76">
              <w:r>
                <w:rPr>
                  <w:rStyle w:val="InternetLink"/>
                  <w:rFonts w:ascii="Times New Roman;sans-serif" w:hAnsi="Times New Roman;sans-serif"/>
                  <w:b w:val="false"/>
                  <w:color w:val="0000FF"/>
                  <w:sz w:val="20"/>
                  <w:u w:val="single"/>
                </w:rPr>
                <w:t>29</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8407151ca4b0fa29dac7cadd2367c_109">
              <w:r>
                <w:rPr>
                  <w:rStyle w:val="InternetLink"/>
                  <w:rFonts w:ascii="Times New Roman;sans-serif" w:hAnsi="Times New Roman;sans-serif"/>
                  <w:b w:val="false"/>
                  <w:color w:val="0000FF"/>
                  <w:sz w:val="20"/>
                  <w:u w:val="single"/>
                </w:rPr>
                <w:t>Quantitative and Qualitative Disclosures About Market Risk</w:t>
              </w:r>
            </w:hyperlink>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8407151ca4b0fa29dac7cadd2367c_109">
              <w:r>
                <w:rPr>
                  <w:rStyle w:val="InternetLink"/>
                  <w:rFonts w:ascii="Times New Roman;sans-serif" w:hAnsi="Times New Roman;sans-serif"/>
                  <w:b w:val="false"/>
                  <w:color w:val="0000FF"/>
                  <w:sz w:val="20"/>
                  <w:u w:val="single"/>
                </w:rPr>
                <w:t>42</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8407151ca4b0fa29dac7cadd2367c_112">
              <w:r>
                <w:rPr>
                  <w:rStyle w:val="InternetLink"/>
                  <w:rFonts w:ascii="Times New Roman;sans-serif" w:hAnsi="Times New Roman;sans-serif"/>
                  <w:b w:val="false"/>
                  <w:color w:val="0000FF"/>
                  <w:sz w:val="20"/>
                  <w:u w:val="single"/>
                </w:rPr>
                <w:t>Controls and Procedures</w:t>
              </w:r>
            </w:hyperlink>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8407151ca4b0fa29dac7cadd2367c_112">
              <w:r>
                <w:rPr>
                  <w:rStyle w:val="InternetLink"/>
                  <w:rFonts w:ascii="Times New Roman;sans-serif" w:hAnsi="Times New Roman;sans-serif"/>
                  <w:b w:val="false"/>
                  <w:color w:val="0000FF"/>
                  <w:sz w:val="20"/>
                  <w:u w:val="single"/>
                </w:rPr>
                <w:t>42</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8407151ca4b0fa29dac7cadd2367c_115">
              <w:r>
                <w:rPr>
                  <w:rStyle w:val="InternetLink"/>
                  <w:rFonts w:ascii="Times New Roman;sans-serif" w:hAnsi="Times New Roman;sans-serif"/>
                  <w:b/>
                  <w:color w:val="0000FF"/>
                  <w:sz w:val="20"/>
                  <w:u w:val="single"/>
                </w:rPr>
                <w:t>Other Information</w:t>
              </w:r>
            </w:hyperlink>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8407151ca4b0fa29dac7cadd2367c_118">
              <w:r>
                <w:rPr>
                  <w:rStyle w:val="InternetLink"/>
                  <w:rFonts w:ascii="Times New Roman;sans-serif" w:hAnsi="Times New Roman;sans-serif"/>
                  <w:b w:val="false"/>
                  <w:color w:val="0000FF"/>
                  <w:sz w:val="20"/>
                  <w:u w:val="single"/>
                </w:rPr>
                <w:t>Legal Proceedings</w:t>
              </w:r>
            </w:hyperlink>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8407151ca4b0fa29dac7cadd2367c_115">
              <w:r>
                <w:rPr>
                  <w:rStyle w:val="InternetLink"/>
                  <w:rFonts w:ascii="Times New Roman;sans-serif" w:hAnsi="Times New Roman;sans-serif"/>
                  <w:b w:val="false"/>
                  <w:color w:val="0000FF"/>
                  <w:sz w:val="20"/>
                  <w:u w:val="single"/>
                </w:rPr>
                <w:t>42</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605" w:type="dxa"/>
            <w:gridSpan w:val="3"/>
            <w:tcBorders/>
            <w:tcMar>
              <w:top w:w="0" w:type="dxa"/>
              <w:left w:w="0" w:type="dxa"/>
              <w:bottom w:w="0" w:type="dxa"/>
              <w:right w:w="0" w:type="dxa"/>
            </w:tcMar>
            <w:vAlign w:val="center"/>
          </w:tcPr>
          <w:p>
            <w:pPr>
              <w:pStyle w:val="TableContents"/>
              <w:bidi w:val="0"/>
              <w:spacing w:lineRule="auto" w:line="240" w:before="360" w:after="283"/>
              <w:jc w:val="left"/>
              <w:rPr/>
            </w:pPr>
            <w:hyperlink w:anchor="idd18407151ca4b0fa29dac7cadd2367c_121">
              <w:r>
                <w:rPr>
                  <w:rStyle w:val="InternetLink"/>
                  <w:rFonts w:ascii="Times New Roman;sans-serif" w:hAnsi="Times New Roman;sans-serif"/>
                  <w:b w:val="false"/>
                  <w:color w:val="0000FF"/>
                  <w:sz w:val="20"/>
                  <w:u w:val="single"/>
                </w:rPr>
                <w:t>Risk Factors</w:t>
              </w:r>
            </w:hyperlink>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8407151ca4b0fa29dac7cadd2367c_121">
              <w:r>
                <w:rPr>
                  <w:rStyle w:val="InternetLink"/>
                  <w:rFonts w:ascii="Times New Roman;sans-serif" w:hAnsi="Times New Roman;sans-serif"/>
                  <w:b w:val="false"/>
                  <w:color w:val="0000FF"/>
                  <w:sz w:val="20"/>
                  <w:u w:val="single"/>
                </w:rPr>
                <w:t>42</w:t>
              </w:r>
            </w:hyperlink>
          </w:p>
        </w:tc>
      </w:tr>
      <w:tr>
        <w:trPr/>
        <w:tc>
          <w:tcPr>
            <w:tcW w:w="785" w:type="dxa"/>
            <w:gridSpan w:val="3"/>
            <w:tcBorders/>
            <w:vAlign w:val="center"/>
          </w:tcPr>
          <w:p>
            <w:pPr>
              <w:pStyle w:val="TableContents"/>
              <w:bidi w:val="0"/>
              <w:spacing w:before="0" w:after="283"/>
              <w:jc w:val="left"/>
              <w:rPr>
                <w:sz w:val="4"/>
                <w:szCs w:val="4"/>
              </w:rPr>
            </w:pPr>
            <w:r>
              <w:rPr>
                <w:sz w:val="4"/>
                <w:szCs w:val="4"/>
              </w:rPr>
            </w:r>
          </w:p>
        </w:tc>
        <w:tc>
          <w:tcPr>
            <w:tcW w:w="8605"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r>
      <w:tr>
        <w:trPr/>
        <w:tc>
          <w:tcPr>
            <w:tcW w:w="785" w:type="dxa"/>
            <w:gridSpan w:val="3"/>
            <w:tcBorders/>
            <w:vAlign w:val="center"/>
          </w:tcPr>
          <w:p>
            <w:pPr>
              <w:pStyle w:val="TableContents"/>
              <w:bidi w:val="0"/>
              <w:spacing w:before="0" w:after="283"/>
              <w:jc w:val="left"/>
              <w:rPr>
                <w:sz w:val="4"/>
                <w:szCs w:val="4"/>
              </w:rPr>
            </w:pPr>
            <w:r>
              <w:rPr>
                <w:sz w:val="4"/>
                <w:szCs w:val="4"/>
              </w:rPr>
            </w:r>
          </w:p>
        </w:tc>
        <w:tc>
          <w:tcPr>
            <w:tcW w:w="8605"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r>
      <w:tr>
        <w:trPr/>
        <w:tc>
          <w:tcPr>
            <w:tcW w:w="785" w:type="dxa"/>
            <w:gridSpan w:val="3"/>
            <w:tcBorders/>
            <w:vAlign w:val="center"/>
          </w:tcPr>
          <w:p>
            <w:pPr>
              <w:pStyle w:val="TableContents"/>
              <w:bidi w:val="0"/>
              <w:spacing w:before="0" w:after="283"/>
              <w:jc w:val="left"/>
              <w:rPr>
                <w:sz w:val="4"/>
                <w:szCs w:val="4"/>
              </w:rPr>
            </w:pPr>
            <w:r>
              <w:rPr>
                <w:sz w:val="4"/>
                <w:szCs w:val="4"/>
              </w:rPr>
            </w:r>
          </w:p>
        </w:tc>
        <w:tc>
          <w:tcPr>
            <w:tcW w:w="8605"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8407151ca4b0fa29dac7cadd2367c_127">
              <w:r>
                <w:rPr>
                  <w:rStyle w:val="InternetLink"/>
                  <w:rFonts w:ascii="Times New Roman;sans-serif" w:hAnsi="Times New Roman;sans-serif"/>
                  <w:b w:val="false"/>
                  <w:color w:val="0000FF"/>
                  <w:sz w:val="20"/>
                  <w:u w:val="single"/>
                </w:rPr>
                <w:t>Other Information</w:t>
              </w:r>
            </w:hyperlink>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8407151ca4b0fa29dac7cadd2367c_127">
              <w:r>
                <w:rPr>
                  <w:rStyle w:val="InternetLink"/>
                  <w:rFonts w:ascii="Times New Roman;sans-serif" w:hAnsi="Times New Roman;sans-serif"/>
                  <w:b w:val="false"/>
                  <w:color w:val="0000FF"/>
                  <w:sz w:val="20"/>
                  <w:u w:val="single"/>
                </w:rPr>
                <w:t>42</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8407151ca4b0fa29dac7cadd2367c_130">
              <w:r>
                <w:rPr>
                  <w:rStyle w:val="InternetLink"/>
                  <w:rFonts w:ascii="Times New Roman;sans-serif" w:hAnsi="Times New Roman;sans-serif"/>
                  <w:b w:val="false"/>
                  <w:color w:val="0000FF"/>
                  <w:sz w:val="20"/>
                  <w:u w:val="single"/>
                </w:rPr>
                <w:t>Exhibits</w:t>
              </w:r>
            </w:hyperlink>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8407151ca4b0fa29dac7cadd2367c_130">
              <w:r>
                <w:rPr>
                  <w:rStyle w:val="InternetLink"/>
                  <w:rFonts w:ascii="Times New Roman;sans-serif" w:hAnsi="Times New Roman;sans-serif"/>
                  <w:b w:val="false"/>
                  <w:color w:val="0000FF"/>
                  <w:sz w:val="20"/>
                  <w:u w:val="single"/>
                </w:rPr>
                <w:t>43</w:t>
              </w:r>
            </w:hyperlink>
          </w:p>
        </w:tc>
      </w:tr>
      <w:tr>
        <w:trPr/>
        <w:tc>
          <w:tcPr>
            <w:tcW w:w="93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d18407151ca4b0fa29dac7cadd2367c_133">
              <w:r>
                <w:rPr>
                  <w:rStyle w:val="InternetLink"/>
                  <w:rFonts w:ascii="Times New Roman;sans-serif" w:hAnsi="Times New Roman;sans-serif"/>
                  <w:b w:val="false"/>
                  <w:color w:val="0000FF"/>
                  <w:sz w:val="20"/>
                  <w:u w:val="single"/>
                </w:rPr>
                <w:t>Signatures</w:t>
              </w:r>
            </w:hyperlink>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8407151ca4b0fa29dac7cadd2367c_133">
              <w:r>
                <w:rPr>
                  <w:rStyle w:val="InternetLink"/>
                  <w:rFonts w:ascii="Times New Roman;sans-serif" w:hAnsi="Times New Roman;sans-serif"/>
                  <w:b w:val="false"/>
                  <w:color w:val="0000FF"/>
                  <w:sz w:val="20"/>
                  <w:u w:val="single"/>
                </w:rPr>
                <w:t>44</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3034"/>
        <w:gridCol w:w="2248"/>
        <w:gridCol w:w="2257"/>
        <w:gridCol w:w="211"/>
        <w:gridCol w:w="826"/>
        <w:gridCol w:w="109"/>
        <w:gridCol w:w="109"/>
        <w:gridCol w:w="109"/>
        <w:gridCol w:w="109"/>
        <w:gridCol w:w="211"/>
        <w:gridCol w:w="826"/>
        <w:gridCol w:w="156"/>
      </w:tblGrid>
      <w:tr>
        <w:trPr/>
        <w:tc>
          <w:tcPr>
            <w:tcW w:w="3034"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allowances of $13,237 at September 30, 2024 and $15,952 at December 31, 2023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376,355 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maturity of term loan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 LONG-TERM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$1.00 par value, shares authorized: 100 shares of Series A and 2,000,000 shares of Series B; none issued and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shares authorized: 50,000,000 at September 30, 2024 and December 31, 2023; shares issued and outstanding: 22,157,361 at September 30, 2024 and 21,813,266 at December 31, 2023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667,142 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- 2 -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- 2 -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40"/>
        <w:gridCol w:w="1415"/>
        <w:gridCol w:w="142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56"/>
      </w:tblGrid>
      <w:tr>
        <w:trPr/>
        <w:tc>
          <w:tcPr>
            <w:tcW w:w="164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loss on interest rate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extinguishments of debt,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equity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 and equity in losses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losses, net of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BASIC INCOME (LOSS) PER COMMON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DILUTED INCOME (LOSS) PER COMMON SHARE</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9179" w:type="dxa"/>
        <w:jc w:val="center"/>
        <w:tblInd w:w="0" w:type="dxa"/>
        <w:tblLayout w:type="fixed"/>
        <w:tblCellMar>
          <w:top w:w="28" w:type="dxa"/>
          <w:left w:w="28" w:type="dxa"/>
          <w:bottom w:w="28" w:type="dxa"/>
          <w:right w:w="28" w:type="dxa"/>
        </w:tblCellMar>
      </w:tblPr>
      <w:tblGrid>
        <w:gridCol w:w="1466"/>
        <w:gridCol w:w="1286"/>
        <w:gridCol w:w="1297"/>
        <w:gridCol w:w="211"/>
        <w:gridCol w:w="616"/>
        <w:gridCol w:w="109"/>
        <w:gridCol w:w="109"/>
        <w:gridCol w:w="109"/>
        <w:gridCol w:w="109"/>
        <w:gridCol w:w="211"/>
        <w:gridCol w:w="616"/>
        <w:gridCol w:w="109"/>
        <w:gridCol w:w="109"/>
        <w:gridCol w:w="109"/>
        <w:gridCol w:w="109"/>
        <w:gridCol w:w="211"/>
        <w:gridCol w:w="796"/>
        <w:gridCol w:w="109"/>
        <w:gridCol w:w="109"/>
        <w:gridCol w:w="109"/>
        <w:gridCol w:w="109"/>
        <w:gridCol w:w="211"/>
        <w:gridCol w:w="796"/>
        <w:gridCol w:w="154"/>
      </w:tblGrid>
      <w:tr>
        <w:trPr/>
        <w:tc>
          <w:tcPr>
            <w:tcW w:w="146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translation adjustment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flow hedges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retirement benefit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830"/>
        <w:gridCol w:w="648"/>
        <w:gridCol w:w="651"/>
        <w:gridCol w:w="109"/>
        <w:gridCol w:w="109"/>
        <w:gridCol w:w="109"/>
        <w:gridCol w:w="323"/>
        <w:gridCol w:w="323"/>
        <w:gridCol w:w="196"/>
        <w:gridCol w:w="109"/>
        <w:gridCol w:w="109"/>
        <w:gridCol w:w="109"/>
        <w:gridCol w:w="196"/>
        <w:gridCol w:w="421"/>
        <w:gridCol w:w="109"/>
        <w:gridCol w:w="109"/>
        <w:gridCol w:w="109"/>
        <w:gridCol w:w="109"/>
        <w:gridCol w:w="196"/>
        <w:gridCol w:w="736"/>
        <w:gridCol w:w="109"/>
        <w:gridCol w:w="109"/>
        <w:gridCol w:w="109"/>
        <w:gridCol w:w="109"/>
        <w:gridCol w:w="237"/>
        <w:gridCol w:w="801"/>
        <w:gridCol w:w="132"/>
        <w:gridCol w:w="109"/>
        <w:gridCol w:w="109"/>
        <w:gridCol w:w="109"/>
        <w:gridCol w:w="252"/>
        <w:gridCol w:w="853"/>
        <w:gridCol w:w="141"/>
        <w:gridCol w:w="109"/>
        <w:gridCol w:w="109"/>
        <w:gridCol w:w="109"/>
        <w:gridCol w:w="196"/>
        <w:gridCol w:w="736"/>
        <w:gridCol w:w="157"/>
      </w:tblGrid>
      <w:tr>
        <w:trPr/>
        <w:tc>
          <w:tcPr>
            <w:tcW w:w="83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comprehensive</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21,813 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(13,568)</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(33,499)</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230,879 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 shares issued to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issuance of restricted shares granted to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effectively repurchased for required employee withholding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Dividends </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22,073 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(20,771)</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(33,245)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223,701 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(18,167)</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(18,167)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14,239 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issuance of restricted shares granted to employees and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effectively repurchased for required employee withholding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Dividends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22,158 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(39,895)</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(19,006)</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219,805 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issuance of restricted shares granted to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Dividends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22,157 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279,530 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(40,510)</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(18,324)</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220,918 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Cash dividends declared per share of common stock were $0.1275 and $0.1275 in the nine months ended September 30,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748"/>
        <w:gridCol w:w="569"/>
        <w:gridCol w:w="573"/>
        <w:gridCol w:w="109"/>
        <w:gridCol w:w="109"/>
        <w:gridCol w:w="109"/>
        <w:gridCol w:w="323"/>
        <w:gridCol w:w="323"/>
        <w:gridCol w:w="196"/>
        <w:gridCol w:w="109"/>
        <w:gridCol w:w="109"/>
        <w:gridCol w:w="109"/>
        <w:gridCol w:w="196"/>
        <w:gridCol w:w="421"/>
        <w:gridCol w:w="109"/>
        <w:gridCol w:w="109"/>
        <w:gridCol w:w="109"/>
        <w:gridCol w:w="109"/>
        <w:gridCol w:w="196"/>
        <w:gridCol w:w="736"/>
        <w:gridCol w:w="109"/>
        <w:gridCol w:w="109"/>
        <w:gridCol w:w="109"/>
        <w:gridCol w:w="109"/>
        <w:gridCol w:w="289"/>
        <w:gridCol w:w="976"/>
        <w:gridCol w:w="162"/>
        <w:gridCol w:w="109"/>
        <w:gridCol w:w="109"/>
        <w:gridCol w:w="109"/>
        <w:gridCol w:w="248"/>
        <w:gridCol w:w="840"/>
        <w:gridCol w:w="139"/>
        <w:gridCol w:w="109"/>
        <w:gridCol w:w="109"/>
        <w:gridCol w:w="109"/>
        <w:gridCol w:w="196"/>
        <w:gridCol w:w="736"/>
        <w:gridCol w:w="158"/>
      </w:tblGrid>
      <w:tr>
        <w:trPr/>
        <w:tc>
          <w:tcPr>
            <w:tcW w:w="74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w:t>
              <w:br/>
              <w: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6"/>
              </w:rPr>
              <w:t>Total</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21,780 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(35,854)</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240,088 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 shares issued to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issuance of restricted shares granted to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effectively repurchased for required employee withholding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Dividends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21,691 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(11,126)</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(35,434)</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228,661 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(6,520)</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issuance of restricted shares granted to employees and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effectively repurchased for required employee withholding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Dividends </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21,814 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(18,596)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(34,486)</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223,051 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Dividends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21,814 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276,813 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(15,333)</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(35,281)</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226,417 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Cash dividends declared per share of common stock were $0.1275 and $0.1275 in the nine months ended September 30, 2024 and 2023, respectively.</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LIFETIME BRANDS,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(unaudited)</w:t>
      </w:r>
    </w:p>
    <w:tbl>
      <w:tblPr>
        <w:tblW w:w="9788" w:type="dxa"/>
        <w:jc w:val="center"/>
        <w:tblInd w:w="0" w:type="dxa"/>
        <w:tblLayout w:type="fixed"/>
        <w:tblCellMar>
          <w:top w:w="28" w:type="dxa"/>
          <w:left w:w="28" w:type="dxa"/>
          <w:bottom w:w="28" w:type="dxa"/>
          <w:right w:w="28" w:type="dxa"/>
        </w:tblCellMar>
      </w:tblPr>
      <w:tblGrid>
        <w:gridCol w:w="2604"/>
        <w:gridCol w:w="2287"/>
        <w:gridCol w:w="2293"/>
        <w:gridCol w:w="211"/>
        <w:gridCol w:w="796"/>
        <w:gridCol w:w="109"/>
        <w:gridCol w:w="109"/>
        <w:gridCol w:w="109"/>
        <w:gridCol w:w="109"/>
        <w:gridCol w:w="211"/>
        <w:gridCol w:w="796"/>
        <w:gridCol w:w="154"/>
      </w:tblGrid>
      <w:tr>
        <w:trPr/>
        <w:tc>
          <w:tcPr>
            <w:tcW w:w="2604"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provided by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financing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loss on interest rate derivatives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(Recovery) provision for doubtful accounts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losses, net of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fair value adjustments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extinguishments of debt,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equity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other current assets and 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color w:val="000000"/>
                <w:sz w:val="20"/>
              </w:rPr>
              <w:t xml:space="preserve">NET CASH (USED IN) PROVIDED BY OPERATING ACTIVITIES </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revolving credit facility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term loan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financing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finance lease obligations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tax withholding for stock 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stock repurchase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paid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NET CASH USED IN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on cash</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DECREASE IN CASH AND CASH EQUIVALENTS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 — BASIS OF PRESENTATION AND SUMMARY OF ACCOUNTING POLICIES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Organization and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Lifetime Brands, Inc. (“the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virtually every major level of trade. The Company generally markets several lines within each of its product categories under more than one brand. The Company sells its products directly to retailers (who may resell the Company’s products through their websites) and, to a lesser extent, to distributors. The Company also sells a limited selection of its products directly to consumers through its own websites.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U.S. generally accepted accounting principles (“U.S. GAAP”) for interim financial information and with the instructions to Quarterly Reports on Form 10-Q and Article 10 of Regulation S-X. Accordingly, they do not include all of the information and footnotes required by U.S. GAAP for complete financial statements. In the opinion of management, all adjustments, which consist of normal recurring accruals and non-recurring adjustments, considered necessary for a fair presentation have been included.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condensed consolidated financial statements should be read in conjunction with the consolidated financial statements and footnotes thereto included in the Company’s Annual Report on Form 10-K for the fiscal year ended December 31,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results for the three and nine months ended September 30, 2024 are not necessarily indicative of the results that may be expected for the year ending December 31,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business and working capital needs are seasonal, with a majority of sales occurring in the third and fourth quarters. In 2023 and 2022, net sales for the third and fourth quarters accounted for 57% and 54% of total annual net sales, respectively. In anticipation of the pre-holiday shipping season, inventory levels increase primarily in the June through October time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current estimates contemplate current and expected future conditions, as applicable, however it is reasonably possible that actual conditions could differ from expectations, which could materially affect the Company’s results of operations and financial position.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sells products wholesale, to retailers and distributors, and retail, directly to the consumer. Wholesale sales and retail sales are primarily recognized at the point in time the customer obtains control of the products, in an amount that reflects the consideration the Company expects to be entitled to in exchange for those products.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an estimate for products expected to be returned are reflected as reductions of revenue at the time of sale. See NOTE 2 —REVENUE to the unaudited condensed consolidated financial statements included in this Quarterly Report on Form 10-Q for additional information.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Cost of sales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consist primarily of costs associated with the production and procurement of product, inbound freight costs, purchasing costs, royalties, and other product procurement related charges.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Distribution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expenses consist primarily of warehousing expenses and freight-out expenses. Handling costs of products sold are included in cost of sales.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Accounts receivable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reviews the collectability of its accounts receivable and establishes allowances for estimated credit losses that could result from the inability of its customers to make required payments, taking into consideration customer credit history and financial condition, industry and market segment information, credit reports, and expectations of current and future economic conditions. A considerable amount of judgment is required to assess the ultimate realization of these receivables, including assessing the initial and on-going creditworthiness of the Company’s customers.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maintains an allowance for anticipated customer deductions. The allowances for deductions are primarily based on contracts with customers. 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Receivable purchase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an uncommitted Receivables Purchase Agreement with HSBC Bank USA, National Association (“HSBC”) as Purchaser (the “Receivables Purchase Agreement”). The sale of accounts receivable, under the Receivables Purchase Agreement with HSBC, is excluded from the Company’s unaudited condensed consolidated balance sheets at the time of sale and the related sale expense is included in selling, general and administrative expenses in the Company’s unaudited condensed consolidated statements of operations. The Company did not sell receivables to HSBC during the three and nine months ended September 30, 2024 and September 30, 2023.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2024, $18.0 million of accounts receivables were available for sale to HSBC, net of applicable charges.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Inventory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product-by-product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 of completion, disposal and transportation.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inventory were as follows (in thousands):</w:t>
      </w:r>
    </w:p>
    <w:tbl>
      <w:tblPr>
        <w:tblW w:w="4441" w:type="dxa"/>
        <w:jc w:val="left"/>
        <w:tblInd w:w="0" w:type="dxa"/>
        <w:tblLayout w:type="fixed"/>
        <w:tblCellMar>
          <w:top w:w="28" w:type="dxa"/>
          <w:left w:w="28" w:type="dxa"/>
          <w:bottom w:w="28" w:type="dxa"/>
          <w:right w:w="28" w:type="dxa"/>
        </w:tblCellMar>
      </w:tblPr>
      <w:tblGrid>
        <w:gridCol w:w="516"/>
        <w:gridCol w:w="453"/>
        <w:gridCol w:w="455"/>
        <w:gridCol w:w="211"/>
        <w:gridCol w:w="826"/>
        <w:gridCol w:w="109"/>
        <w:gridCol w:w="109"/>
        <w:gridCol w:w="109"/>
        <w:gridCol w:w="109"/>
        <w:gridCol w:w="273"/>
        <w:gridCol w:w="1072"/>
        <w:gridCol w:w="199"/>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180,860 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235,015 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188,647 </w:t>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Fair value of financial instruments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ABL Agreement and Term Loan (each as defined in NOTE 6 — DEBT to the unaudited condensed consolidated financial statements included in this Quarterly Report on Form 10-Q) approximate fair value since such borrowings bear interest at variable market rates.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Derivatives</w:t>
      </w:r>
    </w:p>
    <w:p>
      <w:pPr>
        <w:pStyle w:val="TextBody"/>
        <w:bidi w:val="0"/>
        <w:spacing w:lineRule="auto" w:line="288" w:before="120" w:after="283"/>
        <w:jc w:val="left"/>
        <w:rPr/>
      </w:pPr>
      <w:r>
        <w:rPr>
          <w:rFonts w:ascii="Times New Roman;sans-serif" w:hAnsi="Times New Roman;sans-serif"/>
          <w:b w:val="false"/>
          <w:color w:val="000000"/>
          <w:sz w:val="20"/>
        </w:rPr>
        <w:t xml:space="preserve">The Company accounts for derivative instruments in accordance with Accounting Standard Codification (“ASC”) Topic 815, </w:t>
      </w:r>
      <w:r>
        <w:rPr>
          <w:rFonts w:ascii="Times New Roman;sans-serif" w:hAnsi="Times New Roman;sans-serif"/>
          <w:b w:val="false"/>
          <w:i/>
          <w:color w:val="000000"/>
          <w:sz w:val="20"/>
        </w:rPr>
        <w:t>Derivatives and Hedging (</w:t>
      </w:r>
      <w:r>
        <w:rPr>
          <w:color w:val="000000"/>
        </w:rPr>
        <w:t>“</w:t>
      </w:r>
      <w:r>
        <w:rPr>
          <w:rFonts w:ascii="Times New Roman;sans-serif" w:hAnsi="Times New Roman;sans-serif"/>
          <w:b w:val="false"/>
          <w:color w:val="000000"/>
          <w:sz w:val="20"/>
        </w:rPr>
        <w:t>ASC 815”</w:t>
      </w:r>
      <w:r>
        <w:rPr>
          <w:rFonts w:ascii="Times New Roman;sans-serif" w:hAnsi="Times New Roman;sans-serif"/>
          <w:b w:val="false"/>
          <w:i/>
          <w:color w:val="000000"/>
          <w:sz w:val="20"/>
        </w:rPr>
        <w:t>)</w:t>
      </w:r>
      <w:r>
        <w:rPr>
          <w:rFonts w:ascii="Times New Roman;sans-serif" w:hAnsi="Times New Roman;sans-serif"/>
          <w:b w:val="false"/>
          <w:color w:val="000000"/>
          <w:sz w:val="20"/>
        </w:rPr>
        <w:t>. ASC 815 requires that all derivative instruments be recognized on the balance sheet at fair value as either an asset or liability. Changes in the fair value of derivatives that qualify as hedges and have been designated as part of a hedging relationship for accounting purposes have no net impact on earnings until the hedged item is recognized in earnings. The changes in the fair value of hedges are included in accumulated other comprehensive loss and are subsequently recognized in the Company’s unaudited condensed consolidated statements of operations to mirror the location of the hedged items impacting earnings. Changes in fair value of derivatives that do not qualify as hedging instruments for accounting purposes are recorded in the Company’s unaudited condensed consolidated statements of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Goodwill, intangible assets and long-lived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the Financial Accounting Standards Board's (“FASB”) ASC Topic 350, Intangibles – Goodwill and Other. If, after assessing qualitative factors, the Company determines that it is not more likely than not that the fair value of a reporting unit is less than its carrying amount, then performing the quantitative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reviews goodwill and other intangibles that have indefinite lives for impairment annually as of October 1 or when events or changes in circumstances indicate the carrying value of these assets might exceed their current fair values. Impairment testing is based upon the best information available, including estimates of fair value which incorporate assumptions marketplace participants would use in making their estimates of fair value. The Company performed its annual impairment assessment of its U.S. reporting unit as of October 1, 2023 by comparing the fair value of the reporting unit with its carrying value. The Company performed the analysis using a discounted cash flow and market multiple method. As of October 1, 2023, the fair value of the U.S. reporting unit exceeded the carrying value of goodwill by 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significant assumptions used under the income approach, or discounted cash flow method, are projected net sales, projected earnings before interest, tax, depreciation and amortization (“EBITDA”), and the cost of capital. Projected net sales and projected EBITDA were determined to be significant assumptions because they are the primary drivers of the projected cash flows in the discounted cash flow fair value model. Cost of capital was also determined to be a significant assumption as it is the discount rate used to calculate the current fair value of those projected cash flows.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Company believes the assumptions and estimates made are reasonable and appropriate, different assumptions and estimates could materially impact its reported financial results. In addition, sustained declines in the Company’s stock price and related market capitalization could impact key assumptions in the overall estimated fair values of its reporting units and could result in non-cash impairment charges that could be material to the Company’s consolidated balance sheet or results of operations. Should the carrying value of a reporting unit be in excess of the estimated fair value of that reporting unit, an impairment charge will be recorded to reduce the reporting unit to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evaluates qualitative factors to determine whether impairment indicators exist for its indefinite-lived intangibles and performs quantitative tests if required. These tests can include the relief from royalty model or other valuation models. The significant assumptions used in the relief from royalty model are future net sales for the related brands, royalty rates and the cost of capital to determine the fair value of the indefinite-lived intangibles. The Company completed the quantitative impairment analysis for its indefinite-lived asset as of October 1, 2023, by comparing the fair value of the indefinite-lived trade name to the carrying value using a relief from royalty method. As of October 1, 2023, the fair value of the Company’s indefinite-lived trade name exceeded its carrying value by 7%. While the indefinite-lived trade name was not determined to be impaired, if the indefinite-lived trade name does not perform as projected or if market factors utilized in the impairment analysis deteriorate, including an unfavorable change in the weighted average cost of capital, could materially affect the expected cash flows, and such impacts could potentially result in a material non-cash impairment charge.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 5 — INTANGIBLE ASSETS to the unaudited condensed consolidated financial statements included in this Quarterly Report on Form 10-Q for additional information.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a lease at the inception of a contract. Operating lease right-of-use (“ROU”) assets are included in operating lease right-of-use assets on the condensed consolidated balance sheets. The current and long-term components of operating lease liabilities are included in the current portion of operating lease liability and operating lease liabilities, respectively, on the condensed consolidated balance sheets. Finance leases are included in property and equipment, net, accrued expenses and other long-term liabilities. The Company’s finance leases are not material to the Company’s condensed consolidated balance sheets.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operating lease ROU asset may also include any lease payments made, adjusted for any prepaid or accrued rent payments, lease incentives, and initial direct costs incurred. Certain leases may include options to extend or terminate the lease. Lease expense for minimum lease payments is recognized on a straight-line basis over the lease term.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certain equipment leases, the Company applies a portfolio approach to effectively account for any ROU assets and lease liabilities. Leases with an initial term of twelve months or less are not recorded on the balance sheet.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the practical expedient to account for each separate lease component of a contract and its associated non-lease components as a single lease component, thus causing all fixed payments to be capitalized.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Employee healthcare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self-insures certain portions of its health insurance plan. The Company maintains an accrual for estimated unpaid claims and claims incurred but not yet reported (“IBNR”). Although management believes that it uses the best information available to estimate IBNR claims, actual claims may vary significantly from estimated claims.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Restructuring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associated with restructuring activities are recorded at fair value when a liability has been incurred. Generally, a liability has been incurred at the communication date for severance. Charges associated with lease terminations, related to restructuring activities, are recognized at the effective date of the lease modification.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 Company incurred $0.8 million of unallocated corporate expense related to the termination payment with its former Executive Chairman, Jeffrey Siegel (the “Executive Chairman”). On November 1, 2022, the Company entered into a transition agreement with its Executive Chairman which terminated his employment with the Company, effective March 31, 2023. The employment agreement provided for a one-time payment, which was paid on April 7, 2023.</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Updates not listed below were assessed and either determined to not be applicable or are expected to have a minimal effect on the Company’s financial position, results of operations, and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FASB issued Accounting Standards Update No. (“ASU”) 2023-07, Segment Reporting (Topic 280): Improvements to Reportable Segment Disclosures: which enhances the disclosures required for operating segments in the Company’s annual and interim consolidated financial statements. The new guidance is effective for public business entities for fiscal years beginning after December 15, 2023, and interim periods within fiscal years beginning after December 15, 2024 on a retrospective basis. Early adoption is permitted. The adoption requires additional disclosures, but is not expected to have a material impact on the Company's consolidated financial statements.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This guidance is intended to enhance the transparency and decision usefulness of income tax disclosures. The amendments in ASU 2023-09 address investor requests for enhanced income tax information primarily through changes to the rate reconciliation and income taxes paid information. Early adoption is permitted. The new guidance is effective for public business entities for annual periods beginning after December 15, 2024 on a prospective basis. Retrospective application is permitted. Management is currently evaluating the impact of this standard on its consolidated financial statements and related disclosures.</w:t>
      </w:r>
    </w:p>
    <w:p>
      <w:pPr>
        <w:pStyle w:val="TextBody"/>
        <w:bidi w:val="0"/>
        <w:spacing w:lineRule="auto" w:line="25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Income Statement—Reporting Comprehensive Income—Expense Disaggregation Disclosures (Subtopic 220-40): Disaggregation of Income Statement Expenses. The guidance requires additional disclosure in the notes to the financial statements for specified information about certain costs and expenses. The new guidance is effective for public business entities for annual periods beginning after December 15, 2026, and interim periods beginning after December 15, 2027. Early adoption is permitted. The amendments in this ASU may be applied either (1) prospectively to financial statements issued for reporting periods after the effective date of this ASU or (2) retrospectively to all prior periods presented in the financial statements. Management is currently evaluating the impact of this standard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2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sells products wholesale, to retailers and distributors, and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$0.9 million and $2.2 million for the three and nine months ended September 30, 2024, respectively and $0.8 million and $1.7 million for the three and nine months ended September 30, 2023, respectively. Net sales exclude taxes that are collected from customers and remitted to the taxing authorities.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sales incentives and promotions represent variable consideration and are reflected as reductions in net sales in the Company’s unaudited condensed consolidated statements of operations. While many of the sales incentives and promotions are contractually agreed upon with the Company’s customers, certain of the sales incentives and promotions are non-contractual and require the Company to estimate the amount of variable consideration based on historical experience and other known factors or as the most likely amount in a range of possible outcomes. On a quarterly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pPr>
      <w:r>
        <w:rPr>
          <w:rFonts w:ascii="Times New Roman;sans-serif" w:hAnsi="Times New Roman;sans-serif"/>
          <w:b w:val="false"/>
          <w:color w:val="000000"/>
          <w:sz w:val="20"/>
        </w:rPr>
        <w:t xml:space="preserve">basis, variable consideration is assessed on a portfolio approach in estimating the extent to which the components of variable consideration are constrained. </w:t>
      </w:r>
      <w:r>
        <w:rPr>
          <w:rFonts w:ascii="Times New Roman;sans-serif" w:hAnsi="Times New Roman;sans-serif"/>
          <w:b w:val="false"/>
          <w:color w:val="000000"/>
          <w:sz w:val="20"/>
          <w:shd w:fill="FFFFFF" w:val="clear"/>
        </w:rPr>
        <w:t>Payment terms vary by customer, but generally range from 30 to 90 days or at the point of sale for the Company’s retail direct sale</w:t>
      </w:r>
      <w:r>
        <w:rPr>
          <w:rFonts w:ascii="Times New Roman;sans-serif" w:hAnsi="Times New Roman;sans-serif"/>
          <w:b w:val="false"/>
          <w:color w:val="000000"/>
          <w:sz w:val="20"/>
        </w:rPr>
        <w:t>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The Company incurs certain direct incremental costs to obtain contracts with customers, such as sales-related co</w:t>
      </w:r>
      <w:r>
        <w:rPr>
          <w:rFonts w:ascii="Times New Roman;sans-serif" w:hAnsi="Times New Roman;sans-serif"/>
          <w:b w:val="false"/>
          <w:color w:val="000000"/>
          <w:sz w:val="20"/>
        </w:rPr>
        <w:t>mmissions, where the recognition period for the related revenue is less than one year. These costs are expensed as incurred and recorded within selling, general and administrative expenses in the unaudited condensed consolidated statements of operations. Incidental items that are immaterial in the context of the contract are expensed as incurred.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net sales disaggregated by segment, product category and geographic region for the three and nine months ended September 30, 2024 and 2023 (in thousands):</w:t>
      </w:r>
    </w:p>
    <w:tbl>
      <w:tblPr>
        <w:tblW w:w="7589" w:type="dxa"/>
        <w:jc w:val="left"/>
        <w:tblInd w:w="0" w:type="dxa"/>
        <w:tblLayout w:type="fixed"/>
        <w:tblCellMar>
          <w:top w:w="28" w:type="dxa"/>
          <w:left w:w="28" w:type="dxa"/>
          <w:bottom w:w="28" w:type="dxa"/>
          <w:right w:w="28" w:type="dxa"/>
        </w:tblCellMar>
      </w:tblPr>
      <w:tblGrid>
        <w:gridCol w:w="716"/>
        <w:gridCol w:w="631"/>
        <w:gridCol w:w="63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U.S. segment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Kitchenware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Solutions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U.S. segment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International segment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3 — LEASES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operating leases for corporate offices, distribution facilities, a manufacturing plant, and certain vehicles.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for the three and nine months ended September 30, 2024 and 2023 were as follows (in thousands):</w:t>
      </w:r>
    </w:p>
    <w:tbl>
      <w:tblPr>
        <w:tblW w:w="7582" w:type="dxa"/>
        <w:jc w:val="left"/>
        <w:tblInd w:w="0" w:type="dxa"/>
        <w:tblLayout w:type="fixed"/>
        <w:tblCellMar>
          <w:top w:w="28" w:type="dxa"/>
          <w:left w:w="28" w:type="dxa"/>
          <w:bottom w:w="28" w:type="dxa"/>
          <w:right w:w="28" w:type="dxa"/>
        </w:tblCellMar>
      </w:tblPr>
      <w:tblGrid>
        <w:gridCol w:w="863"/>
        <w:gridCol w:w="758"/>
        <w:gridCol w:w="763"/>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lease expenses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lease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Expenses are recorded within distribution expenses and selling, general and administrative expenses on the unaudited condensed consolidated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for lease related liabilities and assets for the nine months ended September 30, 2024 and 2023 were as follows (in thousands):</w:t>
      </w:r>
    </w:p>
    <w:tbl>
      <w:tblPr>
        <w:tblW w:w="8671" w:type="dxa"/>
        <w:jc w:val="left"/>
        <w:tblInd w:w="0" w:type="dxa"/>
        <w:tblLayout w:type="fixed"/>
        <w:tblCellMar>
          <w:top w:w="28" w:type="dxa"/>
          <w:left w:w="28" w:type="dxa"/>
          <w:bottom w:w="28" w:type="dxa"/>
          <w:right w:w="28" w:type="dxa"/>
        </w:tblCellMar>
      </w:tblPr>
      <w:tblGrid>
        <w:gridCol w:w="2197"/>
        <w:gridCol w:w="1933"/>
        <w:gridCol w:w="1944"/>
        <w:gridCol w:w="216"/>
        <w:gridCol w:w="740"/>
        <w:gridCol w:w="111"/>
        <w:gridCol w:w="111"/>
        <w:gridCol w:w="111"/>
        <w:gridCol w:w="111"/>
        <w:gridCol w:w="111"/>
        <w:gridCol w:w="211"/>
        <w:gridCol w:w="721"/>
        <w:gridCol w:w="154"/>
      </w:tblGrid>
      <w:tr>
        <w:trPr/>
        <w:tc>
          <w:tcPr>
            <w:tcW w:w="2197"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1086" w:type="dxa"/>
            <w:gridSpan w:val="3"/>
            <w:tcBorders/>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Cash paid for amounts included in the measurement of</w:t>
            </w:r>
            <w:r>
              <w:rPr>
                <w:color w:val="000000"/>
              </w:rPr>
              <w:t xml:space="preserve"> </w:t>
            </w:r>
            <w:r>
              <w:rPr>
                <w:rFonts w:ascii="Times New Roman;sans-serif" w:hAnsi="Times New Roman;sans-serif"/>
                <w:b/>
                <w:color w:val="000000"/>
                <w:sz w:val="20"/>
              </w:rPr>
              <w:t>lease liabilities:</w:t>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operating leases</w:t>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805" w:type="dxa"/>
        <w:jc w:val="left"/>
        <w:tblInd w:w="0" w:type="dxa"/>
        <w:tblLayout w:type="fixed"/>
        <w:tblCellMar>
          <w:top w:w="28" w:type="dxa"/>
          <w:left w:w="28" w:type="dxa"/>
          <w:bottom w:w="28" w:type="dxa"/>
          <w:right w:w="28" w:type="dxa"/>
        </w:tblCellMar>
      </w:tblPr>
      <w:tblGrid>
        <w:gridCol w:w="1923"/>
        <w:gridCol w:w="1691"/>
        <w:gridCol w:w="1696"/>
        <w:gridCol w:w="261"/>
        <w:gridCol w:w="578"/>
        <w:gridCol w:w="135"/>
        <w:gridCol w:w="135"/>
        <w:gridCol w:w="135"/>
        <w:gridCol w:w="135"/>
        <w:gridCol w:w="135"/>
        <w:gridCol w:w="211"/>
        <w:gridCol w:w="616"/>
        <w:gridCol w:w="154"/>
      </w:tblGrid>
      <w:tr>
        <w:trPr/>
        <w:tc>
          <w:tcPr>
            <w:tcW w:w="1923"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981" w:type="dxa"/>
            <w:gridSpan w:val="3"/>
            <w:tcBorders/>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Right-of-use assets obtained in exchange for lease obligations:</w:t>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future lease payments for operating leases as of September 30, 2024 were as follows (in thousands):</w:t>
      </w:r>
    </w:p>
    <w:tbl>
      <w:tblPr>
        <w:tblW w:w="6171" w:type="dxa"/>
        <w:jc w:val="left"/>
        <w:tblInd w:w="0" w:type="dxa"/>
        <w:tblLayout w:type="fixed"/>
        <w:tblCellMar>
          <w:top w:w="28" w:type="dxa"/>
          <w:left w:w="28" w:type="dxa"/>
          <w:bottom w:w="28" w:type="dxa"/>
          <w:right w:w="28" w:type="dxa"/>
        </w:tblCellMar>
      </w:tblPr>
      <w:tblGrid>
        <w:gridCol w:w="1841"/>
        <w:gridCol w:w="1618"/>
        <w:gridCol w:w="1626"/>
        <w:gridCol w:w="211"/>
        <w:gridCol w:w="721"/>
        <w:gridCol w:w="154"/>
      </w:tblGrid>
      <w:tr>
        <w:trPr/>
        <w:tc>
          <w:tcPr>
            <w:tcW w:w="1841"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 (excluding the nine months ended September 30,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payments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lease terms and discount rates were as follows:</w:t>
      </w:r>
    </w:p>
    <w:tbl>
      <w:tblPr>
        <w:tblW w:w="5504" w:type="dxa"/>
        <w:jc w:val="left"/>
        <w:tblInd w:w="0" w:type="dxa"/>
        <w:tblLayout w:type="fixed"/>
        <w:tblCellMar>
          <w:top w:w="28" w:type="dxa"/>
          <w:left w:w="28" w:type="dxa"/>
          <w:bottom w:w="28" w:type="dxa"/>
          <w:right w:w="28" w:type="dxa"/>
        </w:tblCellMar>
      </w:tblPr>
      <w:tblGrid>
        <w:gridCol w:w="1416"/>
        <w:gridCol w:w="1243"/>
        <w:gridCol w:w="1255"/>
        <w:gridCol w:w="323"/>
        <w:gridCol w:w="323"/>
        <w:gridCol w:w="944"/>
      </w:tblGrid>
      <w:tr>
        <w:trPr/>
        <w:tc>
          <w:tcPr>
            <w:tcW w:w="141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4 —INVESTMENT</w:t>
      </w:r>
    </w:p>
    <w:p>
      <w:pPr>
        <w:pStyle w:val="TextBody"/>
        <w:bidi w:val="0"/>
        <w:spacing w:lineRule="auto" w:line="288" w:before="120" w:after="283"/>
        <w:jc w:val="left"/>
        <w:rPr/>
      </w:pPr>
      <w:r>
        <w:rPr>
          <w:rFonts w:ascii="Times New Roman;sans-serif" w:hAnsi="Times New Roman;sans-serif"/>
          <w:b w:val="false"/>
          <w:color w:val="000000"/>
          <w:sz w:val="20"/>
        </w:rPr>
        <w:t>As of September 30, 2024, the Company owned 24.7% of the outstanding capital stock of Grupo Vasconia S.A.B. (“Vasconia”), an integrated manufacturer of aluminum products and a housewares company in Mexico. Shares of Vasconia’s capital stock are traded on the Bolsa Mexicana de Valores, the Mexican Stock Exchange. The Quotation Key is VASCONI. During the second quarter of 2024, Vasconia’s shareholders’ approved a resolution to a reorganization process in terms of the Law of Commercial Bankruptcy in Mexico and subsequently a bankruptcy suit was filed against Vasconia by one of its largest suppliers. The Company concluded that the recent events constituted a loss of significant influence and resulted in the discontinuation of the equity method of accounting.</w:t>
      </w:r>
      <w:r>
        <w:rPr>
          <w:color w:val="000000"/>
        </w:rPr>
        <w:t xml:space="preserve"> </w:t>
      </w:r>
      <w:r>
        <w:rPr>
          <w:rFonts w:ascii="Times New Roman;sans-serif" w:hAnsi="Times New Roman;sans-serif"/>
          <w:b w:val="false"/>
          <w:color w:val="000000"/>
          <w:sz w:val="20"/>
        </w:rPr>
        <w:t xml:space="preserve">The Company accounts for its Vasconia investment at fair value in accordance with Accounting Standards Codification (“ASC”) </w:t>
      </w:r>
      <w:r>
        <w:rPr>
          <w:rFonts w:ascii="Times New Roman;sans-serif" w:hAnsi="Times New Roman;sans-serif"/>
          <w:b w:val="false"/>
          <w:i/>
          <w:color w:val="000000"/>
          <w:sz w:val="20"/>
        </w:rPr>
        <w:t>Topic 321: Investments — Equity Securities</w:t>
      </w:r>
      <w:r>
        <w:rPr>
          <w:rFonts w:ascii="Times New Roman;sans-serif" w:hAnsi="Times New Roman;sans-serif"/>
          <w:b w:val="false"/>
          <w:color w:val="000000"/>
          <w:sz w:val="20"/>
        </w:rPr>
        <w:t xml:space="preserve">, with any changes in fair value recorded within income (loss) on equity securities on the consolidated statements of operations. As a result of the loss of significant influence, the accumulated other comprehensive losses previously recognized under the equity method of accounting were reclassified to the carrying value of the Vasconia investment and subsequently resulted in a non-cash loss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$14.2 million to reduce the investment to its fair value during the three months ended June 30, 2024. The fair value of the Vasconia investment was not material as of September 30,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Given Vasconia's limited trading activity, recent operating results of Vasconia and impact of the bankruptcy related activity, the fair value of the Vasconia investment was measured using the income approach based on Level 3 unobservable inputs.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to accounting for the investment in Vasconia at fair value, equity in losses, net of taxes recognized for the nine months ended September 30, 2024 and the three and nine months ended September 30, 2023, included the following:</w:t>
      </w:r>
    </w:p>
    <w:tbl>
      <w:tblPr>
        <w:tblW w:w="8040" w:type="dxa"/>
        <w:jc w:val="left"/>
        <w:tblInd w:w="0" w:type="dxa"/>
        <w:tblLayout w:type="fixed"/>
        <w:tblCellMar>
          <w:top w:w="28" w:type="dxa"/>
          <w:left w:w="28" w:type="dxa"/>
          <w:bottom w:w="28" w:type="dxa"/>
          <w:right w:w="28" w:type="dxa"/>
        </w:tblCellMar>
      </w:tblPr>
      <w:tblGrid>
        <w:gridCol w:w="1177"/>
        <w:gridCol w:w="1035"/>
        <w:gridCol w:w="1043"/>
        <w:gridCol w:w="211"/>
        <w:gridCol w:w="406"/>
        <w:gridCol w:w="109"/>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Vasconia equity in losses, net of taxes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on investment in Vasconia</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losses, net of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5 — INTANGIBLE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 as of September 30, 2024 and December 31, 2023 (in thousands):</w:t>
      </w:r>
    </w:p>
    <w:tbl>
      <w:tblPr>
        <w:tblW w:w="10205" w:type="dxa"/>
        <w:jc w:val="left"/>
        <w:tblInd w:w="0" w:type="dxa"/>
        <w:tblLayout w:type="fixed"/>
        <w:tblCellMar>
          <w:top w:w="28" w:type="dxa"/>
          <w:left w:w="28" w:type="dxa"/>
          <w:bottom w:w="28" w:type="dxa"/>
          <w:right w:w="28" w:type="dxa"/>
        </w:tblCellMar>
      </w:tblPr>
      <w:tblGrid>
        <w:gridCol w:w="628"/>
        <w:gridCol w:w="552"/>
        <w:gridCol w:w="557"/>
        <w:gridCol w:w="196"/>
        <w:gridCol w:w="736"/>
        <w:gridCol w:w="109"/>
        <w:gridCol w:w="109"/>
        <w:gridCol w:w="109"/>
        <w:gridCol w:w="109"/>
        <w:gridCol w:w="109"/>
        <w:gridCol w:w="109"/>
        <w:gridCol w:w="196"/>
        <w:gridCol w:w="788"/>
        <w:gridCol w:w="109"/>
        <w:gridCol w:w="109"/>
        <w:gridCol w:w="109"/>
        <w:gridCol w:w="109"/>
        <w:gridCol w:w="196"/>
        <w:gridCol w:w="736"/>
        <w:gridCol w:w="109"/>
        <w:gridCol w:w="109"/>
        <w:gridCol w:w="109"/>
        <w:gridCol w:w="109"/>
        <w:gridCol w:w="196"/>
        <w:gridCol w:w="736"/>
        <w:gridCol w:w="109"/>
        <w:gridCol w:w="109"/>
        <w:gridCol w:w="109"/>
        <w:gridCol w:w="109"/>
        <w:gridCol w:w="109"/>
        <w:gridCol w:w="109"/>
        <w:gridCol w:w="196"/>
        <w:gridCol w:w="788"/>
        <w:gridCol w:w="109"/>
        <w:gridCol w:w="109"/>
        <w:gridCol w:w="109"/>
        <w:gridCol w:w="109"/>
        <w:gridCol w:w="196"/>
        <w:gridCol w:w="736"/>
        <w:gridCol w:w="156"/>
      </w:tblGrid>
      <w:tr>
        <w:trPr/>
        <w:tc>
          <w:tcPr>
            <w:tcW w:w="62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9"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2617" w:type="dxa"/>
            <w:gridSpan w:val="10"/>
            <w:tcBorders/>
          </w:tcPr>
          <w:p>
            <w:pPr>
              <w:pStyle w:val="TableContents"/>
              <w:bidi w:val="0"/>
              <w:spacing w:before="0" w:after="283"/>
              <w:jc w:val="left"/>
              <w:rPr>
                <w:sz w:val="4"/>
                <w:szCs w:val="4"/>
              </w:rPr>
            </w:pPr>
            <w:r>
              <w:rPr>
                <w:sz w:val="4"/>
                <w:szCs w:val="4"/>
              </w:rPr>
            </w:r>
          </w:p>
        </w:tc>
      </w:tr>
      <w:tr>
        <w:trPr/>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Goodwill</w:t>
            </w:r>
            <w:r>
              <w:rPr>
                <w:rFonts w:ascii="Times New Roman;sans-serif" w:hAnsi="Times New Roman;sans-serif"/>
                <w:b/>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Indefinite-lived intangible asset: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Trade name</w:t>
            </w:r>
            <w:r>
              <w:rPr>
                <w:rFonts w:ascii="Times New Roman;sans-serif" w:hAnsi="Times New Roman;sans-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Finite-lived intangible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Trade names</w:t>
            </w:r>
            <w:r>
              <w:rPr>
                <w:rFonts w:ascii="Times New Roman;sans-serif" w:hAnsi="Times New Roman;sans-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Customer relationships</w:t>
            </w:r>
            <w:r>
              <w:rPr>
                <w:rFonts w:ascii="Times New Roman;sans-serif" w:hAnsi="Times New Roman;sans-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w:t>
            </w:r>
            <w:r>
              <w:rPr>
                <w:rFonts w:ascii="Times New Roman;sans-serif" w:hAnsi="Times New Roman;sans-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302,740 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187,977 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302,607 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199,133 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The gross and net value at September 30, 2024 and December 31, 2023 reflect a reduction of $91.7 million in impairment charges on goodwill and $1.0 million impairment charge on the indefinite-lived intangible asset.</w:t>
      </w:r>
    </w:p>
    <w:p>
      <w:pPr>
        <w:pStyle w:val="TextBody"/>
        <w:bidi w:val="0"/>
        <w:spacing w:lineRule="auto" w:line="288" w:before="60" w:after="283"/>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The gross value and accumulated amortization at September 30, 2024 and December 31, 2023 reflect a reduction of $44.1 million and $(29.3) million, respectively, for the net $14.8 million previous impairment charge on finite-lived intangible assets within the international segment and a $6.5 million reduction in gross value for previous impairment charges on finite-lived intangible assets within the U.S.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6 —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26, 2022, the Company entered into Amendment No. 2 (the “Amendment”) to the Company’s credit agreement, dated as of March 2, 2018 (as amended, the “ABL Agreement”) among the Company, as a Borrower, certain subsidiaries of the Company, as Borrowers and/or Loan Parties, JPMorgan Chase Bank, N.A., as Administrative Agent and a Lender. The ABL Agreement provides for a senior secured asset-based revolving credit facility in the maximum aggregate principal amount of $200.0 million, which facility will mature on August 26, 2027.</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14, 2023, the Company entered into Amendment No. 2 to amend the Loan Agreement, dated as of March 2, 2018, among the Company, as borrower, the other loan parties from time to time party thereto, the lenders from time to time party thereto, and JPMorgan Chase Bank, N.A., as Administrative Agent (as amended, the “Term Loan” and together with the ABL Agreement, the “Debt Agreements”). The Term Loan has a principal amount of $150.0 million, and matures on August 26,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requires the Company to make quarterly payments of principal each equal to 1.25% of the aggregate principal amount of the Term Loan, commencing on March 31, 2024, with the remaining balance payable on the maturity date. The Term Loan requires the Company to make an annual prepayment of principal, beginning with those for the fiscal year ending December 31, 2024, based upon a percentage of the Company’s excess cash flow, (“Excess Cash Flow”), if any. The percentage applied to the Company’s Excess Cash Flow is based on the Company’s Total Net Leverage Ratio (as defined in the Debt Agreements). When an Excess Cash Flow payment is required, each lender has the option to decline a portion or all of the prepayment amount payable to it. Per the Term Loan, when the Company makes an Excess Cash Flow prepayment, the payment is first applied to satisfy the next eight (8) scheduled future quarterly required payments of the Term Loan in order of maturity and then to the remaining scheduled installments on a pro rata basis.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maximum borrowing amount under the ABL Agreement may be increased to up to $250.0 million if certain conditions are met. One or more tranches of additional term loans (the “Incremental Term Facilities”) may be added under the Term Loan if certain conditions are met. The Incremental Facilities may not exceed the sum of (i) $50.0 million plus (ii) an unlimited amount so long as, in the case of (ii) only, the Company’s secured net leverage ratio, as defined in and computed on a pro forma basis pursuant to the Term Loan, after giving effect to such increase, is no greater than 3.25 to 1.00, subject to certain limitations and for the period defined pursuant to the Term Loan but not to mature earlier than the maturity date of the then existing term loans.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the total availability under the ABL Agreement were as follows (in thousands):</w:t>
      </w:r>
    </w:p>
    <w:tbl>
      <w:tblPr>
        <w:tblW w:w="7644" w:type="dxa"/>
        <w:jc w:val="left"/>
        <w:tblInd w:w="0" w:type="dxa"/>
        <w:tblLayout w:type="fixed"/>
        <w:tblCellMar>
          <w:top w:w="28" w:type="dxa"/>
          <w:left w:w="28" w:type="dxa"/>
          <w:bottom w:w="28" w:type="dxa"/>
          <w:right w:w="28" w:type="dxa"/>
        </w:tblCellMar>
      </w:tblPr>
      <w:tblGrid>
        <w:gridCol w:w="1375"/>
        <w:gridCol w:w="1206"/>
        <w:gridCol w:w="1214"/>
        <w:gridCol w:w="109"/>
        <w:gridCol w:w="109"/>
        <w:gridCol w:w="109"/>
        <w:gridCol w:w="302"/>
        <w:gridCol w:w="1135"/>
        <w:gridCol w:w="168"/>
        <w:gridCol w:w="109"/>
        <w:gridCol w:w="109"/>
        <w:gridCol w:w="109"/>
        <w:gridCol w:w="287"/>
        <w:gridCol w:w="1077"/>
        <w:gridCol w:w="226"/>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Maximum aggregate principal allowed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181,919 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borrowings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(60,395)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Standby letters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availability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126,683 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118,630 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Availability under the ABL Agreement is limited to the lesser of the $200.0 million commitment thereunder and the borrowing base and therefore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the Company may have greater borrowing availability during the third and fourth quarters of each year. Consequently, the $200.0 million commitment thereunder may not represent actual borrowing capacity. The Company’s borrowing capacity may be further limited by the Term Loan financial covenant of 5.00 to 1.00 maximum Total Net Leverage Ratio. As of September 30, 2024, the availability under the ABL Agreement, limited by the Term Loan financial covenant, was $51.6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and non-current portions of the Company’s Term Loan included in the condensed consolidated balance sheets were as follows (in thousands):</w:t>
      </w:r>
    </w:p>
    <w:tbl>
      <w:tblPr>
        <w:tblW w:w="7546" w:type="dxa"/>
        <w:jc w:val="left"/>
        <w:tblInd w:w="0" w:type="dxa"/>
        <w:tblLayout w:type="fixed"/>
        <w:tblCellMar>
          <w:top w:w="28" w:type="dxa"/>
          <w:left w:w="28" w:type="dxa"/>
          <w:bottom w:w="28" w:type="dxa"/>
          <w:right w:w="28" w:type="dxa"/>
        </w:tblCellMar>
      </w:tblPr>
      <w:tblGrid>
        <w:gridCol w:w="1258"/>
        <w:gridCol w:w="1105"/>
        <w:gridCol w:w="1116"/>
        <w:gridCol w:w="109"/>
        <w:gridCol w:w="109"/>
        <w:gridCol w:w="109"/>
        <w:gridCol w:w="302"/>
        <w:gridCol w:w="1135"/>
        <w:gridCol w:w="168"/>
        <w:gridCol w:w="109"/>
        <w:gridCol w:w="109"/>
        <w:gridCol w:w="109"/>
        <w:gridCol w:w="291"/>
        <w:gridCol w:w="1093"/>
        <w:gridCol w:w="161"/>
        <w:gridCol w:w="109"/>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Excess Cash Flow principal 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134,875 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Non-current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130,170 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135,834 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- 16 -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Excess Cash Flow principal payment recorded at September 30, 2024 represents the Company’s estimate for the Excess Cash Flow Payment due in 2025. There was no Excess Cash Flow payment due in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foreign subsidiary borrowers under the ABL Agreement are secured by security interests in substantially all of the assets of, and stock in, such foreign subsidiary borrowers, subject to certain limitations. The obligations of the Company under the Debt Agreements and any hedging arrangements and cash management services and the guarantees by its domestic subsidiaries in respect of those obligations are secured by security interests in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 of (1) a first-priority lien, subject to certain permitted liens, with respect to certain assets of the Company and certain of its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certain of its subsidiaries (the “Term Loan Collateral”) pledged as collateral in favor of lenders under the Term Loan and a second-priority lien in the Term Loan Collateral in favor of the lenders under the ABL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revolving credit facility bear interest, at the Company’s option, at one of the following rates: (i) an alternate base rate, defined, for any day, as the greater of the prime rate, a federal funds and overnight bank funding based rate plus 0.5% or one-month Adjusted Term Secured Overnight Financing Rate (“SOFR”) plus 1.0% as of a specified date in advance of the determination, but in each case not less than 1.0%, plus a margin of 0.25% to 0.50%, or (ii) Adjusted Term SOFR, which is the Term SOFR Rate for the selected 1, 3 or 6 month interest period plus 0.10% (or Euro Interbank Offered Rate “EURIBOR” for borrowings denominated in Euro; or Sterling Overnight Index Average “SONIA” for borrowings denominated in Pounds Sterling), but in each case not less than zero, plus a margin of 1.25% to 1.50%. The respective margins are based upon average quarterly availability, as defined in and computed pursuant to the ABL Agreement. In addition, the Company pays a commitment fee of 0.20% to 0.25% per annum based on the average daily unused portion of the aggregate commitment under the ABL Agreement. The interest rate on outstanding borrowings under the ABL Agreement at September 30, 2024 was between 4.79% and 6.68%. The Company paid a commitment fee of 0.25% on the unused portion of the ABL Agreement during the nine months ended September 30,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bears interest, at the Company’s option, at one of the following rates: (i) alternate base rate, defined, for any day, as the greater of (x) the prime rate, (y) a federal funds and overnight bank funding based rate plus 0.5% or (z) one-month Adjusted Term SOFR, but not less than 1.0%, plus 1.0%, plus a margin of 4.5% or (ii) Adjusted Term SOFR (Term SOFR plus the Term SOFR Adjustment) for the applicable interest period, but not less than 1.0%, plus a margin of 5.5%. The interest rate on outstanding borrowings under the Term Loan at September 30, 2024 was 10.73%.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Debt Agreements provide for customary restrictions and events of default. Restrictions include limitations on additional indebtedness, liens, acquisitions, investments and payment of dividends, among other things. Under the Term Loan, the Total Net Leverage Ratio is not permitted to be greater than 5.00 to 1.00 determined as of the end of each fiscal quarters. Further, the ABL Agreement provides that during any period (a) commencing on the last day of the most recently ended four consecutive fiscal quarters on or prior to the date availability under the ABL Agreement is less than the greater of $20.0 million and 10% of the aggregate commitment under the ABL Agreement at any time and (b) ending on the day after such availability has exceeded the greater of $20.0 million and 10% of the aggregate commitment under the ABL Agreement for 45 consecutive days, the Company is required to maintain a minimum fixed charge coverage ratio of 1.10 to 1.00 as of the last day of any period of four consecutive fiscal quarters.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was in compliance with the covenants of the Debt Agreements at September 30,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8, 2023, the Company completed the repurchase of $47.2 million in principal amount of the Term Loan, for $95 per $100 of principal. The repurchase was executed by way of a reverse Dutch auction, pursuant to and in accordance with the terms and conditions provided for in the Term Loan. In connection therewith, debt issuance costs of $0.5 million were written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- 17 -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 and fees of $0.4 million were incurred. The gain on the early retirement of the Term Loan of $1.5 million, net of fees and expenses, was recognized during the three and nine months ended September 30,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that it will continue to borrow, subject to availability, and repay funds under the ABL Agreement based on working capital and other corporate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rPr>
        <w:t>NOTE 7</w:t>
      </w:r>
      <w:r>
        <w:rPr>
          <w:color w:val="000000"/>
        </w:rPr>
        <w:t xml:space="preserve"> — </w:t>
      </w:r>
      <w:r>
        <w:rPr>
          <w:rFonts w:ascii="Times New Roman;sans-serif" w:hAnsi="Times New Roman;sans-serif"/>
          <w:b/>
          <w:color w:val="000000"/>
          <w:sz w:val="20"/>
        </w:rPr>
        <w:t xml:space="preserve">DERIVATIVES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Swap Agreements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June 2019 the Company entered into interest rate swap agreements, with an aggregate notional value of $25.0 million and expire in February 2025. In March 2024, the Company entered into a new interest rate swap agreement, with an aggregate notional value of $25.0 million and expire in August 2027. These non-designated interest rate swaps serve as cash flow hedges of the Company’s exposure to the variability of the payment of interest on a portion of its Term Loan borrowings. The Company’s total outstanding notional value of interest rate swaps was $50.0 million at September 30,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interest rate swaps that were designated as cash flow hedges of the Company’s exposure to the variability of the payment of interest on a portion of its Term Loan borrowings expired in March 2023. The Company has no designated interest rate swaps at September 30, 2024.</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Foreign Exchange Contracts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foreign currency forward contracts with terms less than 18 months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gross notional value of foreign exchange contracts at September 30, 2024 was $2.8 million. These foreign exchange contracts have been designated as hedges in order to apply hedge accounting.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market risks as well as changes in foreign currency exchange rates as measured against the USD and each other, and to changes to the credit risk of derivative counterparties. The Company attempts to minimize these risks primarily by using foreign currency forward contracts and by maintaining counterparty credit limits. These hedging activities provide only limited protection against currency exchange and credit risk. Factors that could influence the effectiveness of the Company’s hedging programs include those impacting currency markets and the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September 30, 2024, these foreign exchange contracts have been designated as hedges in to order to apply hedge accounting.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derivative financial instruments included in the condensed consolidated balance sheets are presented as follows (in thousands):</w:t>
      </w:r>
    </w:p>
    <w:tbl>
      <w:tblPr>
        <w:tblW w:w="10205" w:type="dxa"/>
        <w:jc w:val="left"/>
        <w:tblInd w:w="0" w:type="dxa"/>
        <w:tblLayout w:type="fixed"/>
        <w:tblCellMar>
          <w:top w:w="28" w:type="dxa"/>
          <w:left w:w="28" w:type="dxa"/>
          <w:bottom w:w="28" w:type="dxa"/>
          <w:right w:w="28" w:type="dxa"/>
        </w:tblCellMar>
      </w:tblPr>
      <w:tblGrid>
        <w:gridCol w:w="1244"/>
        <w:gridCol w:w="1093"/>
        <w:gridCol w:w="1097"/>
        <w:gridCol w:w="1010"/>
        <w:gridCol w:w="1010"/>
        <w:gridCol w:w="1013"/>
        <w:gridCol w:w="109"/>
        <w:gridCol w:w="109"/>
        <w:gridCol w:w="109"/>
        <w:gridCol w:w="424"/>
        <w:gridCol w:w="879"/>
        <w:gridCol w:w="236"/>
        <w:gridCol w:w="109"/>
        <w:gridCol w:w="109"/>
        <w:gridCol w:w="109"/>
        <w:gridCol w:w="441"/>
        <w:gridCol w:w="748"/>
        <w:gridCol w:w="356"/>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designated as hedging instruments</w:t>
            </w:r>
          </w:p>
        </w:tc>
        <w:tc>
          <w:tcPr>
            <w:tcW w:w="3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3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3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3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3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contracts</w:t>
            </w:r>
          </w:p>
        </w:tc>
        <w:tc>
          <w:tcPr>
            <w:tcW w:w="3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3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- 18 -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302"/>
        <w:gridCol w:w="1145"/>
        <w:gridCol w:w="1148"/>
        <w:gridCol w:w="978"/>
        <w:gridCol w:w="975"/>
        <w:gridCol w:w="978"/>
        <w:gridCol w:w="109"/>
        <w:gridCol w:w="109"/>
        <w:gridCol w:w="109"/>
        <w:gridCol w:w="407"/>
        <w:gridCol w:w="876"/>
        <w:gridCol w:w="226"/>
        <w:gridCol w:w="109"/>
        <w:gridCol w:w="109"/>
        <w:gridCol w:w="109"/>
        <w:gridCol w:w="390"/>
        <w:gridCol w:w="810"/>
        <w:gridCol w:w="316"/>
      </w:tblGrid>
      <w:tr>
        <w:trPr/>
        <w:tc>
          <w:tcPr>
            <w:tcW w:w="13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not designated as hedging instruments</w:t>
            </w:r>
          </w:p>
        </w:tc>
        <w:tc>
          <w:tcPr>
            <w:tcW w:w="2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the interest rate swaps have been obtained from the counterparties to the agreements and were based on Level 2 observable inputs using proprietary models and estimates about relevant future market conditions. The fair values of the foreign exchange contracts were based on Level 2 observable inputs using quoted market prices for similar assets in an active market. The counterparties to the derivative financial instruments are major international financial institutions. The Company is exposed to credit risk for the net exchanges under these agreements, but not for the notional amounts. As of September 30, 2024, the Company did not anticipate non-performance by any of its counterparties.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amounts of gains and losses, realized and unrealized, related to the Company’s derivative financial instruments designated as hedging instruments are recognized in other comprehensive income (loss), net of taxes, as follows (in thousands):</w:t>
      </w:r>
    </w:p>
    <w:tbl>
      <w:tblPr>
        <w:tblW w:w="7889" w:type="dxa"/>
        <w:jc w:val="left"/>
        <w:tblInd w:w="0" w:type="dxa"/>
        <w:tblLayout w:type="fixed"/>
        <w:tblCellMar>
          <w:top w:w="28" w:type="dxa"/>
          <w:left w:w="28" w:type="dxa"/>
          <w:bottom w:w="28" w:type="dxa"/>
          <w:right w:w="28" w:type="dxa"/>
        </w:tblCellMar>
      </w:tblPr>
      <w:tblGrid>
        <w:gridCol w:w="1338"/>
        <w:gridCol w:w="1172"/>
        <w:gridCol w:w="1179"/>
        <w:gridCol w:w="196"/>
        <w:gridCol w:w="496"/>
        <w:gridCol w:w="109"/>
        <w:gridCol w:w="109"/>
        <w:gridCol w:w="109"/>
        <w:gridCol w:w="109"/>
        <w:gridCol w:w="196"/>
        <w:gridCol w:w="421"/>
        <w:gridCol w:w="109"/>
        <w:gridCol w:w="109"/>
        <w:gridCol w:w="109"/>
        <w:gridCol w:w="109"/>
        <w:gridCol w:w="196"/>
        <w:gridCol w:w="406"/>
        <w:gridCol w:w="109"/>
        <w:gridCol w:w="109"/>
        <w:gridCol w:w="109"/>
        <w:gridCol w:w="109"/>
        <w:gridCol w:w="196"/>
        <w:gridCol w:w="631"/>
        <w:gridCol w:w="154"/>
      </w:tblGrid>
      <w:tr>
        <w:trPr/>
        <w:tc>
          <w:tcPr>
            <w:tcW w:w="133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designated as hedging instruments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contracts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 and losses on the interest rate swaps that are reported in other comprehensive income (loss) are reclassified into earnings as the interest expense on the debt is recognized. The Company’s interest rate swaps that were designated as hedging instruments had an aggregate notional value of $25.0 million and matured during the three months ended March 31,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 and losses on foreign exchange contracts that are reported in other comprehensive income (loss) are reclassified into cost of sales as the underlying inventory purchased is sold.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2024, the Company reclassified $0.03 million and $0.2 million, respectively, of cash flow hedges in accumulated other comprehensive losses to earnings, related to foreign exchange contracts recognized in cost of sales. At September 30, 2024, the estimated amount of existing net losses expected to be reclassified into earnings within the next 12 months was $0.2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the Company reclassified $0.2 million of cash flow hedges in accumulated other comprehensive losses to earnings. This was a loss of $0.2 million related to foreign exchange contracts recognized in cost of sales. During the nine months ended September 30, 2023, the Company reclassified $0.8 million of cash flow hedges in accumulated other comprehensive losses to earnings. This was comprised of a gain of $0.1 million related to realized interest rate swap and a gain of $0.7 million related to foreign exchange contracts recognized in cost of sales.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mark to market losses related to the Company’s derivative financial instruments not designated as hedging instruments that were recognized in earnings are as follows (in thousands):</w:t>
      </w:r>
    </w:p>
    <w:tbl>
      <w:tblPr>
        <w:tblW w:w="10205" w:type="dxa"/>
        <w:jc w:val="left"/>
        <w:tblInd w:w="0" w:type="dxa"/>
        <w:tblLayout w:type="fixed"/>
        <w:tblCellMar>
          <w:top w:w="28" w:type="dxa"/>
          <w:left w:w="28" w:type="dxa"/>
          <w:bottom w:w="28" w:type="dxa"/>
          <w:right w:w="28" w:type="dxa"/>
        </w:tblCellMar>
      </w:tblPr>
      <w:tblGrid>
        <w:gridCol w:w="1041"/>
        <w:gridCol w:w="913"/>
        <w:gridCol w:w="918"/>
        <w:gridCol w:w="926"/>
        <w:gridCol w:w="926"/>
        <w:gridCol w:w="929"/>
        <w:gridCol w:w="109"/>
        <w:gridCol w:w="109"/>
        <w:gridCol w:w="109"/>
        <w:gridCol w:w="196"/>
        <w:gridCol w:w="473"/>
        <w:gridCol w:w="109"/>
        <w:gridCol w:w="109"/>
        <w:gridCol w:w="109"/>
        <w:gridCol w:w="109"/>
        <w:gridCol w:w="196"/>
        <w:gridCol w:w="421"/>
        <w:gridCol w:w="109"/>
        <w:gridCol w:w="109"/>
        <w:gridCol w:w="109"/>
        <w:gridCol w:w="109"/>
        <w:gridCol w:w="196"/>
        <w:gridCol w:w="608"/>
        <w:gridCol w:w="109"/>
        <w:gridCol w:w="109"/>
        <w:gridCol w:w="109"/>
        <w:gridCol w:w="109"/>
        <w:gridCol w:w="196"/>
        <w:gridCol w:w="473"/>
        <w:gridCol w:w="158"/>
      </w:tblGrid>
      <w:tr>
        <w:trPr/>
        <w:tc>
          <w:tcPr>
            <w:tcW w:w="104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2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not designated as hedging instruments</w:t>
            </w:r>
          </w:p>
        </w:tc>
        <w:tc>
          <w:tcPr>
            <w:tcW w:w="2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8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 to market loss on 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vAlign w:val="center"/>
          </w:tcPr>
          <w:p>
            <w:pPr>
              <w:pStyle w:val="TableContents"/>
              <w:bidi w:val="0"/>
              <w:spacing w:before="0" w:after="283"/>
              <w:jc w:val="left"/>
              <w:rPr>
                <w:sz w:val="4"/>
                <w:szCs w:val="4"/>
              </w:rPr>
            </w:pPr>
            <w:r>
              <w:rPr>
                <w:sz w:val="4"/>
                <w:szCs w:val="4"/>
              </w:rPr>
            </w:r>
          </w:p>
        </w:tc>
        <w:tc>
          <w:tcPr>
            <w:tcW w:w="2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- 19 -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360" w:after="283"/>
        <w:jc w:val="left"/>
        <w:rPr/>
      </w:pPr>
      <w:r>
        <w:rPr>
          <w:rFonts w:ascii="Times New Roman;sans-serif" w:hAnsi="Times New Roman;sans-serif"/>
          <w:b/>
          <w:color w:val="000000"/>
          <w:sz w:val="20"/>
        </w:rPr>
        <w:t>NOTE 8</w:t>
      </w:r>
      <w:r>
        <w:rPr>
          <w:color w:val="000000"/>
        </w:rPr>
        <w:t xml:space="preserve"> — </w:t>
      </w:r>
      <w:r>
        <w:rPr>
          <w:rFonts w:ascii="Times New Roman;sans-serif" w:hAnsi="Times New Roman;sans-serif"/>
          <w:b/>
          <w:color w:val="000000"/>
          <w:sz w:val="20"/>
        </w:rPr>
        <w:t>STOCK COMPENSATION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20, 2024, the stockholders of the Company approved an amendment and restatement of the Company's Amended and Restated 2000 Long Term Incentive Plan (the "Plan"). The amendment and restatement of the Plan revised the terms and conditions of the Plan to, among other things, increase the shares available for grant under the Plan by 1,500,000 shares. As of September 30, 2024, there were 1,805,462 shares available for the grant of awards under the Plan, assuming maximum performance of performance-based awards.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Option Awards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stock option activity and related information for the nine months ended September 30, 2024 is as follows:</w:t>
      </w:r>
    </w:p>
    <w:tbl>
      <w:tblPr>
        <w:tblW w:w="10205" w:type="dxa"/>
        <w:jc w:val="left"/>
        <w:tblInd w:w="0" w:type="dxa"/>
        <w:tblLayout w:type="fixed"/>
        <w:tblCellMar>
          <w:top w:w="28" w:type="dxa"/>
          <w:left w:w="28" w:type="dxa"/>
          <w:bottom w:w="28" w:type="dxa"/>
          <w:right w:w="28" w:type="dxa"/>
        </w:tblCellMar>
      </w:tblPr>
      <w:tblGrid>
        <w:gridCol w:w="1816"/>
        <w:gridCol w:w="1574"/>
        <w:gridCol w:w="1577"/>
        <w:gridCol w:w="253"/>
        <w:gridCol w:w="552"/>
        <w:gridCol w:w="109"/>
        <w:gridCol w:w="109"/>
        <w:gridCol w:w="109"/>
        <w:gridCol w:w="109"/>
        <w:gridCol w:w="252"/>
        <w:gridCol w:w="717"/>
        <w:gridCol w:w="142"/>
        <w:gridCol w:w="109"/>
        <w:gridCol w:w="109"/>
        <w:gridCol w:w="109"/>
        <w:gridCol w:w="325"/>
        <w:gridCol w:w="325"/>
        <w:gridCol w:w="326"/>
        <w:gridCol w:w="109"/>
        <w:gridCol w:w="109"/>
        <w:gridCol w:w="109"/>
        <w:gridCol w:w="359"/>
        <w:gridCol w:w="609"/>
        <w:gridCol w:w="288"/>
      </w:tblGrid>
      <w:tr>
        <w:trPr/>
        <w:tc>
          <w:tcPr>
            <w:tcW w:w="1816"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4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remaining</w:t>
              <w:br/>
              <w:t>contractual</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w:t>
              <w:br/>
              <w:t xml:space="preserve">value </w:t>
              <w:br/>
              <w:t>(in thousands)</w:t>
            </w:r>
          </w:p>
        </w:tc>
      </w:tr>
      <w:tr>
        <w:trPr/>
        <w:tc>
          <w:tcPr>
            <w:tcW w:w="4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Options outstanding, January 1, 2024</w:t>
            </w:r>
          </w:p>
        </w:tc>
        <w:tc>
          <w:tcPr>
            <w:tcW w:w="8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Grants</w:t>
            </w:r>
            <w:r>
              <w:rPr>
                <w:rFonts w:ascii="Times New Roman;sans-serif" w:hAnsi="Times New Roman;sans-serif"/>
                <w:b w:val="false"/>
                <w:color w:val="000000"/>
                <w:sz w:val="12"/>
              </w:rPr>
              <w:t>(1)</w:t>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496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4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Expirations</w:t>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Options outstanding, September 30, 2024</w:t>
            </w:r>
            <w:r>
              <w:rPr>
                <w:rFonts w:ascii="Times New Roman;sans-serif" w:hAnsi="Times New Roman;sans-serif"/>
                <w:b/>
                <w:color w:val="000000"/>
                <w:sz w:val="12"/>
              </w:rPr>
              <w:t>(1)</w:t>
            </w:r>
          </w:p>
        </w:tc>
        <w:tc>
          <w:tcPr>
            <w:tcW w:w="8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Options exercisable, September 30, 2024</w:t>
            </w:r>
          </w:p>
        </w:tc>
        <w:tc>
          <w:tcPr>
            <w:tcW w:w="80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674,500 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8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unrecognized stock option expense remaining (in thousands)</w:t>
            </w:r>
          </w:p>
        </w:tc>
        <w:tc>
          <w:tcPr>
            <w:tcW w:w="2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years expected to be recognized over</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6"/>
        </w:rPr>
        <w:t>Includes a non-plan stock option award of 15,000 stock options.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in the table above represents the total pre-tax intrinsic value that would have been received by the option holders had all option holders exercised their stock options on September 30, 2024. The intrinsic value is calculated for each in-the-money stock option as the difference between the closing price of the Company’s common stock on September 30, 2024 and the exercise price.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restricted stock activity and related information for the nine months ended September 30, 2024 is as follows:</w:t>
      </w:r>
    </w:p>
    <w:tbl>
      <w:tblPr>
        <w:tblW w:w="7790" w:type="dxa"/>
        <w:jc w:val="left"/>
        <w:tblInd w:w="0" w:type="dxa"/>
        <w:tblLayout w:type="fixed"/>
        <w:tblCellMar>
          <w:top w:w="28" w:type="dxa"/>
          <w:left w:w="28" w:type="dxa"/>
          <w:bottom w:w="28" w:type="dxa"/>
          <w:right w:w="28" w:type="dxa"/>
        </w:tblCellMar>
      </w:tblPr>
      <w:tblGrid>
        <w:gridCol w:w="1934"/>
        <w:gridCol w:w="1697"/>
        <w:gridCol w:w="1708"/>
        <w:gridCol w:w="210"/>
        <w:gridCol w:w="600"/>
        <w:gridCol w:w="113"/>
        <w:gridCol w:w="109"/>
        <w:gridCol w:w="109"/>
        <w:gridCol w:w="109"/>
        <w:gridCol w:w="288"/>
        <w:gridCol w:w="685"/>
        <w:gridCol w:w="228"/>
      </w:tblGrid>
      <w:tr>
        <w:trPr/>
        <w:tc>
          <w:tcPr>
            <w:tcW w:w="1934"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Restricted</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grant</w:t>
              <w:br/>
              <w:t>date fair</w:t>
              <w:br/>
              <w:t>value</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restricted shares, January 1, 2024</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597,528 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313,199 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(306,425)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Cancellations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restricted shares, September 30, 2024</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595,152 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unrecognized compensation expense remaining (in thousands)</w:t>
            </w:r>
          </w:p>
        </w:tc>
        <w:tc>
          <w:tcPr>
            <w:tcW w:w="2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4,253 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years expected to be recognized over</w:t>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fair value of restricted stock that vested during the nine months ended September 30, 2024 was $2.8 million.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shares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performance award represents the right to receive up to 150% of the target number of shares of common stock. The number of shares of common stock earned will be determined based on the attainment of specified performance goals at the end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- 20 -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of the performance period, as determined by the Compensation Committee of the Board. The shares are subject to the terms and conditions of the Company’s Plan.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performance-based award activity and related information for the nine months ended September 30, 2024 is as follows:</w:t>
      </w:r>
    </w:p>
    <w:tbl>
      <w:tblPr>
        <w:tblW w:w="8157" w:type="dxa"/>
        <w:jc w:val="left"/>
        <w:tblInd w:w="0" w:type="dxa"/>
        <w:tblLayout w:type="fixed"/>
        <w:tblCellMar>
          <w:top w:w="28" w:type="dxa"/>
          <w:left w:w="28" w:type="dxa"/>
          <w:bottom w:w="28" w:type="dxa"/>
          <w:right w:w="28" w:type="dxa"/>
        </w:tblCellMar>
      </w:tblPr>
      <w:tblGrid>
        <w:gridCol w:w="1989"/>
        <w:gridCol w:w="1747"/>
        <w:gridCol w:w="1754"/>
        <w:gridCol w:w="259"/>
        <w:gridCol w:w="736"/>
        <w:gridCol w:w="144"/>
        <w:gridCol w:w="109"/>
        <w:gridCol w:w="109"/>
        <w:gridCol w:w="109"/>
        <w:gridCol w:w="259"/>
        <w:gridCol w:w="737"/>
        <w:gridCol w:w="205"/>
      </w:tblGrid>
      <w:tr>
        <w:trPr/>
        <w:tc>
          <w:tcPr>
            <w:tcW w:w="1989"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Performance-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based stock</w:t>
            </w:r>
          </w:p>
          <w:p>
            <w:pPr>
              <w:pStyle w:val="TableContents"/>
              <w:bidi w:val="0"/>
              <w:spacing w:lineRule="auto" w:line="240" w:before="0" w:after="0"/>
              <w:jc w:val="center"/>
              <w:rPr/>
            </w:pPr>
            <w:r>
              <w:rPr>
                <w:rFonts w:ascii="Times New Roman;sans-serif" w:hAnsi="Times New Roman;sans-serif"/>
                <w:b/>
                <w:color w:val="000000"/>
                <w:sz w:val="18"/>
              </w:rPr>
              <w:t xml:space="preserve">awards </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grant</w:t>
              <w:br/>
              <w:t>date fair</w:t>
              <w:br/>
              <w:t>value</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performance-based awards, January 1, 2024</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486,972 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219,975 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(152,188)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Cancellations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(24,315)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performance-based awards, September 30, 2024</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530,444 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Total unrecognized compensation expense remaining (in thousands)</w:t>
            </w:r>
            <w:r>
              <w:rPr>
                <w:rFonts w:ascii="Times New Roman;sans-serif" w:hAnsi="Times New Roman;sans-serif"/>
                <w:b w:val="false"/>
                <w:color w:val="000000"/>
                <w:sz w:val="12"/>
              </w:rPr>
              <w:t>(2)</w:t>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2,105 </w:t>
            </w:r>
          </w:p>
        </w:tc>
        <w:tc>
          <w:tcPr>
            <w:tcW w:w="14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years expected to be recognized over</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16"/>
        </w:rPr>
        <w:t>Represents the target number of shares to be issued for each performance-based award.</w:t>
      </w:r>
    </w:p>
    <w:p>
      <w:pPr>
        <w:pStyle w:val="TextBody"/>
        <w:bidi w:val="0"/>
        <w:spacing w:lineRule="auto" w:line="288" w:before="60" w:after="283"/>
        <w:ind w:left="0" w:right="0" w:hanging="360"/>
        <w:jc w:val="left"/>
        <w:rPr/>
      </w:pPr>
      <w:r>
        <w:rPr>
          <w:rFonts w:ascii="Times New Roman;sans-serif" w:hAnsi="Times New Roman;sans-serif"/>
          <w:b w:val="false"/>
          <w:color w:val="000000"/>
          <w:sz w:val="10"/>
        </w:rPr>
        <w:t>(2)</w:t>
      </w:r>
      <w:r>
        <w:rPr>
          <w:rFonts w:ascii="Times New Roman;sans-serif" w:hAnsi="Times New Roman;sans-serif"/>
          <w:b w:val="false"/>
          <w:color w:val="000000"/>
          <w:sz w:val="16"/>
        </w:rPr>
        <w:t>The performance metric for the performance-based awards granted in 2022 is not probable of achievement. Therefore, no compensation expense has been recorded on these awards.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fair value of performance-based awards that vested during the nine months ended September 30, 2024 was $1.5 million.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Cash-settled performance-based awards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cash-settled performance-based award represents the right to receive up to 150% of the target number of deferred stock units with payment in cash equivalent to the value of one share of the Company's common stock. The number of deferred stock units earned will be determined based on the attainment of specified performance goals at the end of the performance period, as determined by the Compensation Committee of the Board. The cash-settled performance-based awards are subject to the terms and conditions of the Company’s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cash-settled performance-based awards activity and related information for the nine months ended September 30, 2024 is as follows:</w:t>
      </w:r>
    </w:p>
    <w:tbl>
      <w:tblPr>
        <w:tblW w:w="10205" w:type="dxa"/>
        <w:jc w:val="left"/>
        <w:tblInd w:w="0" w:type="dxa"/>
        <w:tblLayout w:type="fixed"/>
        <w:tblCellMar>
          <w:top w:w="28" w:type="dxa"/>
          <w:left w:w="28" w:type="dxa"/>
          <w:bottom w:w="28" w:type="dxa"/>
          <w:right w:w="28" w:type="dxa"/>
        </w:tblCellMar>
      </w:tblPr>
      <w:tblGrid>
        <w:gridCol w:w="1994"/>
        <w:gridCol w:w="1751"/>
        <w:gridCol w:w="1757"/>
        <w:gridCol w:w="916"/>
        <w:gridCol w:w="1900"/>
        <w:gridCol w:w="512"/>
        <w:gridCol w:w="109"/>
        <w:gridCol w:w="109"/>
        <w:gridCol w:w="109"/>
        <w:gridCol w:w="250"/>
        <w:gridCol w:w="596"/>
        <w:gridCol w:w="202"/>
      </w:tblGrid>
      <w:tr>
        <w:trPr/>
        <w:tc>
          <w:tcPr>
            <w:tcW w:w="1994"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Cash-settled performance-based awards </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fair</w:t>
              <w:br/>
              <w:t>value</w:t>
            </w:r>
          </w:p>
        </w:tc>
      </w:tr>
      <w:tr>
        <w:trPr/>
        <w:tc>
          <w:tcPr>
            <w:tcW w:w="5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cash-settled performance-based awards, January 1, 2024</w:t>
            </w:r>
          </w:p>
        </w:tc>
        <w:tc>
          <w:tcPr>
            <w:tcW w:w="2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83,611 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2" w:type="dxa"/>
            <w:gridSpan w:val="3"/>
            <w:tcBorders/>
            <w:vAlign w:val="center"/>
          </w:tcPr>
          <w:p>
            <w:pPr>
              <w:pStyle w:val="TableContents"/>
              <w:bidi w:val="0"/>
              <w:spacing w:before="0" w:after="283"/>
              <w:jc w:val="left"/>
              <w:rPr>
                <w:sz w:val="4"/>
                <w:szCs w:val="4"/>
              </w:rPr>
            </w:pPr>
            <w:r>
              <w:rPr>
                <w:sz w:val="4"/>
                <w:szCs w:val="4"/>
              </w:rPr>
            </w:r>
          </w:p>
        </w:tc>
        <w:tc>
          <w:tcPr>
            <w:tcW w:w="3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502" w:type="dxa"/>
            <w:gridSpan w:val="3"/>
            <w:tcBorders/>
            <w:vAlign w:val="center"/>
          </w:tcPr>
          <w:p>
            <w:pPr>
              <w:pStyle w:val="TableContents"/>
              <w:bidi w:val="0"/>
              <w:spacing w:before="0" w:after="283"/>
              <w:jc w:val="left"/>
              <w:rPr>
                <w:sz w:val="4"/>
                <w:szCs w:val="4"/>
              </w:rPr>
            </w:pPr>
            <w:r>
              <w:rPr>
                <w:sz w:val="4"/>
                <w:szCs w:val="4"/>
              </w:rPr>
            </w:r>
          </w:p>
        </w:tc>
        <w:tc>
          <w:tcPr>
            <w:tcW w:w="3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Cancellations</w:t>
            </w:r>
          </w:p>
        </w:tc>
        <w:tc>
          <w:tcPr>
            <w:tcW w:w="2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cash-settled performance-based awards, September 30, 2024</w:t>
            </w:r>
          </w:p>
        </w:tc>
        <w:tc>
          <w:tcPr>
            <w:tcW w:w="2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82,192 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Total unrecognized compensation expense remaining (in thousands)</w:t>
            </w:r>
            <w:r>
              <w:rPr>
                <w:rFonts w:ascii="Times New Roman;sans-serif" w:hAnsi="Times New Roman;sans-serif"/>
                <w:b w:val="false"/>
                <w:color w:val="000000"/>
                <w:sz w:val="12"/>
              </w:rPr>
              <w:t>(2)</w:t>
            </w:r>
          </w:p>
        </w:tc>
        <w:tc>
          <w:tcPr>
            <w:tcW w:w="9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years expected to be recognized over</w:t>
            </w:r>
          </w:p>
        </w:tc>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xml:space="preserve">Represents the target number of units to be settled in cash. </w:t>
      </w:r>
    </w:p>
    <w:p>
      <w:pPr>
        <w:pStyle w:val="TextBody"/>
        <w:bidi w:val="0"/>
        <w:spacing w:lineRule="auto" w:line="288" w:before="60" w:after="283"/>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The performance metric for the cash-settled performance-based awards granted in 2022 is not probable of achievement. Therefore, no compensation expense has been recorded on these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- 21 -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stock compensation expense as follows (in thousands):</w:t>
      </w:r>
    </w:p>
    <w:tbl>
      <w:tblPr>
        <w:tblW w:w="8549" w:type="dxa"/>
        <w:jc w:val="left"/>
        <w:tblInd w:w="0" w:type="dxa"/>
        <w:tblLayout w:type="fixed"/>
        <w:tblCellMar>
          <w:top w:w="28" w:type="dxa"/>
          <w:left w:w="28" w:type="dxa"/>
          <w:bottom w:w="28" w:type="dxa"/>
          <w:right w:w="28" w:type="dxa"/>
        </w:tblCellMar>
      </w:tblPr>
      <w:tblGrid>
        <w:gridCol w:w="1526"/>
        <w:gridCol w:w="1342"/>
        <w:gridCol w:w="1346"/>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54"/>
      </w:tblGrid>
      <w:tr>
        <w:trPr/>
        <w:tc>
          <w:tcPr>
            <w:tcW w:w="152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Nine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 Compensation Expense Components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based stock option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and performance-based stock awards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 compensation expense for equity based awards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Liability based stock option expense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 Compensation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9 —INCOME (LOSS) PER COMMON SHARE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(loss) per common share has been computed by dividing net income (loss) by the weighted-average number of shares of the Company’s common stock outstanding during the relevant period. Diluted income (loss) per common share adjusts net income (loss) and basic income (loss) per common share for the effect of all potentially dilutive shares of the Company’s common stock. Anti-dilutive securities are not included in the computation of diluted earnings per share under the treasury stock method.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calculations of basic and diluted income (loss) per common share for the three and nine months ended September 30, 2024 and 2023 are as follows:</w:t>
      </w:r>
    </w:p>
    <w:tbl>
      <w:tblPr>
        <w:tblW w:w="8475" w:type="dxa"/>
        <w:jc w:val="left"/>
        <w:tblInd w:w="0" w:type="dxa"/>
        <w:tblLayout w:type="fixed"/>
        <w:tblCellMar>
          <w:top w:w="28" w:type="dxa"/>
          <w:left w:w="28" w:type="dxa"/>
          <w:bottom w:w="28" w:type="dxa"/>
          <w:right w:w="28" w:type="dxa"/>
        </w:tblCellMar>
      </w:tblPr>
      <w:tblGrid>
        <w:gridCol w:w="1362"/>
        <w:gridCol w:w="1198"/>
        <w:gridCol w:w="1205"/>
        <w:gridCol w:w="196"/>
        <w:gridCol w:w="466"/>
        <w:gridCol w:w="109"/>
        <w:gridCol w:w="109"/>
        <w:gridCol w:w="109"/>
        <w:gridCol w:w="109"/>
        <w:gridCol w:w="196"/>
        <w:gridCol w:w="556"/>
        <w:gridCol w:w="109"/>
        <w:gridCol w:w="109"/>
        <w:gridCol w:w="109"/>
        <w:gridCol w:w="109"/>
        <w:gridCol w:w="196"/>
        <w:gridCol w:w="721"/>
        <w:gridCol w:w="109"/>
        <w:gridCol w:w="109"/>
        <w:gridCol w:w="109"/>
        <w:gridCol w:w="109"/>
        <w:gridCol w:w="196"/>
        <w:gridCol w:w="721"/>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per share amounts)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Net income (loss) – Basic and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Weighted-average shares outstanding – Basic </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Effect of dilutive securities:</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18"/>
              </w:rPr>
              <w:t>Stock options and other stock awards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shares outstanding – Diluted</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Basic income (loss) per common share</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(0.52)</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Diluted income (loss) per common share</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(0.52)</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Antidilutive Securities</w:t>
            </w:r>
            <w:r>
              <w:rPr>
                <w:rFonts w:ascii="Times New Roman;sans-serif" w:hAnsi="Times New Roman;sans-serif"/>
                <w:b/>
                <w:color w:val="000000"/>
                <w:sz w:val="12"/>
              </w:rPr>
              <w:t>(1)</w:t>
            </w:r>
          </w:p>
        </w:tc>
        <w:tc>
          <w:tcPr>
            <w:tcW w:w="77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w:t>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Stock options and other stock awards that have been excluded from the denominator as their inclusion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- 22 -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10— 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of $1.5 million and $1.7 million for the three and nine months ended September 30, 2024, respectively, represent taxes on both U.S. and foreign earnings at a combined effective income tax provision rate of 81.4% and (8.2)%, respectively. The effective tax rate for the three months ended September 30, 2024 differs from the federal statutory income tax rate of 21.0% primarily due to foreign losses for which no tax benefit is recognized as such amounts are fully offset with a valuation allowance. The negative rate for the nine months ended September 30, 2024 reflects tax expense on a pretax financial reporting loss. The effective tax rate for the nine months ended September 30, 2024 differs from the federal statutory income tax rate of 21.0% primarily due to the impact of non-deductible expenses and foreign losses for which no tax benefit is recognized as such amounts are fully offset with a valuation allowance.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of $3.0 million and $2.9 million for the three and nine months ended September 30, 2023, respectively, represent taxes on both U.S. and foreign earnings at a combined effective income tax provision rate of 36.5% and 197.0%, respectively. The effective tax rate for the three months ended September 30, 2023 differs from the federal statutory income tax rate of 21.0% primarily due to foreign losses for which no tax benefit is recognized as such amounts are fully offset with a valuation allowance. The effective tax rate for the nine months ended September 30, 2023 differs from the federal statutory income tax rate of 21.0% primarily due to the impact of non-deductible expenses, and foreign losses for which no tax benefit is recognized as such amounts are fully offset with a valuation allowance.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identified the following jurisdictions as “major” tax jurisdictions: U.S. Federal, California, Massachusetts, New Jersey, New York and the United Kingdom.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tax positions on a quarterly basis and revises its estimates accordingly. There were no material changes to the Company’s uncertain tax positions, interest, or penalties during the three-month periods ended September 30, 2024 and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- 23 -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11 – BUSINESS SEGMENTS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directly to consumers through its own websites. The International segment consists of certain business operations conducted outside the U.S.. Management evaluates the performance of the U.S. and International segments based on net sales and income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fees and consulting fees, are not allocated to the specific segments and are reflected as unallocated corporate expenses.</w:t>
      </w:r>
    </w:p>
    <w:tbl>
      <w:tblPr>
        <w:tblW w:w="8654" w:type="dxa"/>
        <w:jc w:val="left"/>
        <w:tblInd w:w="0" w:type="dxa"/>
        <w:tblLayout w:type="fixed"/>
        <w:tblCellMar>
          <w:top w:w="28" w:type="dxa"/>
          <w:left w:w="28" w:type="dxa"/>
          <w:bottom w:w="28" w:type="dxa"/>
          <w:right w:w="28" w:type="dxa"/>
        </w:tblCellMar>
      </w:tblPr>
      <w:tblGrid>
        <w:gridCol w:w="1097"/>
        <w:gridCol w:w="966"/>
        <w:gridCol w:w="98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4855" w:type="dxa"/>
        <w:jc w:val="left"/>
        <w:tblInd w:w="0" w:type="dxa"/>
        <w:tblLayout w:type="fixed"/>
        <w:tblCellMar>
          <w:top w:w="28" w:type="dxa"/>
          <w:left w:w="28" w:type="dxa"/>
          <w:bottom w:w="28" w:type="dxa"/>
          <w:right w:w="28" w:type="dxa"/>
        </w:tblCellMar>
      </w:tblPr>
      <w:tblGrid>
        <w:gridCol w:w="693"/>
        <w:gridCol w:w="611"/>
        <w:gridCol w:w="615"/>
        <w:gridCol w:w="240"/>
        <w:gridCol w:w="941"/>
        <w:gridCol w:w="124"/>
        <w:gridCol w:w="109"/>
        <w:gridCol w:w="109"/>
        <w:gridCol w:w="109"/>
        <w:gridCol w:w="231"/>
        <w:gridCol w:w="905"/>
        <w:gridCol w:w="168"/>
      </w:tblGrid>
      <w:tr>
        <w:trPr/>
        <w:tc>
          <w:tcPr>
            <w:tcW w:w="69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572,549 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560,716 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87,311 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90,237 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668,738 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667,142 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- 24 -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360" w:after="283"/>
        <w:jc w:val="left"/>
        <w:rPr/>
      </w:pPr>
      <w:r>
        <w:rPr>
          <w:rFonts w:ascii="Times New Roman;sans-serif" w:hAnsi="Times New Roman;sans-serif"/>
          <w:b/>
          <w:color w:val="000000"/>
          <w:sz w:val="20"/>
        </w:rPr>
        <w:t>NOTE 12</w:t>
      </w:r>
      <w:r>
        <w:rPr>
          <w:color w:val="000000"/>
        </w:rPr>
        <w:t xml:space="preserve"> — </w:t>
      </w:r>
      <w:r>
        <w:rPr>
          <w:rFonts w:ascii="Times New Roman;sans-serif" w:hAnsi="Times New Roman;sans-serif"/>
          <w:b/>
          <w:color w:val="000000"/>
          <w:sz w:val="20"/>
        </w:rPr>
        <w:t>CONTINGENCIES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Wallace EPA Matter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Wallace Silversmiths de Puerto Rico, Ltd. (“WSPR”), a wholly-owned subsidiary of the Company, operates a manufacturing facility in San Germán, Puerto Rico that is leased from the Puerto Rico Industrial Development Company (“PRIDCO”). In March 2008, the U.S. Environmental Protection Agency (the “EPA”) announced that the San Germán Ground Water Contamination site in Puerto Rico (the “Site”) had been added to the Superfund National Priorities List due to organic compounds present in the local drinking water supply.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In order to protect the health of its employees and continue its business operations, WSPR has implemented corrective action measures to respond to vapor intrusion, such as sealing the floors of the building and conducting periodic air monitoring to address potential exposure.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13, 2015, the EPA released its remedial investigation and feasibility study (“RI/FS”) for the Site. On December 11, 2015, the EPA issued the Record of Decision (“ROD”) for an initial operable unit (“OU-1”),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In February 2017, the EPA indicated that it planned to expand its field investigation for the RI/FS to a second operable unit (“OU-2”) to determine the nature and extent of the groundwater damage at and from the Site and to determine the nature of the remedial action needed to address the damage. The EPA requested access to the property occupied by WSPR to install monitoring wells and to undertake groundwater sampling as part of this expanded investigation. WSPR consented to the EPA’s access request, provided that the EPA received PRIDCO’s consent as the property owner. The EPA has also issued notices of potential liability to a number of other entities affiliated with the Site, which used the organic compounds of concern.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2018, the Company, WSPR, and other identified potentially responsible parties affiliated with the Site entered into tolling agreements with the U.S. government to extend the statute of limitations for potential claims for the recovery of response costs for the initial operable unit under Section 107 of CERCLA. The tolling agreements have been extended multiple times and currently expire in November 2025. The tolling agreements do not constitute in any way an admission or acknowledgment of any fact, conclusion of law, or liability by the parties to the agreements.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EPA released its proposed plan for OU-2 in July 2019, and on September 30, 2019, the EPA issued the ROD for OU-2. The EPA elected to implement its preferred remedy consisting of in-situ treatment of groundwater and a monitored natural attenuation program including monitoring of the plume fringe at the Site. The EPA’s estimated total net present worth cost for its selected remedy for OU-2 is $17.3 million, and the EPA is currently leading remediation of OU-2.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2021, WSPR received a Notice of Liability for the Site from the Department of Justice on behalf of the EPA, and in September 2021, WSPR responded with a good faith offer to conduct additional testing and remedial design work for OU-1. WSPR has actively participated in negotiations among the U.S. Government (the Department of Justice and the EPA) and other potentially responsible parties with respect to the remedial work at OU-1, which negotiations culminated in the finalization of a Consent Decree for Remedial Design and Remedial Action at Operable Unit One of the San German Groundwater Contamination Site (“Decree”). On July 26, 2023, the U.S. Government filed a complaint in United States District Court for the District of Puerto Rico for the purpose of seeking judicial approval of the Decree. As required by applicable regulations, the U.S. Government simultaneously lodged the Decree for public comment. No comments were received during the public comment period. On September 6, 2023, at the conclusion of the public comment period, the U.S. Government filed a Motion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- 25 -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pPr>
      <w:r>
        <w:rPr>
          <w:rFonts w:ascii="Times New Roman;sans-serif" w:hAnsi="Times New Roman;sans-serif"/>
          <w:b w:val="false"/>
          <w:color w:val="000000"/>
          <w:sz w:val="20"/>
        </w:rPr>
        <w:t>to Enter the Decree, and the court entered the Decree into order on December 14, 2023, thereby effectuating the Decree. On January 10, 2024, EPA issued a notice to proceed with the OU-1 remedial work.</w:t>
      </w:r>
      <w:r>
        <w:rPr>
          <w:color w:val="000000"/>
        </w:rPr>
        <w:t xml:space="preserve"> </w:t>
      </w:r>
      <w:r>
        <w:rPr>
          <w:rFonts w:ascii="Times New Roman;sans-serif" w:hAnsi="Times New Roman;sans-serif"/>
          <w:b w:val="false"/>
          <w:color w:val="000000"/>
          <w:sz w:val="20"/>
        </w:rPr>
        <w:t>The Company thereafter commenced remedial work on OU-1 in accordance with the Decree.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reserved $5.6 million to cover probable and estimable liabilities with respect to the above remedial design and remedial action for the initial operable unit. However, it is not possible at this time for the Company to estimate its share of its ultimate liability for the Site. In the event of one or more adverse determinations related to this matter, it is possible that the ultimate liability resulting from this matter and the impact on the Company’s results of operations could be material.</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U.S. Customs and Border Protection matter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letter dated August 26, 2019, the Company was advised that U.S. Customs and Border Protection ("CBP") had commenced an investigation, pursuant to 19 U.S.C. §1592, regarding the Company’s tariff classification of certain tableware and kitchenware. The issue centers on whether such merchandise meets the criteria for reduced duty rates as specified sets as those terms are defined in Chapter 69, Note 6(b), Harmonized Tariff System of the United States. The period of investigation is stated to be from August 26, 2014 to the present. Since being notified of the investigation, the Company has obtained a significant amount of evidence that, the Company believes, supports that the imported products were properly classified as specified sets. The Company's counsel filed a Lead Protest and Application for Further Review with CBP on February 5, 2020 (the "Lead Protest") relating to a single shipment made during the investigation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CBP approved the Company’s Lead Protest on June 8, 2020 stating that the specified set requirement was fulfilled with respect to the protested shipment based on information provided by the Company. Based on this decision, no additional duties will be owed for the seven tableware collections imported in this shipment.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compiled and submitted to CBP a complete set of supporting documents for three additional protests (for the remaining 29 tableware collections that were imported by the Company under the protested shipments). One of the additional protests was approved on October 15, 2020; the other two remain pending. If the CBP approves these additional claims and accepts the evidence presented, then no additional duties will be owed for the remaining protested shipments.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the period of investigation covers a five-year period, the Company is compiling supporting documentation packages for all tableware collections imported during this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third quarter of fiscal 2024, the statute of limitations has expired for the collection of nearly all of the duties and penalties related to this matter. At this time, the Company considers any potential losses related to this matter would not have a material adverse effect on the Company’s results of operations.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- 26 -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360" w:after="283"/>
        <w:jc w:val="left"/>
        <w:rPr/>
      </w:pPr>
      <w:r>
        <w:rPr>
          <w:rFonts w:ascii="Times New Roman;sans-serif" w:hAnsi="Times New Roman;sans-serif"/>
          <w:b/>
          <w:color w:val="000000"/>
          <w:sz w:val="20"/>
        </w:rPr>
        <w:t>NOTE 13 </w:t>
      </w:r>
      <w:r>
        <w:rPr>
          <w:color w:val="000000"/>
        </w:rPr>
        <w:t>— </w:t>
      </w:r>
      <w:r>
        <w:rPr>
          <w:rFonts w:ascii="Times New Roman;sans-serif" w:hAnsi="Times New Roman;sans-serif"/>
          <w:b/>
          <w:color w:val="000000"/>
          <w:sz w:val="20"/>
        </w:rPr>
        <w:t>OTHER</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Cash dividends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declared in the nine months ended September 30, 2024 were as follows: </w:t>
      </w:r>
    </w:p>
    <w:tbl>
      <w:tblPr>
        <w:tblW w:w="6130" w:type="dxa"/>
        <w:jc w:val="left"/>
        <w:tblInd w:w="0" w:type="dxa"/>
        <w:tblLayout w:type="fixed"/>
        <w:tblCellMar>
          <w:top w:w="28" w:type="dxa"/>
          <w:left w:w="28" w:type="dxa"/>
          <w:bottom w:w="28" w:type="dxa"/>
          <w:right w:w="28" w:type="dxa"/>
        </w:tblCellMar>
      </w:tblPr>
      <w:tblGrid>
        <w:gridCol w:w="576"/>
        <w:gridCol w:w="507"/>
        <w:gridCol w:w="508"/>
        <w:gridCol w:w="109"/>
        <w:gridCol w:w="109"/>
        <w:gridCol w:w="109"/>
        <w:gridCol w:w="385"/>
        <w:gridCol w:w="385"/>
        <w:gridCol w:w="386"/>
        <w:gridCol w:w="109"/>
        <w:gridCol w:w="109"/>
        <w:gridCol w:w="109"/>
        <w:gridCol w:w="400"/>
        <w:gridCol w:w="400"/>
        <w:gridCol w:w="401"/>
        <w:gridCol w:w="109"/>
        <w:gridCol w:w="109"/>
        <w:gridCol w:w="109"/>
        <w:gridCol w:w="351"/>
        <w:gridCol w:w="351"/>
        <w:gridCol w:w="499"/>
      </w:tblGrid>
      <w:tr>
        <w:trPr/>
        <w:tc>
          <w:tcPr>
            <w:tcW w:w="57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Date of record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Payment date</w:t>
            </w:r>
          </w:p>
        </w:tc>
      </w:tr>
      <w:tr>
        <w:trPr/>
        <w:tc>
          <w:tcPr>
            <w:tcW w:w="15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3/8/2024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5/15/2024</w:t>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6/20/2024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8/15/2024</w:t>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8/6/2024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11/1/2024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11/15/2024</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the Company paid dividends of $2.9 million. This included payments made on February 15, 2024, May 15, 2024 and August 15, 2024 of $0.9 million, $0.9 million and $0.9 million to stockholders of record on February 1, 2024, May 1, 2024 and August 1, 2024 respectively, and payments of $0.2 million for dividends payable upon the vesting of restricted shares and performance shares.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September 30, 2024, the Company reduced retained earnings for the accrual of $1.0 million relating to the dividend payable on November 15,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5, 2024, the Board declared a quarterly dividend of $0.0425 per share of common stock payable on February 14, 2025 to stockholders of record on January 31, 2025.</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 repurchase program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14, 2022, the Company announced that its Board authorized the repurchase of up to $20.0 million of the Company’s common stock, replacing the Company’s previously-authorized $10.0 million share repurchase program. The repurchase authorization permits the Company to effect the repurchases from time to time through open market purchases and privately negotiated transactions. No repurchases were effected during the nine months ended September 30, 2024. As of September 30, 2024, the remaining dollar amount available for repurchases under the Board authorized plan was $11.1 million.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bl>
      <w:tblPr>
        <w:tblW w:w="6248" w:type="dxa"/>
        <w:jc w:val="left"/>
        <w:tblInd w:w="0" w:type="dxa"/>
        <w:tblLayout w:type="fixed"/>
        <w:tblCellMar>
          <w:top w:w="28" w:type="dxa"/>
          <w:left w:w="28" w:type="dxa"/>
          <w:bottom w:w="28" w:type="dxa"/>
          <w:right w:w="28" w:type="dxa"/>
        </w:tblCellMar>
      </w:tblPr>
      <w:tblGrid>
        <w:gridCol w:w="1441"/>
        <w:gridCol w:w="1263"/>
        <w:gridCol w:w="1270"/>
        <w:gridCol w:w="196"/>
        <w:gridCol w:w="646"/>
        <w:gridCol w:w="109"/>
        <w:gridCol w:w="109"/>
        <w:gridCol w:w="109"/>
        <w:gridCol w:w="109"/>
        <w:gridCol w:w="196"/>
        <w:gridCol w:w="64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taxes, net of refunds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- 27 -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Components of accumulated other comprehensive loss, net</w:t>
      </w:r>
    </w:p>
    <w:tbl>
      <w:tblPr>
        <w:tblW w:w="10155" w:type="dxa"/>
        <w:jc w:val="left"/>
        <w:tblInd w:w="0" w:type="dxa"/>
        <w:tblLayout w:type="fixed"/>
        <w:tblCellMar>
          <w:top w:w="28" w:type="dxa"/>
          <w:left w:w="28" w:type="dxa"/>
          <w:bottom w:w="28" w:type="dxa"/>
          <w:right w:w="28" w:type="dxa"/>
        </w:tblCellMar>
      </w:tblPr>
      <w:tblGrid>
        <w:gridCol w:w="1819"/>
        <w:gridCol w:w="1600"/>
        <w:gridCol w:w="1606"/>
        <w:gridCol w:w="196"/>
        <w:gridCol w:w="721"/>
        <w:gridCol w:w="109"/>
        <w:gridCol w:w="109"/>
        <w:gridCol w:w="109"/>
        <w:gridCol w:w="109"/>
        <w:gridCol w:w="196"/>
        <w:gridCol w:w="721"/>
        <w:gridCol w:w="109"/>
        <w:gridCol w:w="109"/>
        <w:gridCol w:w="109"/>
        <w:gridCol w:w="109"/>
        <w:gridCol w:w="196"/>
        <w:gridCol w:w="721"/>
        <w:gridCol w:w="109"/>
        <w:gridCol w:w="109"/>
        <w:gridCol w:w="109"/>
        <w:gridCol w:w="109"/>
        <w:gridCol w:w="196"/>
        <w:gridCol w:w="721"/>
        <w:gridCol w:w="154"/>
      </w:tblGrid>
      <w:tr>
        <w:trPr/>
        <w:tc>
          <w:tcPr>
            <w:tcW w:w="1819"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Accumulated translation adjustment:</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Translation adjustment during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Amounts reclassified from accumulated other comprehensive loss </w:t>
            </w:r>
            <w:r>
              <w:rPr>
                <w:rFonts w:ascii="Times New Roman;sans-serif" w:hAnsi="Times New Roman;sans-serif"/>
                <w:b w:val="false"/>
                <w:color w:val="000000"/>
                <w:sz w:val="12"/>
              </w:rPr>
              <w:t>(1)</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change in translation adjustment </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(34,516)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Accumulated deferred losses on cash flow hedges:</w:t>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 in unrealized (losses) gains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loss: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Settlement of cash flow hedge </w:t>
            </w:r>
            <w:r>
              <w:rPr>
                <w:rFonts w:ascii="Times New Roman;sans-serif" w:hAnsi="Times New Roman;sans-serif"/>
                <w:b w:val="false"/>
                <w:color w:val="000000"/>
                <w:sz w:val="12"/>
              </w:rPr>
              <w:t>(2)</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flow hedges, net of taxes of $0, $0, $0, $(2)</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Accumulated effect of retirement benefit obligations:</w:t>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Amounts reclassified from accumulated other comprehensive loss:</w:t>
            </w:r>
            <w:r>
              <w:rPr>
                <w:color w:val="000000"/>
              </w:rPr>
              <w:t xml:space="preserve"> </w:t>
            </w:r>
            <w:r>
              <w:rPr>
                <w:rFonts w:ascii="Times New Roman;sans-serif" w:hAnsi="Times New Roman;sans-serif"/>
                <w:b w:val="false"/>
                <w:color w:val="000000"/>
                <w:sz w:val="12"/>
              </w:rPr>
              <w:t>(3)</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actuarial loss, net of taxes of $(5), $(4), $(13), $(12)</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accumulated other comprehensive loss at end of period</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(18,324)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(35,281)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(18,324)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(35,281)</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16"/>
        </w:rPr>
        <w:t xml:space="preserve">Amounts reclassified to the Vasconia investment carrying value as a result of the discontinuation of the equity method investment of accounting and subsequently recognized as a loss on equity securities in the unaudited condensed consolidated statements of operations, to reduce the Vasconia investment to its fair value. Refer to NOTE 4 —INVESTMENT for additional information. </w:t>
      </w:r>
    </w:p>
    <w:p>
      <w:pPr>
        <w:pStyle w:val="TextBody"/>
        <w:bidi w:val="0"/>
        <w:spacing w:lineRule="auto" w:line="288" w:before="60" w:after="283"/>
        <w:ind w:left="0" w:right="0" w:hanging="360"/>
        <w:jc w:val="left"/>
        <w:rPr/>
      </w:pPr>
      <w:r>
        <w:rPr>
          <w:rFonts w:ascii="Times New Roman;sans-serif" w:hAnsi="Times New Roman;sans-serif"/>
          <w:b w:val="false"/>
          <w:color w:val="000000"/>
          <w:sz w:val="10"/>
        </w:rPr>
        <w:t>(2)</w:t>
      </w:r>
      <w:r>
        <w:rPr>
          <w:rFonts w:ascii="Times New Roman;sans-serif" w:hAnsi="Times New Roman;sans-serif"/>
          <w:b w:val="false"/>
          <w:color w:val="000000"/>
          <w:sz w:val="16"/>
        </w:rPr>
        <w:t>Amounts reclassified are recorded in interest expense and cost of sales on the unaudited condensed consolidated statement of operations.</w:t>
      </w:r>
    </w:p>
    <w:p>
      <w:pPr>
        <w:pStyle w:val="TextBody"/>
        <w:bidi w:val="0"/>
        <w:spacing w:lineRule="auto" w:line="288" w:before="60" w:after="283"/>
        <w:ind w:left="0" w:right="0" w:hanging="360"/>
        <w:jc w:val="left"/>
        <w:rPr/>
      </w:pPr>
      <w:r>
        <w:rPr>
          <w:rFonts w:ascii="Times New Roman;sans-serif" w:hAnsi="Times New Roman;sans-serif"/>
          <w:b w:val="false"/>
          <w:color w:val="000000"/>
          <w:sz w:val="10"/>
        </w:rPr>
        <w:t>(3)</w:t>
      </w:r>
      <w:r>
        <w:rPr>
          <w:rFonts w:ascii="Times New Roman;sans-serif" w:hAnsi="Times New Roman;sans-serif"/>
          <w:b w:val="false"/>
          <w:color w:val="000000"/>
          <w:sz w:val="16"/>
        </w:rPr>
        <w:t>Amounts are recorded in selling, general and administrative expense on the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- 28 -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jc w:val="left"/>
        <w:rPr/>
      </w:pPr>
      <w:r>
        <w:rPr>
          <w:rFonts w:ascii="Times New Roman;sans-serif" w:hAnsi="Times New Roman;sans-serif"/>
          <w:b w:val="false"/>
          <w:color w:val="000000"/>
          <w:sz w:val="20"/>
        </w:rPr>
        <w:t xml:space="preserve">This Quarterly Report on Form 10-Q of Lifetime Brands, Inc. (the “Company” and, unless the context otherwise requires, references to the “Company” shall include its consolidated subsidiaries), contains “forward-looking statements” as defined by the Private Securities Litigation Reform Act of 1995. All statements other than statements of historical facts contained in this Quarterly Report on Form 10-Q are forward-looking statements. These forward-looking statements include information concerning the Company’s plans, objectives, goals, strategies, future events, future revenues, performance, capital expenditures, financing needs and other information that is not historical information. Many of these statements appear, in particular, in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When used in this Quarterly Report on Form 10-Q, the words “estimates,” “expects,” “intends,” “predicts,” “plans,” “believes,” “may,” “should,” “would,” and variations of such words or similar expressions are intended to identify forward-looking statements. All forward-looking statements, including, without limitation, those based on the Company’s examination of historical operating trends,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pStyle w:val="TextBody"/>
        <w:bidi w:val="0"/>
        <w:spacing w:lineRule="auto" w:line="288" w:before="240" w:after="283"/>
        <w:jc w:val="left"/>
        <w:rPr/>
      </w:pPr>
      <w:r>
        <w:rPr>
          <w:rFonts w:ascii="Times New Roman;sans-serif" w:hAnsi="Times New Roman;sans-serif"/>
          <w:b w:val="false"/>
          <w:color w:val="000000"/>
          <w:sz w:val="20"/>
        </w:rPr>
        <w:t xml:space="preserve">There are a number of risks and uncertainties that could cause the Company’s actual results to differ materially from the forward-looking statements contained in this Quarterly Report on Form 10-Q. Important factors that could cause the Company’s actual results to differ materially from those expressed as forward-looking statements include, without limitation, those set forth in the Company’s Annual Report on Form 10-K for the fiscal year ended December 31, 2023 (the “2023 Annual Report on Form 10-K”) in Part I, Item 1A under the heading </w:t>
      </w:r>
      <w:r>
        <w:rPr>
          <w:rFonts w:ascii="Times New Roman;sans-serif" w:hAnsi="Times New Roman;sans-serif"/>
          <w:b w:val="false"/>
          <w:i/>
          <w:color w:val="000000"/>
          <w:sz w:val="20"/>
        </w:rPr>
        <w:t xml:space="preserve">Risk Factors, </w:t>
      </w:r>
      <w:r>
        <w:rPr>
          <w:rFonts w:ascii="Times New Roman;sans-serif" w:hAnsi="Times New Roman;sans-serif"/>
          <w:b w:val="false"/>
          <w:color w:val="000000"/>
          <w:sz w:val="20"/>
        </w:rPr>
        <w:t>and in the Company’s subsequent filings with the U.S. Securities and Exchange Commission (the “SEC”). Such risks, uncertainties and other important factors include, among others, risks related to: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Macroeconomic conditions, including labor disputes, inflationary impacts and disruptions to the global supply chain;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Increase in supply chain costs, including raw materials, sourcing, transportation and energy;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impact of tariffs and trade policies, particularly with respect to China;</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Legislative or regulatory risks relating to climate change;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Indebtedness, compliance with credit agreements, and access to credit markets;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Access to the capital markets and credit markets;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seasonality of the Company’s cash flows;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Company’s ability to complete acquisitions or successfully integrate acquisitions;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Intense market competition, changing customer practices or preferences and inventory rationalization among retailers;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Dependence on third-party manufacturers;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Technology, cybersecurity and data privacy risks;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Geopolitical conditions, including political instability in the U.S. and abroad, unrest and sanctions, war, conflict, including the ongoing conflicts between Russia and the Ukraine, conflicts in the Middle East, and increasing tensions between China and Taiwan;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Product liability claims;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Reputational risks.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may be other factors that may cause the Company’s actual results to differ materially from the forward-looking statements. Except as may be required by law, the Company undertakes no obligation to publicly update or revise forward-looking statements which may be made to reflect events or circumstances after the date made or to reflect the occurrence of unanticipated events.</w:t>
      </w:r>
    </w:p>
    <w:p>
      <w:pPr>
        <w:pStyle w:val="TextBody"/>
        <w:bidi w:val="0"/>
        <w:spacing w:lineRule="auto" w:line="288" w:before="240" w:after="283"/>
        <w:jc w:val="left"/>
        <w:rPr/>
      </w:pPr>
      <w:r>
        <w:rPr>
          <w:rFonts w:ascii="Times New Roman;sans-serif" w:hAnsi="Times New Roman;sans-serif"/>
          <w:b w:val="false"/>
          <w:color w:val="000000"/>
          <w:sz w:val="20"/>
        </w:rPr>
        <w:t xml:space="preserve">The Company is required to file its Annual Reports on Forms 10-K, Quarterly Reports on Forms 10-Q, Current Reports on Form 8-K, and other reports and documents as required from time to time with the SEC. The Company also maintains a website at </w:t>
      </w:r>
      <w:r>
        <w:rPr>
          <w:rFonts w:ascii="Times New Roman;sans-serif" w:hAnsi="Times New Roman;sans-serif"/>
          <w:b w:val="false"/>
          <w:i/>
          <w:color w:val="000000"/>
          <w:sz w:val="20"/>
          <w:u w:val="single"/>
        </w:rPr>
        <w:t>http://www.lifetimebrands.com</w:t>
      </w:r>
      <w:r>
        <w:rPr>
          <w:rFonts w:ascii="Times New Roman;sans-serif" w:hAnsi="Times New Roman;sans-serif"/>
          <w:b w:val="false"/>
          <w:color w:val="000000"/>
          <w:sz w:val="20"/>
        </w:rPr>
        <w:t xml:space="preserve">. Information contained on this website is not a part of or incorporated by reference into this Quarterly Report on Form 10-Q. The Company makes available on its website the Company’s Annual Report on Form 10-K, Quarterly Reports on Form 10-Q, Current Reports on Form 8-K and any amendments to these reports as soon as reasonably practicable after these reports are filed with or furnished to the SEC. Users can access these reports free of charge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- 29 -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rPr>
        <w:t xml:space="preserve">Company’s website. The SEC also maintains a website that contains reports, proxy and information statements, and other information regarding the Company’s electronic filings with the SEC at </w:t>
      </w:r>
      <w:r>
        <w:rPr>
          <w:rFonts w:ascii="Times New Roman;sans-serif" w:hAnsi="Times New Roman;sans-serif"/>
          <w:b w:val="false"/>
          <w:i/>
          <w:color w:val="000000"/>
          <w:sz w:val="20"/>
          <w:u w:val="single"/>
        </w:rPr>
        <w:t>http://www.sec.gov.</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intends to use its website as a means of disclosing material non-public information and for complying with its disclosure obligations under Regulation FD. Such disclosures will be included on the Company’s website in the ‘Investor Relations’ section. Accordingly, investors should monitor such portion of the Company’s website, in addition to following the Company's press releases, SEC filings and public conference calls and webcasts.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ABOUT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designs, sources and sells branded kitchenware, tableware and other products used in the home. The Company’s product categories include two categories of products used to prepare, serve, and consume foods: Kitchenware (kitchen tools and gadgets,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w:t>
      </w:r>
    </w:p>
    <w:p>
      <w:pPr>
        <w:pStyle w:val="TextBody"/>
        <w:bidi w:val="0"/>
        <w:spacing w:lineRule="auto" w:line="288" w:before="240" w:after="283"/>
        <w:jc w:val="left"/>
        <w:rPr/>
      </w:pPr>
      <w:r>
        <w:rPr>
          <w:rFonts w:ascii="Times New Roman;sans-serif" w:hAnsi="Times New Roman;sans-serif"/>
          <w:b w:val="false"/>
          <w:color w:val="000000"/>
          <w:sz w:val="20"/>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w:t>
      </w:r>
      <w:r>
        <w:rPr>
          <w:rFonts w:ascii="Times New Roman;sans-serif" w:hAnsi="Times New Roman;sans-serif"/>
          <w:b w:val="false"/>
          <w:color w:val="000000"/>
          <w:sz w:val="13"/>
        </w:rPr>
        <w:t>®</w:t>
      </w:r>
      <w:r>
        <w:rPr>
          <w:rFonts w:ascii="Times New Roman;sans-serif" w:hAnsi="Times New Roman;sans-serif"/>
          <w:b w:val="false"/>
          <w:color w:val="000000"/>
          <w:sz w:val="20"/>
        </w:rPr>
        <w:t>, Mikasa</w:t>
      </w:r>
      <w:r>
        <w:rPr>
          <w:rFonts w:ascii="Times New Roman;sans-serif" w:hAnsi="Times New Roman;sans-serif"/>
          <w:b w:val="false"/>
          <w:color w:val="000000"/>
          <w:sz w:val="13"/>
        </w:rPr>
        <w:t>®</w:t>
      </w:r>
      <w:r>
        <w:rPr>
          <w:rFonts w:ascii="Times New Roman;sans-serif" w:hAnsi="Times New Roman;sans-serif"/>
          <w:b w:val="false"/>
          <w:color w:val="000000"/>
          <w:sz w:val="20"/>
        </w:rPr>
        <w:t>, KitchenAid</w:t>
      </w:r>
      <w:r>
        <w:rPr>
          <w:rFonts w:ascii="Times New Roman;sans-serif" w:hAnsi="Times New Roman;sans-serif"/>
          <w:b w:val="false"/>
          <w:color w:val="000000"/>
          <w:sz w:val="13"/>
        </w:rPr>
        <w:t>®</w:t>
      </w:r>
      <w:r>
        <w:rPr>
          <w:rFonts w:ascii="Times New Roman;sans-serif" w:hAnsi="Times New Roman;sans-serif"/>
          <w:b w:val="false"/>
          <w:color w:val="000000"/>
          <w:sz w:val="20"/>
        </w:rPr>
        <w:t>, Taylor</w:t>
      </w:r>
      <w:r>
        <w:rPr>
          <w:rFonts w:ascii="Times New Roman;sans-serif" w:hAnsi="Times New Roman;sans-serif"/>
          <w:b w:val="false"/>
          <w:color w:val="000000"/>
          <w:sz w:val="13"/>
        </w:rPr>
        <w:t>®</w:t>
      </w:r>
      <w:r>
        <w:rPr>
          <w:rFonts w:ascii="Times New Roman;sans-serif" w:hAnsi="Times New Roman;sans-serif"/>
          <w:b w:val="false"/>
          <w:color w:val="000000"/>
          <w:sz w:val="20"/>
        </w:rPr>
        <w:t>, Rabbit</w:t>
      </w:r>
      <w:r>
        <w:rPr>
          <w:rFonts w:ascii="Times New Roman;sans-serif" w:hAnsi="Times New Roman;sans-serif"/>
          <w:b w:val="false"/>
          <w:color w:val="000000"/>
          <w:sz w:val="13"/>
        </w:rPr>
        <w:t>®</w:t>
      </w:r>
      <w:r>
        <w:rPr>
          <w:rFonts w:ascii="Times New Roman;sans-serif" w:hAnsi="Times New Roman;sans-serif"/>
          <w:b w:val="false"/>
          <w:color w:val="000000"/>
          <w:sz w:val="20"/>
        </w:rPr>
        <w:t>, Pfaltzgraff</w:t>
      </w:r>
      <w:r>
        <w:rPr>
          <w:rFonts w:ascii="Times New Roman;sans-serif" w:hAnsi="Times New Roman;sans-serif"/>
          <w:b w:val="false"/>
          <w:color w:val="000000"/>
          <w:sz w:val="13"/>
        </w:rPr>
        <w:t>®</w:t>
      </w:r>
      <w:r>
        <w:rPr>
          <w:rFonts w:ascii="Times New Roman;sans-serif" w:hAnsi="Times New Roman;sans-serif"/>
          <w:b w:val="false"/>
          <w:color w:val="000000"/>
          <w:sz w:val="20"/>
        </w:rPr>
        <w:t>, Built NY</w:t>
      </w:r>
      <w:r>
        <w:rPr>
          <w:rFonts w:ascii="Times New Roman;sans-serif" w:hAnsi="Times New Roman;sans-serif"/>
          <w:b w:val="false"/>
          <w:color w:val="000000"/>
          <w:sz w:val="13"/>
        </w:rPr>
        <w:t>®</w:t>
      </w:r>
      <w:r>
        <w:rPr>
          <w:rFonts w:ascii="Times New Roman;sans-serif" w:hAnsi="Times New Roman;sans-serif"/>
          <w:b w:val="false"/>
          <w:color w:val="000000"/>
          <w:sz w:val="20"/>
        </w:rPr>
        <w:t>, Sabatier</w:t>
      </w:r>
      <w:r>
        <w:rPr>
          <w:rFonts w:ascii="Times New Roman;sans-serif" w:hAnsi="Times New Roman;sans-serif"/>
          <w:b w:val="false"/>
          <w:color w:val="000000"/>
          <w:sz w:val="13"/>
        </w:rPr>
        <w:t>®</w:t>
      </w:r>
      <w:r>
        <w:rPr>
          <w:rFonts w:ascii="Times New Roman;sans-serif" w:hAnsi="Times New Roman;sans-serif"/>
          <w:b w:val="false"/>
          <w:color w:val="000000"/>
          <w:sz w:val="20"/>
        </w:rPr>
        <w:t>, Fred</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&amp; Friends, Kamenstein</w:t>
      </w:r>
      <w:r>
        <w:rPr>
          <w:rFonts w:ascii="Times New Roman;sans-serif" w:hAnsi="Times New Roman;sans-serif"/>
          <w:b w:val="false"/>
          <w:color w:val="000000"/>
          <w:sz w:val="13"/>
        </w:rPr>
        <w:t>®</w:t>
      </w:r>
      <w:r>
        <w:rPr>
          <w:rFonts w:ascii="Times New Roman;sans-serif" w:hAnsi="Times New Roman;sans-serif"/>
          <w:b w:val="false"/>
          <w:color w:val="000000"/>
          <w:sz w:val="20"/>
        </w:rPr>
        <w:t>, S’well</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and Dolly</w:t>
      </w:r>
      <w:r>
        <w:rPr>
          <w:rFonts w:ascii="Times New Roman;sans-serif" w:hAnsi="Times New Roman;sans-serif"/>
          <w:b w:val="false"/>
          <w:color w:val="000000"/>
          <w:sz w:val="13"/>
        </w:rPr>
        <w:t>®</w:t>
      </w:r>
      <w:r>
        <w:rPr>
          <w:rFonts w:ascii="Times New Roman;sans-serif" w:hAnsi="Times New Roman;sans-serif"/>
          <w:b w:val="false"/>
          <w:color w:val="000000"/>
          <w:sz w:val="20"/>
        </w:rPr>
        <w:t>. Historically, the Company’s sales growth has come from expanding product offerings within its product categories,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120" w:after="283"/>
        <w:jc w:val="left"/>
        <w:rPr/>
      </w:pPr>
      <w:r>
        <w:rPr>
          <w:rFonts w:ascii="Times New Roman;sans-serif" w:hAnsi="Times New Roman;sans-serif"/>
          <w:b w:val="false"/>
          <w:color w:val="000000"/>
          <w:sz w:val="20"/>
        </w:rPr>
        <w:t xml:space="preserve">The global economy experienced relatively high inflation throughout 2023. As global inflation levels moderate, the impact of elevated inflation and high interest rates have negatively impacted, and may continue to negatively impact consumer spending and buying patterns in 2024. Shifts in consumer spending and buying patterns may directly impact our retailer ordering patterns, which may adversely impact the Company’s results. In addition, disruptions in the global supply chain, including the heightened risks of attacks on commercial vessels in the Red Sea and the potential longshoremen strike in the U.S., have and may continue to adversely impact the Company’s results due to supply delays leading to an increase in safety stock levels and an increase in transportation costs. </w:t>
      </w:r>
      <w:r>
        <w:rPr>
          <w:rFonts w:ascii="Times New Roman;sans-serif" w:hAnsi="Times New Roman;sans-serif"/>
          <w:b w:val="false"/>
          <w:color w:val="000000"/>
          <w:sz w:val="20"/>
          <w:shd w:fill="FFFFFF" w:val="clear"/>
        </w:rPr>
        <w:t xml:space="preserve">The Company expects continued </w:t>
      </w:r>
      <w:r>
        <w:rPr>
          <w:rFonts w:ascii="Times New Roman;sans-serif" w:hAnsi="Times New Roman;sans-serif"/>
          <w:b w:val="false"/>
          <w:color w:val="000000"/>
          <w:sz w:val="20"/>
        </w:rPr>
        <w:t>uncertainty as result of these trends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BUSINESS SEGMENTS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directly to consumers through its own websites. The International segment consists of certain business operations conducted outside the U.S.. Management evaluates the performance of the U.S. and International segments based on net sales and income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fees and consulting fees, are not allocated to the specific segments and are reflected as unallocated corporate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EQUITY INVESTMENT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the Company owned 24.7% of the outstanding capital stock of Grupo Vasconia S.A.B. (“Vasconia”), an integrated manufacturer of aluminum products and a housewares company in Mexico. Shares of Vasconia’s capital stock are traded on the Bolsa Mexicana de Valores, the Mexican Stock Exchange. The Quotation Key is VASCONI. During the second quarter of 2024, Vasconia’s shareholders’ approved a resolution to a reorganization process in terms of the Law of Commercial Bankruptcy in Mexico and subsequently a bankruptcy suit was filed against Vasconia by one of its largest suppliers. The Company concluded that the recent events constituted a loss of significant influence and resulted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- 30 -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val="false"/>
          <w:color w:val="000000"/>
          <w:sz w:val="20"/>
        </w:rPr>
        <w:t>discontinuation of the equity method of accounting.</w:t>
      </w:r>
      <w:r>
        <w:rPr>
          <w:color w:val="000000"/>
        </w:rPr>
        <w:t xml:space="preserve"> </w:t>
      </w:r>
      <w:r>
        <w:rPr>
          <w:rFonts w:ascii="Times New Roman;sans-serif" w:hAnsi="Times New Roman;sans-serif"/>
          <w:b w:val="false"/>
          <w:color w:val="000000"/>
          <w:sz w:val="20"/>
        </w:rPr>
        <w:t xml:space="preserve">The Company accounts for its Vasconia investment at fair value in accordance with Accounting Standards Codification (“ASC”) </w:t>
      </w:r>
      <w:r>
        <w:rPr>
          <w:rFonts w:ascii="Times New Roman;sans-serif" w:hAnsi="Times New Roman;sans-serif"/>
          <w:b w:val="false"/>
          <w:i/>
          <w:color w:val="000000"/>
          <w:sz w:val="20"/>
        </w:rPr>
        <w:t>Topic 321: Investments — Equity Securities</w:t>
      </w:r>
      <w:r>
        <w:rPr>
          <w:rFonts w:ascii="Times New Roman;sans-serif" w:hAnsi="Times New Roman;sans-serif"/>
          <w:b w:val="false"/>
          <w:color w:val="000000"/>
          <w:sz w:val="20"/>
        </w:rPr>
        <w:t>, with any changes in fair value recorded within income (loss) on equity securities on the consolidated statements of operations. As a result of the loss of significant influence, the accumulated other comprehensive losses previously recognized under the equity method of accounting were reclassified to the carrying value of the Vasconia investment and subsequently resulted in a non-cash loss of $14.2 million to reduce the investment to its fair value during the three months ended June 30, 2024. The fair value of the Vasconia investment was not material as of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business and working capital needs are seasonal, with a majority of sales occurring in the third and fourth quarters. In 2023 and 2022, net sales for the third and fourth quarters accounted for 57% and 54% of total annual net sales, respectively. In anticipation of the pre-holiday shipping season, inventory levels increase primarily in the June through October time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Consistent with the seasonality of the Company’s net sales and inventory levels, the Company also experiences seasonality in its inventory turnover and turnover days from one quarter to the next.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20" w:after="283"/>
        <w:jc w:val="left"/>
        <w:rPr/>
      </w:pPr>
      <w:r>
        <w:rPr>
          <w:rFonts w:ascii="Times New Roman;sans-serif" w:hAnsi="Times New Roman;sans-serif"/>
          <w:b w:val="false"/>
          <w:color w:val="000000"/>
          <w:sz w:val="20"/>
        </w:rPr>
        <w:t xml:space="preserve">There have been no material changes to the Company’s critical accounting estimates discussed in the 2023 Annual Report on Form 10-K in Item 7 under the heading </w:t>
      </w:r>
      <w:r>
        <w:rPr>
          <w:rFonts w:ascii="Times New Roman;sans-serif" w:hAnsi="Times New Roman;sans-serif"/>
          <w:b w:val="false"/>
          <w:i/>
          <w:color w:val="000000"/>
          <w:sz w:val="20"/>
        </w:rPr>
        <w:t>Management’s Discussion and Analysis of Financial Condition and Results of Operations – Critical Accounting Policies and Estimates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statements of operations data of the Company as a percentage of net sales for the periods indicated:</w:t>
      </w:r>
    </w:p>
    <w:tbl>
      <w:tblPr>
        <w:tblW w:w="8942" w:type="dxa"/>
        <w:jc w:val="left"/>
        <w:tblInd w:w="0" w:type="dxa"/>
        <w:tblLayout w:type="fixed"/>
        <w:tblCellMar>
          <w:top w:w="28" w:type="dxa"/>
          <w:left w:w="28" w:type="dxa"/>
          <w:bottom w:w="28" w:type="dxa"/>
          <w:right w:w="28" w:type="dxa"/>
        </w:tblCellMar>
      </w:tblPr>
      <w:tblGrid>
        <w:gridCol w:w="1437"/>
        <w:gridCol w:w="1267"/>
        <w:gridCol w:w="1285"/>
        <w:gridCol w:w="278"/>
        <w:gridCol w:w="278"/>
        <w:gridCol w:w="352"/>
        <w:gridCol w:w="150"/>
        <w:gridCol w:w="150"/>
        <w:gridCol w:w="150"/>
        <w:gridCol w:w="278"/>
        <w:gridCol w:w="278"/>
        <w:gridCol w:w="352"/>
        <w:gridCol w:w="109"/>
        <w:gridCol w:w="109"/>
        <w:gridCol w:w="109"/>
        <w:gridCol w:w="278"/>
        <w:gridCol w:w="278"/>
        <w:gridCol w:w="334"/>
        <w:gridCol w:w="142"/>
        <w:gridCol w:w="142"/>
        <w:gridCol w:w="142"/>
        <w:gridCol w:w="278"/>
        <w:gridCol w:w="278"/>
        <w:gridCol w:w="334"/>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expenses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expenses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 to market loss on interest rate derivatives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on extinguishments of debt, net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on equity securities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 and equity in losses</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 in losses, net of taxes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- 31 -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2024 COMPARED TO THE THREE MONTHS ENDED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SEPTEMBER 30, 2023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Net Sales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 for the three months ended September 30, 2024 were $183.8 million, representing a decrease of $7.9 million, or 4.1%, as compared to net sales of $191.7 million for the corresponding period in 2023. In constant currency, a non-GAAP financial measure, which excludes the impact of foreign exchange fluctuations and was determined by applying 2024 average rates to 2023 local currency amounts, consolidated net sales decreased by $8.1 million, or 4.2%, as compared to consolidated net sales in the corresponding period in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for the U.S. segment for the three months ended September 30, 2024 were $170.2 million, a decrease of $9.2 million, or 5.1%, as compared to net sales of $179.4 million for the corresponding period in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for the U.S. segment’s Kitchenware product category were $97.3 million for the three months ended September 30, 2024, a decrease of $0.4 million, or 0.4%, as compared to $97.7 million for the corresponding period in 2023. The decrease was driven by a reduction in sales for kitchen tools and gadgets, partially offset by higher sales for bakeware and cutlery and boards.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for the U.S. segment’s Tableware product category were $40.9 million for the three months ended September 30, 2024, a decrease of $8.0 million, or 16.4%, as compared to $48.9 million for the corresponding period in 2023. The decrease was attributable to lower dinnerware sales due to the timing of warehouse club programs in 2024 compared to the prior period and lower sales to brick-and-mortar customers.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for the U.S. segment’s Home Solutions product category were $32.0 million for the three months ended September 30, 2024, a decrease of $0.8 million, or 2.4%, as compared to $32.8 million for the corresponding period in 2023. The decrease was attributable to lower sales of hydration products and Taylor branded bath measurement products. The decrease was partially offset by higher sales for Home Décor products driven by sales for a new warehouse club program introduced in 2024.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for the International segment were $13.6 million for the three months ended September 30, 2024, an increase of $1.3 million, or 10.6%, as compared to net sales of $12.3 million for the corresponding period in 2023. In constant currency, a non-GAAP financial measure, which excludes the impact of foreign exchange fluctuations, net sales increased $1.1 million, or 8.4%, as compared to consolidated net sales in the corresponding period in 2023. The increase was driven by higher sales in the U.K. and continental Europe.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Gross margin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for the three months ended September 30, 2024 was $67.4 million, or 36.7%, as compared to $71.0 million, or 37.0%, for the corresponding period in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for the U.S. segment was $62.7 million, or 36.8%, for the three months ended September 30, 2024, as compared to $67.0 million, or 37.3%, for the corresponding period in 2023. The decrease in the gross margin percentage was driven by product mix.</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margin for the International segment was $4.7 million, or 34.6%, for the three months ended September 30, 2024, as compared to $4.0 million, or 32.5%, for the corresponding period in 2023. The increase in the gross margin percentage was driven by customer and product mix.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Distribution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expenses for the three months ended September 30, 2024 were $20.0 million, as compared to $17.1 million for the corresponding period in 2023. Distribution expenses as a percentage of net sales were 10.9% for the three months ended September 30, 2024, as compared to 8.9% for the three months ended September 30,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 expenses as a percentage of net sales for the U.S. segment were 9.7% and 7.8% for the three months ended September 30, 2024 and 2023, respectively. Distribution expense during the three months ended September 30, 2024 and 2023 included $0.6 million and $0.2 million, respectively, for redesign costs related to the Company’s warehouse. As a percentage of sales shipped from the Company’s U.S. warehouses, excluding non-recurring expenses, distribution expenses were 10.1% and 9.1% for the three months ended September 30, 2024 and 2023, respectively. The increase in expenses as a percentage of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- 32 -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was attributable to higher depreciation expense due to changes in asset retirement obligation estimates, higher software expenses due to the launch of a new warehouse management system at the Company's west coast distribution center, higher pallet expenses and higher labor rates. These increases were partially offset by lower freight out expenses.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 expenses as a percentage of net sales for the International segment were 25.4% for the three months ended September 30, 2024, compared to 26.1% for the corresponding period in 2023. As a percentage of sales shipped from the Company’s international warehouses distribution expenses were 24.2% and 22.4% for the three months ended September 30, 2024 and 2023, respectively. The decrease in expenses as a percentage of net sales was primarily attributed to higher sales, partially offset by higher expenses for the distribution of the Company's products within its global trading business in Asia.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Selling, general and administrative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three months ended September 30, 2024 were $38.8 million, a decrease of $1.4 million, or 3.5%, as compared to $40.2 million for the corresponding period in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U.S. segment were $30.0 million for the three months ended September 30, 2024, as compared to $31.6 million for the corresponding period in 2023. As a percentage of net sales, selling, general and administrative expenses were 17.6% for both the three months ended September 30, 2024 and 2023. The decrease in expenses was attributable to lower employee expenses, primarily due to lower incentive compensation, and a decrease in the provision for doubtful accounts in the current period. This was partially offset by inflationary increases across several expense categories.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International segment were $4.5 million for the three months ended September 30, 2024, as compared to $3.7 million for the corresponding period in 2023. As a percentage of net sales, selling, general and administrative expenses were 33.1% and 30.1% for the three months ended September 30, 2024 and 2023, respectively. The increase in expenses was attributable to higher employee expenses and penalties related to tax filings incurred in the current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 for the three months ended September 30, 2024 were $4.3 million, as compared to $4.9 million for the corresponding period in 2023. The current period decrease was driven by lower incentive compensation, partially offset by higher legal expenses and professional fees.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was $5.8 million and $5.2 million for the three months ended September 30, 2024 and 2023, respectively. The increase in expense was a result of higher interest rates on outstanding borrowings, partially offset by lower average outstanding borrowings in the current period.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Mark to market loss on interest rate derivatives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loss on interest rate derivatives was $0.9 million for the three months ended September 30, 2024, as compared to a mark to market loss on interest rate derivatives of $0.1 million for the three months ended September 30, 2023. The loss recognized for the three months ended September 30, 2024 and 2023, respectively, was attributable to the change in the fair value due to the change in the projected interest rate environment. The mark to market amount represents the change in fair value on the Company’s interest rate derivatives that have not been designated as hedging instruments. These derivatives were entered into for purposes of locking-in a fixed interest rate on a portion of the Company’s variable interest rate debt. As of September 30, 2024, the intent of the Company is to hold these derivative contracts until their maturity.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of $1.5 million and $3.0 million for the three months ended September 30, 2024 and 2023, respectively, represent taxes on both U.S. and foreign earnings at a combined effective income tax provision rate of 81.4% and 36.5%, respectively. The effective tax rate for the three months ended September 30, 2024 and 2023 differs from the federal statutory income tax rate of 21.0% primarily due to foreign losses for which no tax benefit is recognized as such amounts are fully offset with a valuation allowance.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Equity in losses, net of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losses of Vasconia, net of taxes, was $1.0 million for the three months ended September 30, 2023. Equity in losses included a non-cash impairment charge of $0.3 million, to reduce the carrying value of the Company’s equity method investment in Vasconia to its fair value.</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- 33 -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2024 COMPARED TO THE NINE MONTHS ENDED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SEPTEMBER 30, 2023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Net Sales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 for the nine months ended September 30, 2024 were $467.7 million, a decrease of $15.8 million, or 3.3%, as compared to net sales of $483.5 million for the corresponding period in 2023. In constant currency, a non-GAAP financial measure, which excludes the impact of foreign exchange fluctuations and was determined by applying 2024 average rates to 2023 local currency amounts, consolidated net sales decreased by $16.5 million, or 3.4%, as compared to consolidated net sales in the corresponding period in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for the U.S. segment for the nine months ended September 30, 2024 were $431.2 million, a decrease of $16.7 million, or 3.7%, as compared to net sales of $447.9 million for the corresponding period in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for the U.S. segment’s Kitchenware product category were $261.7 million for the nine months ended September 30, 2024, a decrease of $5.7 million, or 2.1%, as compared to $267.4 million for the corresponding period in 2023. The decrease was mainly driven by lower consumer demand for kitchen tools and gadgets, kitchen measurement and barware products, partially offset by higher sales for bakeware and cutlery and boards products.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for the U.S. segment’s Tableware product category were $93.0 million for the nine months ended September 30, 2024, a decrease of $6.0 million, or 6.1%, as compared to $99.0 million for the corresponding period in 2023. The decrease was across both dinnerware and flatware sales due to lower warehouse club programs in 2024 compared to 2023 and lower sales to brick-and-mortar customers.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for the U.S. segment’s Home Solutions product category were $76.5 million for the nine months ended September 30, 2024, a decrease of $5.0 million, or 6.1%, as compared to $81.5 million for the corresponding period in 2023. The decrease was attributable to lower sales of hydration products and decreased sales of Taylor branded bath measurement products. The decrease was partially offset by higher sales for Home Décor products driven by a new warehouse club program in 2024 and sales of a new licensed product brand.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for the International segment were $36.5 million for the nine months ended September 30, 2024, an increase of $0.9 million, or 2.5%, as compared to net sales of $35.6 million for the corresponding period in 2023. In constant currency, a non-GAAP financial measure, which excludes the impact of foreign exchange fluctuations, net sales stayed flat, as compared to consolidated net sales in the corresponding period in 2023. The increase was attributable to higher sales in Australia for the Company's global trading business in Asia and sales in continental Europe, partially offset by lower replenishment orders for e-commerce.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Gross margin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for the nine months ended September 30, 2024 was $179.5 million, or 38.4%, as compared to $180.8 million, or 37.4%, for the corresponding period in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for the U.S. segment was $166.5 million, or 38.6%, for the nine months ended September 30, 2024, as compared to $167.6 million, or 37.4%, for the corresponding period in 2023. The improvement in gross margin percentage was due to lower inbound freight costs and product mix.</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for the International segment was $13.0 million, or 35.6%, for the nine months ended September 30, 2024, as compared to $13.2 million, or 37.1%, for the corresponding period in 2023. The decrease in gross margin percentage was driven by higher product costs due to unfavorable fluctuations in foreign currency exchange rates.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Distribution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expenses for the nine months ended September 30, 2024 were $51.3 million, as compared to $49.7 million for the corresponding period in 2023. Distribution expenses as a percentage of net sales were 11.0% for the nine months ended September 30, 2024, as compared to 10.3% for the nine months ended September 30,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 expenses as a percentage of net sales for the U.S. segment were 9.6% and 8.9% for the nine months ended September 30, 2024 and 2023, respectively. Distribution expenses during the nine months ended September 30, 2024 and 2023 included $0.7 million and $0.5 million, respectively, for redesign costs related to the Company's U.S. warehouse.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- 34 -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sales shipped from the Company’s U.S. warehouses, excluding non-recurring expenses, distribution expenses were 10.0% and 9.7% for the nine months ended September 30, 2024 and 2023, respectively. The increase in expenses as a percentage of net sales was a result of higher depreciation expense due to changes in asset retirement obligation estimates, higher labor rates, and higher software expenses due to the launch of a new warehouse management system at the Company's west coast distribution center. These increases were partially offset by lower storage expenses, improved labor management efficiencies resulting in a decrease of employee expenses, and lower pallet expenses.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expenses as a percentage of net sales for the International segment were 26.9% for the nine months ended September 30, 2024, compared to 27.2% for the corresponding period in 2023. As a percentage of sales shipped from the Company’s international warehouse, distribution expenses were 24.3% and 23.8% for the nine months ended September 30, 2024 and 2023, respectively. The decrease in expenses as a percentage of net sales was primarily attributed to lower freight out expenses, higher sales, partially offset by higher expenses for the distribution of the Company's products within its global trading business in Asia.</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Selling, general and administrative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nine months ended September 30, 2024 were $116.6 million, an increase of $2.6 million, or 2.3%, as compared to $114.0 million for the corresponding period in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U.S. segment were $90.2 million for the nine months ended September 30, 2024, as compared to $88.3 million for the corresponding period in 2023. As a percentage of net sales, selling, general and administrative expenses were 20.9% and 19.7% for the nine months ended September 30, 2024 and 2023, respectively. The increase in expenses was attributable to higher employee expenses, expenses related to the start-up of the Company’s manufacturing operations in Mexico, legal expenses, and inflationary increases across several expense categories. This was partially offset by a decrease in the provision for doubtful accounts in the current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International segment were $12.5 million for the nine months ended September 30, 2024, as compared to $11.3 million for the corresponding period in 2023. The increase was primarily attributable to higher employee expenses and penalties related to tax filings incurred in the current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 for the nine months ended September 30, 2024 were $13.9 million, as compared to $14.4 million for the corresponding period in 2023. The decrease was driven by lower incentive compensation and insurance expenses.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Restructuring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the Company incurred $0.8 million of unallocated corporate expense related to the termination payment with its Executive Chairman.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was $16.6 million and $16.1 million for the nine months ended September 30, 2024 and 2023, respectively. The increase in expense was a result of higher interest rates on outstanding borrowings, partially offset by lower average outstanding borrowings in the current period.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Mark to market loss on interest rate derivatives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loss on interest rate derivatives was $1.2 million for the nine months ended September 30, 2024, as compared to $0.1 million for the nine months ended September 30, 2023. The increase was attributable to the change in the fair value based on the increase in interest rates. The mark to market amount represents the change in fair value on the Company’s interest rate derivatives that have not been designated as hedging instruments. These derivatives were entered into for purposes of locking-in a fixed interest rate on a portion of the Company’s variable interest rate debt. As of September 30, 2024, the intent of the Company is to hold these derivative contracts until their maturity.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Gain on extinguishments of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extinguishments of debt was $1.5 million for the nine months ended September 30, 2023. The gain recognized for the nine months ended September 30, 2023 was attributable to the repurchase of $47.2 million in principal amount of the Term Loan. Refer to NOTE 6 — DEBT for additional information.</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- 35 -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Loss on equity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equity securities was $14.2 million for the nine months ended September 30, 2024. In the second quarter of 2024, the Company lost significant influence over its investment in Vasconia and discontinued the equity method of accounting. This change resulted in the reclassification of previously recognized accumulated other comprehensive losses to the investment balance and subsequently resulted in a non-cash loss of $14.2 million, to reduce the investment to its fair value. NOTE 4 —INVESTMENT for additional information.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120" w:after="283"/>
        <w:jc w:val="left"/>
        <w:rPr/>
      </w:pPr>
      <w:r>
        <w:rPr>
          <w:rFonts w:ascii="Times New Roman;sans-serif" w:hAnsi="Times New Roman;sans-serif"/>
          <w:b w:val="false"/>
          <w:color w:val="000000"/>
          <w:sz w:val="20"/>
        </w:rPr>
        <w:t>Income tax provision of $1.7 million and $2.9 million for the nine months ended September 30, 2024 and 2023, respectively, represent taxes on both U.S. and foreign earnings at a combined</w:t>
      </w:r>
      <w:r>
        <w:rPr>
          <w:color w:val="000000"/>
        </w:rPr>
        <w:t xml:space="preserve"> </w:t>
      </w:r>
      <w:r>
        <w:rPr>
          <w:rFonts w:ascii="Times New Roman;sans-serif" w:hAnsi="Times New Roman;sans-serif"/>
          <w:b w:val="false"/>
          <w:color w:val="000000"/>
          <w:sz w:val="20"/>
        </w:rPr>
        <w:t>effective income tax provision rate of (8.2)% and 197.0%, respectively. The negative rate for the nine months ended September 30, 2024 reflects tax expense on a pretax financial reporting loss. The effective tax rate for the nine months ended September 30, 2024 and 2023 differs from the federal statutory income tax rate of 21.0% primarily due to the impact of non-deductible expenses and foreign losses for which no tax benefit is recognized as such amounts are fully offset with a valuation allowance.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Equity in losses, net of taxes</w:t>
      </w:r>
    </w:p>
    <w:p>
      <w:pPr>
        <w:pStyle w:val="TextBody"/>
        <w:bidi w:val="0"/>
        <w:spacing w:lineRule="auto" w:line="288" w:before="120" w:after="283"/>
        <w:jc w:val="left"/>
        <w:rPr/>
      </w:pPr>
      <w:r>
        <w:rPr>
          <w:rFonts w:ascii="Times New Roman;sans-serif" w:hAnsi="Times New Roman;sans-serif"/>
          <w:b w:val="false"/>
          <w:color w:val="000000"/>
          <w:sz w:val="20"/>
        </w:rPr>
        <w:t>Equity in losses of Vasconia, net of taxes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was $2.1 million for the nine months ended September 30, 2024, as compared to $9.7 million for the nine months ended September 30, 2023. For the nine months ended September 30, 2023, equity in losses included a non-cash impairment charge of $6.8 million to reduce the carrying value of the Company’s equity method investment in Vasconia to its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principal sources of cash to fund liquidity needs are: (i) cash provided by operating activities and (ii) borrowings available under its revolving credit facility under the ABL Agreement, as defined below. The Company’s primary uses of funds consist of working capital requirements, capital expenditures, acquisitions and investments, payments of dividends, and payments of principal and interest on its debt.</w:t>
      </w:r>
    </w:p>
    <w:p>
      <w:pPr>
        <w:pStyle w:val="TextBody"/>
        <w:bidi w:val="0"/>
        <w:spacing w:lineRule="auto" w:line="288" w:before="240" w:after="283"/>
        <w:jc w:val="left"/>
        <w:rPr/>
      </w:pPr>
      <w:r>
        <w:rPr>
          <w:rFonts w:ascii="Times New Roman;sans-serif" w:hAnsi="Times New Roman;sans-serif"/>
          <w:b w:val="false"/>
          <w:color w:val="000000"/>
          <w:sz w:val="20"/>
        </w:rPr>
        <w:t xml:space="preserve">At September 30, 2024, the Company had cash and cash equivalents of $6.0 million, compared to </w:t>
      </w:r>
      <w:r>
        <w:rPr>
          <w:rFonts w:ascii="Times New Roman;sans-serif" w:hAnsi="Times New Roman;sans-serif"/>
          <w:b w:val="false"/>
          <w:color w:val="000000"/>
          <w:sz w:val="20"/>
          <w:shd w:fill="FFFFFF" w:val="clear"/>
        </w:rPr>
        <w:t>$16.2 million</w:t>
      </w:r>
      <w:r>
        <w:rPr>
          <w:color w:val="000000"/>
        </w:rPr>
        <w:t xml:space="preserve"> </w:t>
      </w:r>
      <w:r>
        <w:rPr>
          <w:rFonts w:ascii="Times New Roman;sans-serif" w:hAnsi="Times New Roman;sans-serif"/>
          <w:b w:val="false"/>
          <w:color w:val="000000"/>
          <w:sz w:val="20"/>
        </w:rPr>
        <w:t>at December 31, 2023. Working capital was $230.2 million at September 30, 2024, compared to $224.4 million at December 31, 2023. Liquidity as of September 30, 2024 was $75.6 million, consisting of $6.0 million of cash and cash equivalents, $51.6 million of availability under the ABL Agreement, limited by the Term Loan financial covenant, and $18.0 million of available funding under the Receivables Purchase Agreement.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For the three months ended September 30, 2024, inventory turnover was 2.1 times, or 175 days, as compared to 2.2 times, or 164 days, for the three months ended September 30, 2023. Inventory turns have remained relatively consistent.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7, 2024, in connection with the Wallace EPA Matter, the Company provided financial assurance of $5.6 million in the form of a letter of credit. This reduced the availability under the revolving credit facility in the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availability under the revolving credit facility under its ABL Agreement, cash on hand and cash flows from operations are sufficient to fund the Company’s operations for the next twelve months. However, if circumstances were to adversely change, the Company may seek alternative sources of liquidity including debt and/or equity financing. However, there can be no assurance that any such alternative sources would be available or sufficient.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closely monitors the creditworthiness of its customers. Based upon its evaluation of changes in customers’ creditworthiness, the Company may modify credit limits and/or terms of sale. However, notwithstanding the Company’s efforts to monitor its customers’ financial condition, the Company could be materially adversely affected by future changes in these conditions.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- 36 -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Indebtedness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26, 2022, the Company entered into Amendment No. 2 (the “Amendment”) to the Company’s credit agreement, dated as of March 2, 2018 (as amended, the “ABL Agreement”) among the Company, as a Borrower, certain subsidiaries of the Company, as Borrowers and/or Loan Parties, JPMorgan Chase Bank, N.A., as Administrative Agent and a Lender. The ABL Agreement provides for a senior secured asset-based revolving credit facility in the maximum aggregate principal amount of $200.0 million, which facility will mature on August 26, 2027.</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14, 2023, the Company entered into Amendment No. 2 to amend the Loan Agreement, dated as of March 2, 2018, among the Company, as borrower, the other loan parties from time to time party thereto, the lenders from time to time party thereto, and JPMorgan Chase Bank, N.A., as Administrative Agent (as amended, the “Term Loan” and together with the ABL Agreement, the “Debt Agreements”). The Term Loan has a principal amount of $150.0 million, and matures on August 26, 2027.</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requires the Company to make quarterly payments of principal each equal to 1.25% of the aggregate principal amount of the Term Loan, commencing on March 31, 2024, with the remaining balance payable on the maturity date. The Term Loan requires the Company to make an annual prepayment of principal, beginning with those for the fiscal year ending December 31, 2024, based upon a percentage of the Company’s excess cash flow, (“Excess Cash Flow”), if any. The percentage applied to the Company’s Excess Cash Flow is based on the Company’s Total Net Leverage Ratio (as defined in the Debt Agreements). When an Excess Cash Flow payment is required, each lender has the option to decline a portion or all of the prepayment amount payable to it. Per the Term Loan, when the Company makes an Excess Cash Flow prepayment, the payment is first applied to satisfy the next eight (8) scheduled future quarterly required payments of the Term Loan in order of maturity and then to the remaining scheduled installments on a pro rata basis.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maximum borrowing amount under the ABL Agreement may be increased to up to $250.0 million if certain conditions are met. One or more tranches of additional term loans (the “Incremental Term Facilities”) may be added under the Term Loan if certain conditions are met. The Incremental Facilities may not exceed the sum of (i) $50.0 million plus (ii) an unlimited amount so long as, in the case of (ii) only, the Company’s secured net leverage ratio, as defined in and computed on a pro forma basis pursuant to the Term Loan, after giving effect to such increase, is no greater than 3.25 to 1.00, subject to certain limitations and for the period defined pursuant to the Term Loan but not to mature earlier than the maturity date of the then existing term loans.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and December 31, 2023, the total availability under the ABL Agreement were as follows (in thousands): </w:t>
      </w:r>
    </w:p>
    <w:tbl>
      <w:tblPr>
        <w:tblW w:w="7644" w:type="dxa"/>
        <w:jc w:val="left"/>
        <w:tblInd w:w="0" w:type="dxa"/>
        <w:tblLayout w:type="fixed"/>
        <w:tblCellMar>
          <w:top w:w="28" w:type="dxa"/>
          <w:left w:w="28" w:type="dxa"/>
          <w:bottom w:w="28" w:type="dxa"/>
          <w:right w:w="28" w:type="dxa"/>
        </w:tblCellMar>
      </w:tblPr>
      <w:tblGrid>
        <w:gridCol w:w="1375"/>
        <w:gridCol w:w="1206"/>
        <w:gridCol w:w="1214"/>
        <w:gridCol w:w="109"/>
        <w:gridCol w:w="109"/>
        <w:gridCol w:w="109"/>
        <w:gridCol w:w="302"/>
        <w:gridCol w:w="1135"/>
        <w:gridCol w:w="168"/>
        <w:gridCol w:w="109"/>
        <w:gridCol w:w="109"/>
        <w:gridCol w:w="109"/>
        <w:gridCol w:w="287"/>
        <w:gridCol w:w="1077"/>
        <w:gridCol w:w="226"/>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Maximum aggregate principal allowed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181,919 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borrowings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(60,395)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Standby letters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availability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126,683 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118,630 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Availability under the ABL Agreement is limited to the lesser of the $200.0 million commitment thereunder and the borrowing base and therefore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the Company may have greater borrowing availability during the third and fourth quarters of each year. Consequently, the $200.0 million commitment thereunder may not represent actual borrowing capacity. The Company’s borrowing capacity may be further limited by the Term Loan financial covenant of 5.00 to 1.00 maximum Total Net Leverage Ratio. As of September 30, 2024, the availability under the ABL Agreement, limited by the Term Loan financial covenant, was $51.6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- 37 -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and non-current portions of the Company’s Term Loan included in the condensed consolidated balance sheets were as follows (in thousands):</w:t>
      </w:r>
    </w:p>
    <w:tbl>
      <w:tblPr>
        <w:tblW w:w="7546" w:type="dxa"/>
        <w:jc w:val="left"/>
        <w:tblInd w:w="0" w:type="dxa"/>
        <w:tblLayout w:type="fixed"/>
        <w:tblCellMar>
          <w:top w:w="28" w:type="dxa"/>
          <w:left w:w="28" w:type="dxa"/>
          <w:bottom w:w="28" w:type="dxa"/>
          <w:right w:w="28" w:type="dxa"/>
        </w:tblCellMar>
      </w:tblPr>
      <w:tblGrid>
        <w:gridCol w:w="1258"/>
        <w:gridCol w:w="1105"/>
        <w:gridCol w:w="1116"/>
        <w:gridCol w:w="109"/>
        <w:gridCol w:w="109"/>
        <w:gridCol w:w="109"/>
        <w:gridCol w:w="302"/>
        <w:gridCol w:w="1135"/>
        <w:gridCol w:w="168"/>
        <w:gridCol w:w="109"/>
        <w:gridCol w:w="109"/>
        <w:gridCol w:w="109"/>
        <w:gridCol w:w="291"/>
        <w:gridCol w:w="1093"/>
        <w:gridCol w:w="161"/>
        <w:gridCol w:w="109"/>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Excess Cash Flow principal 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134,875 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Non-current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130,170 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135,834 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Excess Cash Flow principal payment recorded at September 30, 2024 represents the Company’s estimate for the Excess Cash Flow Payment due in 2025. There was no Excess Cash Flow payment due in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foreign subsidiary borrowers under the ABL Agreement are secured by security interests in substantially all of the assets of, and stock in, such foreign subsidiary borrowers, subject to certain limitations. The obligations of the Company under the Debt Agreements and any hedging arrangements and cash management services and the guarantees by its domestic subsidiaries in respect of those obligations are secured by security interests in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 of (1) a first-priority lien, subject to certain permitted liens, with respect to certain assets of the Company and certain of its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certain of its subsidiaries (the “Term Loan Collateral”) pledged as collateral in favor of lenders under the Term Loan and a second-priority lien in the Term Loan Collateral in favor of the lenders under the ABL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revolving credit facility bear interest, at the Company’s option, at one of the following rates: (i) an alternate base rate, defined, for any day, as the greater of the prime rate, a federal funds and overnight bank funding based rate plus 0.5% or one-month Adjusted Term Secured Overnight Financing Rate (“SOFR”) plus 1.0% as of a specified date in advance of the determination, but in each case not less than 1.0%, plus a margin of 0.25% to 0.50%, or (ii) Adjusted Term SOFR, which is the Term SOFR Rate for the selected 1, 3 or 6 month interest period plus 0.10% (or Euro Interbank Offered Rate “EURIBOR” for borrowings denominated in Euro; or Sterling Overnight Index Average “SONIA” for borrowings denominated in Pounds Sterling), but in each case not less than zero, plus a margin of 1.25% to 1.50%. The respective margins are based upon average quarterly availability, as defined in and computed pursuant to the ABL Agreement. In addition, the Company pays a commitment fee of 0.20% to 0.25% per annum based on the average daily unused portion of the aggregate commitment under the ABL Agreement. The interest rate on outstanding borrowings under the ABL Agreement at September 30, 2024 was between 4.79% and 6.68%. The Company paid a commitment fee of 0.25% on the unused portion of the ABL Agreement during the nine months ended September 30,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bears interest, at the Company’s option, at one of the following rates: (i) alternate base rate, defined, for any day, as the greater of (x) the prime rate, (y) a federal funds and overnight bank funding based rate plus 0.5% or (z) one-month Adjusted Term SOFR, but not less than 1.0%, plus 1.0%, plus a margin of 4.5% or (ii) Adjusted Term SOFR (Term SOFR plus the Term SOFR Adjustment) for the applicable interest period, but not less than 1.0%, plus a margin of 5.5%. The interest rate on outstanding borrowings under the Term Loan at September 30, 2024 was 10.73%.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Debt Agreements provide for customary restrictions and events of default. Restrictions include limitations on additional indebtedness, liens, acquisitions, investments and payment of dividends, among other things. Under the Term Loan, the Total Net Leverage Ratio is not permitted to be greater than 5.00 to 1.00 determined as of the end of each fiscal quarters. Further,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- 38 -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ABL Agreement provides that during any period (a) commencing on the last day of the most recently ended four consecutive fiscal quarters on or prior to the date availability under the ABL Agreement is less than the greater of $20.0 million and 10% of the aggregate commitment under the ABL Agreement at any time and (b) ending on the day after such availability has exceeded the greater of $20.0 million and 10% of the aggregate commitment under the ABL Agreement for 45 consecutive days, the Company is required to maintain a minimum fixed charge coverage ratio of 1.10 to 1.00 as of the last day of any period of four consecutive fiscal quarters.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was in compliance with the covenants of the Debt Agreements at September 30,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8, 2023, the Company completed the repurchase of $47.2 million in principal amount of the Term Loan, for $95 per $100 of principal. The repurchase was executed by way of a reverse Dutch auction, pursuant to and in accordance with the terms and conditions provided for in the Term Loan. In connection therewith, debt issuance costs of $0.5 million were written off and fees of $0.4 million were incurred. The gain on the early retirement of the Term Loan of $1.5 million, net of fees and expenses, was recognized during the three and nine months ended September 30,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that it will continue to borrow, subject to availability, and repay funds under the ABL Agreement based on working capital and other corporate needs.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Covenant Calculations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adjusted EBITDA for the trailing twelve months ended September 30, 2024 was $53.9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Capital expenditures for the nine months ended September 30, 2024 were $1.6 million.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financial measure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is a non-GAAP financial measure within the meaning of Regulation G and Item 10(e) of Regulation S-K, each promulgated by the SEC. This measure is provided because management of the Company uses this financial measure in evaluating the Company’s on-going financial results and trends, and management believes that exclusion of certain items allows for more accurate period-to-period comparison of the Company’s operating performance by investors and analysts. Management also uses this non-GAAP information as an indicator of business performance. Adjusted EBITDA, as discussed above, is also one of the measures used to calculate financial covenants required to be provided to the Company’s lenders pursuant to its Debt Agreements.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Investors should consider this non-GAAP financial measure in addition to, and not as a substitute for, the Company’s financial performance measures prepared in accordance with U.S. GAAP. Further, the Company’s non-GAAP information may be different from the non-GAAP information provided by other companies including other companies within the home retail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- 39 -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net income (loss), as reported, to adjusted EBITDA, for each of the last four quarters and the 12 months ended September 30, 2024:</w:t>
      </w:r>
    </w:p>
    <w:tbl>
      <w:tblPr>
        <w:tblW w:w="10205" w:type="dxa"/>
        <w:jc w:val="left"/>
        <w:tblInd w:w="0" w:type="dxa"/>
        <w:tblLayout w:type="fixed"/>
        <w:tblCellMar>
          <w:top w:w="28" w:type="dxa"/>
          <w:left w:w="28" w:type="dxa"/>
          <w:bottom w:w="28" w:type="dxa"/>
          <w:right w:w="28" w:type="dxa"/>
        </w:tblCellMar>
      </w:tblPr>
      <w:tblGrid>
        <w:gridCol w:w="1046"/>
        <w:gridCol w:w="678"/>
        <w:gridCol w:w="681"/>
        <w:gridCol w:w="258"/>
        <w:gridCol w:w="853"/>
        <w:gridCol w:w="143"/>
        <w:gridCol w:w="109"/>
        <w:gridCol w:w="109"/>
        <w:gridCol w:w="109"/>
        <w:gridCol w:w="196"/>
        <w:gridCol w:w="601"/>
        <w:gridCol w:w="109"/>
        <w:gridCol w:w="109"/>
        <w:gridCol w:w="109"/>
        <w:gridCol w:w="109"/>
        <w:gridCol w:w="196"/>
        <w:gridCol w:w="691"/>
        <w:gridCol w:w="109"/>
        <w:gridCol w:w="109"/>
        <w:gridCol w:w="109"/>
        <w:gridCol w:w="109"/>
        <w:gridCol w:w="222"/>
        <w:gridCol w:w="732"/>
        <w:gridCol w:w="123"/>
        <w:gridCol w:w="109"/>
        <w:gridCol w:w="109"/>
        <w:gridCol w:w="109"/>
        <w:gridCol w:w="417"/>
        <w:gridCol w:w="1508"/>
        <w:gridCol w:w="334"/>
      </w:tblGrid>
      <w:tr>
        <w:trPr/>
        <w:tc>
          <w:tcPr>
            <w:tcW w:w="104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 September 30, 2024</w:t>
            </w:r>
          </w:p>
        </w:tc>
      </w:tr>
      <w:tr>
        <w:trPr/>
        <w:tc>
          <w:tcPr>
            <w:tcW w:w="2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as reported</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(21,376)</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on equity securities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14,152 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 in losses, net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5,070 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 (benefit)</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4,973 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22,223 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21,196 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 to market loss on interest rate derivatives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 expense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3,803 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 fair value adjustments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extinguishments of debt</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related expenses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Warehouse redesign expenses</w:t>
            </w:r>
            <w:r>
              <w:rPr>
                <w:rFonts w:ascii="Times New Roman;sans-serif" w:hAnsi="Times New Roman;sans-serif"/>
                <w:b w:val="false"/>
                <w:color w:val="000000"/>
                <w:sz w:val="12"/>
              </w:rPr>
              <w:t>(1)</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Adjusted EBITDA</w:t>
            </w:r>
            <w:r>
              <w:rPr>
                <w:rFonts w:ascii="Times New Roman;sans-serif" w:hAnsi="Times New Roman;sans-serif"/>
                <w:b w:val="false"/>
                <w:color w:val="000000"/>
                <w:sz w:val="12"/>
              </w:rPr>
              <w:t>(2)</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21,469 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16,935 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53,867 </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6"/>
        </w:rPr>
        <w:t>For the twelve months ended September 30, 2024, the warehouse redesign expenses were related to the U.S. segment.</w:t>
      </w:r>
    </w:p>
    <w:p>
      <w:pPr>
        <w:pStyle w:val="TextBody"/>
        <w:bidi w:val="0"/>
        <w:spacing w:lineRule="auto" w:line="288" w:before="60" w:after="283"/>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6"/>
        </w:rPr>
        <w:t>Adjusted EBITDA is a non-GAAP financial measure that is defined in the Company’s debt agreements. Adjusted EBITDA is defined as net income (loss), adjusted to exclude loss on equity securities, equity in losses, income tax provision (benefit), interest expense, depreciation and amortization, mark to market loss on interest rate derivatives, stock compensation expense, loss on extinguishments of debt, and other items detailed in the table above that are consistent with exclusions permitted by our debt agreements.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Purchase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improve its liquidity during seasonally high working capital periods, the Company has an uncommitted Receivables Purchase Agreement with HSBC Bank USA, National Association (“HSBC”) as Purchaser (the “Receivables Purchase Agreement”). Under the Receivables Purchase Agreement, the Company may offer to sell certain eligible accounts receivable (the “Receivables”) to HSBC, which may accept such offer, and purchase the offered Receivables. Under the Receivables Purchase Agreement, following each purchase of Receivables, the outstanding aggregate purchased Receivables shall not exceed $30.0 million. HSBC will assume the credit risk of the Receivables purchased, and the Company will continue to be responsible for all non-credit risk matters. The Company will service the Receivables, and as such servicer, collect and otherwise enforce the Receivables on behalf of HSBC. The term of the agreement is for 364 days and shall automatically be extended for annual successive terms unless terminated. Either party may terminate the agreement at any time upon sixty days’ prior written notice to the other party.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sell receivables to HSBC during the three and nine months ended September 30, 2024 and September 30, 2023. At September 30, 2024, $18.0 million of accounts receivables were available for sale to HSBC, net of applicable charges.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Derivatives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Swaps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June 2019 the Company entered into interest rate swap agreements, with an aggregate notional value of $25.0 million and expire in February 2025. In March 2024, the Company entered into a new interest rate swap agreement, with an aggregate notional value of $25.0 million and expire in August 2027. These non-designated interest rate swaps serve as cash flow hedges of the Company’s exposure to the variability of the payment of interest on a portion of its Term Loan borrowings. The Company’s total outstanding notional value of interest rate swaps was $50.0 million at September 30,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interest rate swaps that were designated as cash flow hedges of the Company’s exposure to the variability of the payment of interest on a portion of its Term Loan borrowings expired in March 2023. The Company has no designated interest rate swaps at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- 40 -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Exchange Contracts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foreign currency forward contracts with terms less than 18 months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gross notional value of foreign exchange contracts at September 30, 2024 was $2.8 million. These foreign exchange contracts have been designated as hedges in order to apply hedge accounting.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market risks as well as changes in foreign currency exchange rates as measured against the USD and each other, and to changes to the credit risk of derivative counterparties. The Company attempts to minimize these risks primarily by using foreign currency forward contracts and by maintaining counterparty credit limits. These hedging activities provide only limited protection against currency exchange and credit risk. Factors that could influence the effectiveness of the Company’s hedging programs include those impacting currency markets and the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September 30, 2024, these foreign exchange contracts have been designated as hedges in to order to apply hedge accounting.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$1.7 million for the nine months ended September 30, 2024, as compared to net cash provided by operating activities of $17.0 million for the nine months ended September 30, 2023. The decrease from 2024 compared to 2023 was attributable to increased use of cash related to inventory purchases and higher net loss, partially offset by timing of collections related to the Company's accounts receivables, and timing of payments for accounts payable and accrued expenses.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$1.6 million and $1.8 million for the nine months ended September 30, 2024 and 2023, respectively.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$6.9 million for the nine months ended September 30, 2024, as compared to net cash used in financing activities of $32.4 million for the nine months ended September 30, 2023. The change was attributable to the repurchase of a portion of the term loan and stock repurchases in the 2023 period, partially offset by lower net proceeds from revolving credit facility in the 2024 period.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 repurchase program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14, 2022, the Company announced that its Board authorized the repurchase of up to $20.0 million of the Company’s common stock, replacing the Company’s previously-authorized $10.0 million share repurchase program. The repurchase authorization permits the Company to effect the repurchases from time to time through open market purchases and privately negotiated transactions. No repurchases were effected during the nine months ended September 30, 2024. As of September 30, 2024, the remaining dollar amount available for repurchases under the Board authorized plan was $11.1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- 41 -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in market risk for changes in foreign currency exchange rates and interest rates from the information provided in Item 7A – Quantitative and Qualitative Disclosures About Market Risk in the 2023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(a)Evaluation of Disclosure Controls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Chief Executive Officer and the Chief Financial Officer of the Company (its principal executive officer and principal financial officer, respectively) have concluded, based on their evaluation as of September 30, 2024, that the Company’s disclosure controls and procedures are effective to ensure that information required to be disclosed by the Company in the reports filed by it under the Securities and Exchange Act of 1934, as amended, is recorded, processed, summarized and reported within the time periods specified in the Securities and Exchange Commission’s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pStyle w:val="TextBody"/>
        <w:bidi w:val="0"/>
        <w:spacing w:lineRule="auto" w:line="288" w:before="12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(b)Changes in Internal Controls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Company’s internal controls over financial reporting that occurred during the Company’s most recent fiscal quarter that has materially affected, or is reasonably likely to materially affect, the Company’s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 description of the Company’s legal proceedings, please see NOTE 12 — CONTINGENCIES, to the Company's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left"/>
        <w:rPr/>
      </w:pPr>
      <w:r>
        <w:rPr>
          <w:rFonts w:ascii="Times New Roman;sans-serif" w:hAnsi="Times New Roman;sans-serif"/>
          <w:b w:val="false"/>
          <w:color w:val="000000"/>
          <w:sz w:val="20"/>
        </w:rPr>
        <w:t>In addition to the other information set forth in this Quarterly Report on Form 10-Q, readers should carefully consider the factors discussed in Part I, Item 1A—Risk Factors in the 2023 Annual Report on Form 10-K, and in the Company’s other filings with the SEC, which could materially affect the Company’s business, financial condition, cash flows or future results. There have been no material changes from the risk factors previously disclosed in Part I, Item 1A—Risk Factors in the 2023 Annual Report on Form 10-K</w:t>
      </w:r>
      <w:r>
        <w:rPr>
          <w:rFonts w:ascii="Times New Roman;sans-serif" w:hAnsi="Times New Roman;sans-serif"/>
          <w:b/>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Rule 10b5-1 Trading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adopted, modified, or terminated a Rule 10b5-1 trading arrangement or a non-Rule 10b5-1 trading arrangement during the Company’s fiscal quarter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- 42 -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the Exhibit Index below, which is incorporated by reference herein.</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391"/>
        <w:gridCol w:w="344"/>
        <w:gridCol w:w="346"/>
        <w:gridCol w:w="109"/>
        <w:gridCol w:w="109"/>
        <w:gridCol w:w="109"/>
        <w:gridCol w:w="2572"/>
        <w:gridCol w:w="2572"/>
        <w:gridCol w:w="365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09302024.htm">
              <w:r>
                <w:rPr>
                  <w:rStyle w:val="InternetLink"/>
                  <w:rFonts w:ascii="Times New Roman;sans-serif" w:hAnsi="Times New Roman;sans-serif"/>
                  <w:b w:val="false"/>
                  <w:color w:val="0000FF"/>
                  <w:sz w:val="20"/>
                  <w:u w:val="single"/>
                </w:rPr>
                <w:t>Certification by Robert B. Kay, Chief Executive Officer and Director, pursuant to Rule 13a-14(a) or Rule 15d-14(a) of the Securities and Exchange Act of 1934, as adopted pursuant to Section 302 of the Sarbanes-Oxley Act of 2002</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09302024.htm">
              <w:r>
                <w:rPr>
                  <w:rStyle w:val="InternetLink"/>
                  <w:rFonts w:ascii="Times New Roman;sans-serif" w:hAnsi="Times New Roman;sans-serif"/>
                  <w:b w:val="false"/>
                  <w:color w:val="0000FF"/>
                  <w:sz w:val="20"/>
                  <w:u w:val="single"/>
                </w:rPr>
                <w:t>Certification by Laurence Winoker, Executive Vice President, Treasurer and Chief Financial Officer, pursuant to Rule 13a-14(a) or Rule 15d-14(a) of the Securities and Exchange Act of 1934, as adopted pursuant to Section 302 of the Sarbanes-Oxley Act of 2002</w:t>
              </w:r>
            </w:hyperlink>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09302024.htm">
              <w:r>
                <w:rPr>
                  <w:rStyle w:val="InternetLink"/>
                  <w:rFonts w:ascii="Times New Roman;sans-serif" w:hAnsi="Times New Roman;sans-serif"/>
                  <w:b w:val="false"/>
                  <w:color w:val="0000FF"/>
                  <w:sz w:val="20"/>
                  <w:u w:val="single"/>
                </w:rPr>
                <w:t>Certification by Robert B. Kay, Chief Executive Officer and Director, and Laurence Winoker, Executive Vice President, Treasurer and Chief Financial Officer, pursuant to 18 U.S.C. Section 1350, as adopted pursuant to Section 906 of the Sarbanes-Oxley Act of 2002</w:t>
              </w:r>
            </w:hyperlink>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(the instance document does not appear in the Interactive Data File because its XBRL tags are embedded within the Inline XBRL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Labels Linkbase Document</w:t>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this Quarterly Report on Form 10-Q, formatted in Inline XBRL and contained in Exhibit 101</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- 43 -</w:t>
                      </w:r>
                    </w:p>
                  </w:txbxContent>
                </v:textbox>
                <w10:wrap type="none"/>
              </v:rect>
            </w:pict>
          </mc:Fallback>
        </mc:AlternateContent>
      </w:r>
    </w:p>
    <w:p>
      <w:pPr>
        <w:pStyle w:val="TextBody"/>
        <w:bidi w:val="0"/>
        <w:spacing w:lineRule="auto" w:line="288" w:before="0" w:after="0"/>
        <w:jc w:val="left"/>
        <w:rPr/>
      </w:pPr>
      <w:hyperlink w:anchor="idd18407151ca4b0fa29dac7cadd2367c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7226" w:type="dxa"/>
        <w:jc w:val="left"/>
        <w:tblInd w:w="0" w:type="dxa"/>
        <w:tblLayout w:type="fixed"/>
        <w:tblCellMar>
          <w:top w:w="28" w:type="dxa"/>
          <w:left w:w="28" w:type="dxa"/>
          <w:bottom w:w="28" w:type="dxa"/>
          <w:right w:w="28" w:type="dxa"/>
        </w:tblCellMar>
      </w:tblPr>
      <w:tblGrid>
        <w:gridCol w:w="124"/>
        <w:gridCol w:w="109"/>
        <w:gridCol w:w="109"/>
        <w:gridCol w:w="1743"/>
        <w:gridCol w:w="1743"/>
        <w:gridCol w:w="1748"/>
        <w:gridCol w:w="483"/>
        <w:gridCol w:w="483"/>
        <w:gridCol w:w="6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Lifetime Brands, Inc.</w:t>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B. Kay</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B. Kay</w:t>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Laurence Winoker</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Laurence Winoker</w:t>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Treasurer and Chief Financial Officer</w:t>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- 44 -</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Robert B. Kay, certify that: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Lifetime Brands, Inc. (“the registrant”);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3135" w:type="dxa"/>
        <w:jc w:val="left"/>
        <w:tblInd w:w="0" w:type="dxa"/>
        <w:tblLayout w:type="fixed"/>
        <w:tblCellMar>
          <w:top w:w="28" w:type="dxa"/>
          <w:left w:w="28" w:type="dxa"/>
          <w:bottom w:w="28" w:type="dxa"/>
          <w:right w:w="28" w:type="dxa"/>
        </w:tblCellMar>
      </w:tblPr>
      <w:tblGrid>
        <w:gridCol w:w="998"/>
        <w:gridCol w:w="878"/>
        <w:gridCol w:w="1259"/>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B. Kay</w:t>
            </w:r>
          </w:p>
        </w:tc>
      </w:tr>
      <w:tr>
        <w:trPr/>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B. Kay</w:t>
              <w:br/>
              <w:t>Chief Executive Officer and Director</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Laurence Winoker, certify that: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Lifetime Brands, Inc. (“the registrant”);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ind w:left="0" w:right="0" w:hanging="360"/>
        <w:jc w:val="left"/>
        <w:rPr/>
      </w:pPr>
      <w:r>
        <w:rPr/>
      </w:r>
    </w:p>
    <w:tbl>
      <w:tblPr>
        <w:tblW w:w="3491" w:type="dxa"/>
        <w:jc w:val="left"/>
        <w:tblInd w:w="0" w:type="dxa"/>
        <w:tblLayout w:type="fixed"/>
        <w:tblCellMar>
          <w:top w:w="28" w:type="dxa"/>
          <w:left w:w="28" w:type="dxa"/>
          <w:bottom w:w="28" w:type="dxa"/>
          <w:right w:w="28" w:type="dxa"/>
        </w:tblCellMar>
      </w:tblPr>
      <w:tblGrid>
        <w:gridCol w:w="1129"/>
        <w:gridCol w:w="993"/>
        <w:gridCol w:w="997"/>
        <w:gridCol w:w="109"/>
        <w:gridCol w:w="109"/>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Laurence Winoker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Laurence Winoker</w:t>
              <w:br/>
              <w:t>Executive Vice President,</w:t>
              <w:br/>
              <w:t>Treasurer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4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by Robert B. Kay, Chief Executive Officer and Director, and Laurence Winoker, Executive Vice President, Treasurer and Chief Financial Officer, Pursuant to 18 U.S.C. Section 1350, as Adopted Pursuant to 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Robert B. Kay, Chief Executive Officer and Director, and I, Laurence Winoker, Executive Vice President, Treasurer and Chief Financial Officer, of Lifetime Brands, Inc., a Delaware corporation (the “Company”), each hereby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Company’s periodic report on Form 10-Q for the period ended September 30, 2024 (the “Form 10-Q”) fully complies with the requirements of Section 13(a) or 15(d) of the Securities Exchange Act of 1934, as amended;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Form 10-Q fairly presents, in all material respects, the financial condition and results of operations of the Company.</w:t>
      </w:r>
    </w:p>
    <w:p>
      <w:pPr>
        <w:pStyle w:val="TextBody"/>
        <w:bidi w:val="0"/>
        <w:spacing w:before="240" w:after="283"/>
        <w:jc w:val="left"/>
        <w:rPr/>
      </w:pPr>
      <w:r>
        <w:rPr/>
      </w:r>
    </w:p>
    <w:tbl>
      <w:tblPr>
        <w:tblW w:w="7720" w:type="dxa"/>
        <w:jc w:val="left"/>
        <w:tblInd w:w="0" w:type="dxa"/>
        <w:tblLayout w:type="fixed"/>
        <w:tblCellMar>
          <w:top w:w="28" w:type="dxa"/>
          <w:left w:w="28" w:type="dxa"/>
          <w:bottom w:w="28" w:type="dxa"/>
          <w:right w:w="28" w:type="dxa"/>
        </w:tblCellMar>
      </w:tblPr>
      <w:tblGrid>
        <w:gridCol w:w="986"/>
        <w:gridCol w:w="865"/>
        <w:gridCol w:w="878"/>
        <w:gridCol w:w="109"/>
        <w:gridCol w:w="109"/>
        <w:gridCol w:w="109"/>
        <w:gridCol w:w="1362"/>
        <w:gridCol w:w="1362"/>
        <w:gridCol w:w="1940"/>
      </w:tblGrid>
      <w:tr>
        <w:trPr/>
        <w:tc>
          <w:tcPr>
            <w:tcW w:w="98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B. Kay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Laurence Winoker</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Robert B. Kay</w:t>
              <w:b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Laurence Winoker</w:t>
              <w:br/>
              <w:t>Executive Vice President, Treasurer and Chief Financial Officer</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certification required by 18 U.S.C. Section 1350 has been provided to Lifetime Brands, Inc. and will be retained by Lifetime Brands, Inc. and furnished to the SEC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23831</Words>
  <Characters>131806</Characters>
  <CharactersWithSpaces>154187</CharactersWithSpaces>
  <Paragraphs>2567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