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95"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60" w:right="24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20" w:right="280" w:hanging="394"/>
        <w:spacing w:after="0" w:line="235"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0-19254</w:t>
      </w:r>
    </w:p>
    <w:p>
      <w:pPr>
        <w:spacing w:after="0" w:line="19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1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__________________________</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00" w:type="dxa"/>
            <w:vAlign w:val="bottom"/>
          </w:tcPr>
          <w:p>
            <w:pPr>
              <w:jc w:val="center"/>
              <w:ind w:left="2221"/>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tcPr>
          <w:p>
            <w:pPr>
              <w:jc w:val="center"/>
              <w:ind w:right="2162"/>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44"/>
        </w:trPr>
        <w:tc>
          <w:tcPr>
            <w:tcW w:w="7820" w:type="dxa"/>
            <w:vAlign w:val="bottom"/>
            <w:gridSpan w:val="6"/>
          </w:tcPr>
          <w:p>
            <w:pPr>
              <w:jc w:val="center"/>
              <w:ind w:right="2220"/>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right="2142"/>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820" w:type="dxa"/>
            <w:vAlign w:val="bottom"/>
            <w:gridSpan w:val="6"/>
          </w:tcPr>
          <w:p>
            <w:pPr>
              <w:jc w:val="center"/>
              <w:ind w:right="2220"/>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right="2142"/>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85"/>
        </w:trPr>
        <w:tc>
          <w:tcPr>
            <w:tcW w:w="3300" w:type="dxa"/>
            <w:vAlign w:val="bottom"/>
          </w:tcPr>
          <w:p>
            <w:pPr>
              <w:spacing w:after="0"/>
              <w:rPr>
                <w:sz w:val="24"/>
                <w:szCs w:val="24"/>
                <w:color w:val="auto"/>
              </w:rPr>
            </w:pPr>
          </w:p>
        </w:tc>
        <w:tc>
          <w:tcPr>
            <w:tcW w:w="452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41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(516) 683-6000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300" w:type="dxa"/>
            <w:vAlign w:val="bottom"/>
          </w:tcPr>
          <w:p>
            <w:pPr>
              <w:spacing w:after="0"/>
              <w:rPr>
                <w:sz w:val="24"/>
                <w:szCs w:val="24"/>
                <w:color w:val="auto"/>
              </w:rPr>
            </w:pPr>
          </w:p>
        </w:tc>
        <w:tc>
          <w:tcPr>
            <w:tcW w:w="41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__________________________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00" w:type="dxa"/>
            <w:vAlign w:val="bottom"/>
          </w:tcPr>
          <w:p>
            <w:pPr>
              <w:spacing w:after="0"/>
              <w:rPr>
                <w:sz w:val="24"/>
                <w:szCs w:val="24"/>
                <w:color w:val="auto"/>
              </w:rPr>
            </w:pPr>
          </w:p>
        </w:tc>
        <w:tc>
          <w:tcPr>
            <w:tcW w:w="452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00" w:type="dxa"/>
            <w:vAlign w:val="bottom"/>
            <w:vMerge w:val="restart"/>
          </w:tcPr>
          <w:p>
            <w:pPr>
              <w:jc w:val="center"/>
              <w:ind w:left="301"/>
              <w:spacing w:after="0"/>
              <w:rPr>
                <w:sz w:val="20"/>
                <w:szCs w:val="20"/>
                <w:color w:val="auto"/>
              </w:rPr>
            </w:pPr>
            <w:r>
              <w:rPr>
                <w:rFonts w:ascii="Arial" w:cs="Arial" w:eastAsia="Arial" w:hAnsi="Arial"/>
                <w:sz w:val="14"/>
                <w:szCs w:val="14"/>
                <w:b w:val="1"/>
                <w:bCs w:val="1"/>
                <w:color w:val="auto"/>
                <w:w w:val="89"/>
              </w:rPr>
              <w:t>Title of each class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Trading</w:t>
            </w:r>
          </w:p>
        </w:tc>
        <w:tc>
          <w:tcPr>
            <w:tcW w:w="3380" w:type="dxa"/>
            <w:vAlign w:val="bottom"/>
          </w:tcPr>
          <w:p>
            <w:pPr>
              <w:jc w:val="center"/>
              <w:ind w:right="222"/>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Symbol(s)</w:t>
            </w:r>
          </w:p>
        </w:tc>
        <w:tc>
          <w:tcPr>
            <w:tcW w:w="3380" w:type="dxa"/>
            <w:vAlign w:val="bottom"/>
          </w:tcPr>
          <w:p>
            <w:pPr>
              <w:jc w:val="center"/>
              <w:ind w:right="222"/>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300" w:type="dxa"/>
            <w:vAlign w:val="bottom"/>
            <w:tcBorders>
              <w:top w:val="single" w:sz="8" w:color="auto"/>
            </w:tcBorders>
          </w:tcPr>
          <w:p>
            <w:pPr>
              <w:jc w:val="center"/>
              <w:ind w:left="301"/>
              <w:spacing w:after="0"/>
              <w:rPr>
                <w:sz w:val="20"/>
                <w:szCs w:val="20"/>
                <w:color w:val="auto"/>
              </w:rPr>
            </w:pPr>
            <w:r>
              <w:rPr>
                <w:rFonts w:ascii="Arial" w:cs="Arial" w:eastAsia="Arial" w:hAnsi="Arial"/>
                <w:sz w:val="18"/>
                <w:szCs w:val="18"/>
                <w:b w:val="1"/>
                <w:bCs w:val="1"/>
                <w:color w:val="auto"/>
                <w:w w:val="90"/>
              </w:rPr>
              <w:t>Common Stock, $.01 par value</w:t>
            </w: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LCUT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380" w:type="dxa"/>
            <w:vAlign w:val="bottom"/>
            <w:tcBorders>
              <w:top w:val="single" w:sz="8" w:color="auto"/>
            </w:tcBorders>
          </w:tcPr>
          <w:p>
            <w:pPr>
              <w:jc w:val="center"/>
              <w:ind w:right="222"/>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3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1"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April 30, 2021 was 21,979,942.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233" w:right="379" w:bottom="3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624840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MARCH 31, 2021</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INDEX</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9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00" w:type="dxa"/>
            <w:vAlign w:val="bottom"/>
            <w:gridSpan w:val="13"/>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700" w:type="dxa"/>
            <w:vAlign w:val="bottom"/>
            <w:tcBorders>
              <w:top w:val="single" w:sz="8" w:color="0000FF"/>
            </w:tcBorders>
            <w:gridSpan w:val="5"/>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Financial Statements</w:t>
              </w:r>
            </w:hyperlink>
          </w:p>
        </w:tc>
        <w:tc>
          <w:tcPr>
            <w:tcW w:w="7500" w:type="dxa"/>
            <w:vAlign w:val="bottom"/>
            <w:gridSpan w:val="8"/>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 </w:t>
              </w:r>
            </w:hyperlink>
            <w:r>
              <w:rPr>
                <w:rFonts w:ascii="Arial" w:cs="Arial" w:eastAsia="Arial" w:hAnsi="Arial"/>
                <w:sz w:val="18"/>
                <w:szCs w:val="18"/>
                <w:color w:val="0000FF"/>
              </w:rPr>
              <w:t xml:space="preserve">March 31, 2021 </w:t>
            </w:r>
            <w:hyperlink w:anchor="page4">
              <w:r>
                <w:rPr>
                  <w:rFonts w:ascii="Arial" w:cs="Arial" w:eastAsia="Arial" w:hAnsi="Arial"/>
                  <w:sz w:val="18"/>
                  <w:szCs w:val="18"/>
                  <w:color w:val="0000FF"/>
                </w:rPr>
                <w:t xml:space="preserve">(unaudited) and </w:t>
              </w:r>
            </w:hyperlink>
            <w:r>
              <w:rPr>
                <w:rFonts w:ascii="Arial" w:cs="Arial" w:eastAsia="Arial" w:hAnsi="Arial"/>
                <w:sz w:val="18"/>
                <w:szCs w:val="18"/>
                <w:color w:val="0000FF"/>
              </w:rPr>
              <w:t>December 31, 2020</w:t>
            </w:r>
          </w:p>
        </w:tc>
        <w:tc>
          <w:tcPr>
            <w:tcW w:w="9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40" w:type="dxa"/>
            <w:vAlign w:val="bottom"/>
            <w:gridSpan w:val="11"/>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Operations (unaudited) – </w:t>
              </w:r>
            </w:hyperlink>
            <w:r>
              <w:rPr>
                <w:rFonts w:ascii="Arial" w:cs="Arial" w:eastAsia="Arial" w:hAnsi="Arial"/>
                <w:sz w:val="18"/>
                <w:szCs w:val="18"/>
                <w:color w:val="0000FF"/>
                <w:w w:val="89"/>
              </w:rPr>
              <w:t xml:space="preserve">Three Months Ended March 31, 2021 </w:t>
            </w:r>
            <w:hyperlink w:anchor="page4">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2020</w:t>
            </w:r>
          </w:p>
        </w:tc>
        <w:tc>
          <w:tcPr>
            <w:tcW w:w="1060" w:type="dxa"/>
            <w:vAlign w:val="bottom"/>
            <w:gridSpan w:val="2"/>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gridSpan w:val="13"/>
          </w:tcPr>
          <w:p>
            <w:pPr>
              <w:spacing w:after="0"/>
              <w:rPr>
                <w:rFonts w:ascii="Arial" w:cs="Arial" w:eastAsia="Arial" w:hAnsi="Arial"/>
                <w:sz w:val="18"/>
                <w:szCs w:val="18"/>
                <w:color w:val="0000FF"/>
                <w:w w:val="94"/>
              </w:rPr>
            </w:pPr>
            <w:hyperlink w:anchor="page5">
              <w:r>
                <w:rPr>
                  <w:rFonts w:ascii="Arial" w:cs="Arial" w:eastAsia="Arial" w:hAnsi="Arial"/>
                  <w:sz w:val="18"/>
                  <w:szCs w:val="18"/>
                  <w:color w:val="0000FF"/>
                  <w:w w:val="94"/>
                </w:rPr>
                <w:t xml:space="preserve">Condensed Consolidated Statements of Comprehensive </w:t>
              </w:r>
            </w:hyperlink>
            <w:r>
              <w:rPr>
                <w:rFonts w:ascii="Arial" w:cs="Arial" w:eastAsia="Arial" w:hAnsi="Arial"/>
                <w:sz w:val="18"/>
                <w:szCs w:val="18"/>
                <w:color w:val="0000FF"/>
                <w:w w:val="94"/>
              </w:rPr>
              <w:t xml:space="preserve">Income (loss) </w:t>
            </w:r>
            <w:hyperlink w:anchor="page5">
              <w:r>
                <w:rPr>
                  <w:rFonts w:ascii="Arial" w:cs="Arial" w:eastAsia="Arial" w:hAnsi="Arial"/>
                  <w:sz w:val="18"/>
                  <w:szCs w:val="18"/>
                  <w:color w:val="0000FF"/>
                  <w:w w:val="94"/>
                </w:rPr>
                <w:t xml:space="preserve">(unaudited) – </w:t>
              </w:r>
            </w:hyperlink>
            <w:r>
              <w:rPr>
                <w:rFonts w:ascii="Arial" w:cs="Arial" w:eastAsia="Arial" w:hAnsi="Arial"/>
                <w:sz w:val="18"/>
                <w:szCs w:val="18"/>
                <w:color w:val="0000FF"/>
                <w:w w:val="94"/>
              </w:rPr>
              <w:t>Three Months Ended March 31, 2021</w:t>
            </w:r>
          </w:p>
        </w:tc>
        <w:tc>
          <w:tcPr>
            <w:tcW w:w="90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7"/>
              </w:rPr>
              <w:t>and 2020</w:t>
            </w:r>
          </w:p>
        </w:tc>
        <w:tc>
          <w:tcPr>
            <w:tcW w:w="8140" w:type="dxa"/>
            <w:vAlign w:val="bottom"/>
            <w:tcBorders>
              <w:top w:val="single" w:sz="8" w:color="0000FF"/>
            </w:tcBorders>
            <w:gridSpan w:val="10"/>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gridSpan w:val="13"/>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 xml:space="preserve">Condensed Consolidated Statements of Stockholders’ Equity (unaudited) </w:t>
              </w:r>
            </w:hyperlink>
            <w:r>
              <w:rPr>
                <w:rFonts w:ascii="Arial" w:cs="Arial" w:eastAsia="Arial" w:hAnsi="Arial"/>
                <w:sz w:val="18"/>
                <w:szCs w:val="18"/>
                <w:color w:val="0000FF"/>
                <w:w w:val="94"/>
              </w:rPr>
              <w:t>–Three Months Ended March 31, 2021 and 2020</w:t>
            </w:r>
          </w:p>
        </w:tc>
        <w:tc>
          <w:tcPr>
            <w:tcW w:w="9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40" w:type="dxa"/>
            <w:vAlign w:val="bottom"/>
            <w:gridSpan w:val="11"/>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 xml:space="preserve">Condensed Consolidated Statements of Cash Flows (unaudited) – </w:t>
              </w:r>
            </w:hyperlink>
            <w:r>
              <w:rPr>
                <w:rFonts w:ascii="Arial" w:cs="Arial" w:eastAsia="Arial" w:hAnsi="Arial"/>
                <w:sz w:val="18"/>
                <w:szCs w:val="18"/>
                <w:color w:val="0000FF"/>
                <w:w w:val="88"/>
              </w:rPr>
              <w:t>Three Months Ended March 31, 2021 and 2020</w:t>
            </w: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80" w:type="dxa"/>
            <w:vAlign w:val="bottom"/>
            <w:gridSpan w:val="8"/>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Condensed Consolidated Financial Statements (unaudited)</w:t>
              </w:r>
            </w:hyperlink>
          </w:p>
        </w:tc>
        <w:tc>
          <w:tcPr>
            <w:tcW w:w="3260" w:type="dxa"/>
            <w:vAlign w:val="bottom"/>
            <w:gridSpan w:val="3"/>
          </w:tcPr>
          <w:p>
            <w:pPr>
              <w:spacing w:after="0"/>
              <w:rPr>
                <w:sz w:val="22"/>
                <w:szCs w:val="22"/>
                <w:color w:val="auto"/>
              </w:rPr>
            </w:pPr>
          </w:p>
        </w:tc>
        <w:tc>
          <w:tcPr>
            <w:tcW w:w="1060" w:type="dxa"/>
            <w:vAlign w:val="bottom"/>
            <w:gridSpan w:val="2"/>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2740" w:type="dxa"/>
            <w:vAlign w:val="bottom"/>
            <w:gridSpan w:val="4"/>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Controls and Procedures</w:t>
              </w:r>
            </w:hyperlink>
          </w:p>
        </w:tc>
        <w:tc>
          <w:tcPr>
            <w:tcW w:w="2580" w:type="dxa"/>
            <w:vAlign w:val="bottom"/>
            <w:tcBorders>
              <w:top w:val="single" w:sz="8" w:color="0000FF"/>
            </w:tcBorders>
          </w:tcPr>
          <w:p>
            <w:pPr>
              <w:spacing w:after="0"/>
              <w:rPr>
                <w:sz w:val="22"/>
                <w:szCs w:val="22"/>
                <w:color w:val="auto"/>
              </w:rPr>
            </w:pPr>
          </w:p>
        </w:tc>
        <w:tc>
          <w:tcPr>
            <w:tcW w:w="4840" w:type="dxa"/>
            <w:vAlign w:val="bottom"/>
            <w:gridSpan w:val="6"/>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00" w:type="dxa"/>
            <w:vAlign w:val="bottom"/>
            <w:gridSpan w:val="13"/>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Other Information</w:t>
              </w:r>
            </w:hyperlink>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Legal Proceedings</w:t>
              </w:r>
            </w:hyperlink>
          </w:p>
        </w:tc>
        <w:tc>
          <w:tcPr>
            <w:tcW w:w="160" w:type="dxa"/>
            <w:vAlign w:val="bottom"/>
            <w:tcBorders>
              <w:top w:val="single" w:sz="8" w:color="0000FF"/>
            </w:tcBorders>
          </w:tcPr>
          <w:p>
            <w:pPr>
              <w:spacing w:after="0"/>
              <w:rPr>
                <w:sz w:val="22"/>
                <w:szCs w:val="22"/>
                <w:color w:val="auto"/>
              </w:rPr>
            </w:pPr>
          </w:p>
        </w:tc>
        <w:tc>
          <w:tcPr>
            <w:tcW w:w="7700" w:type="dxa"/>
            <w:vAlign w:val="bottom"/>
            <w:gridSpan w:val="9"/>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4840" w:type="dxa"/>
            <w:vAlign w:val="bottom"/>
            <w:gridSpan w:val="6"/>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1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90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4024630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0"/>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2"/>
              <w:spacing w:after="0"/>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w w:val="95"/>
              </w:rPr>
              <w:t>Accounts receivable, less allowances of $18,333 at March 31, 2021 and $17,013 at December 31, 2020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170,037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23,120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244,025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807,481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Current maturity of term loan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17,657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80,050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180,070</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16,483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LONG-TERM</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102,355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238,977</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89"/>
              </w:rPr>
              <w:t>Preferred stock, $1.00 par value, shares authorized: 100 shares of Series A and 2,000,000 shares of Series</w:t>
            </w: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 none issued and outstanding</w:t>
            </w: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520"/>
              <w:spacing w:after="0" w:line="176" w:lineRule="exact"/>
              <w:rPr>
                <w:sz w:val="20"/>
                <w:szCs w:val="20"/>
                <w:color w:val="auto"/>
              </w:rPr>
            </w:pPr>
            <w:r>
              <w:rPr>
                <w:rFonts w:ascii="Arial" w:cs="Arial" w:eastAsia="Arial" w:hAnsi="Arial"/>
                <w:sz w:val="18"/>
                <w:szCs w:val="18"/>
                <w:color w:val="auto"/>
                <w:w w:val="95"/>
              </w:rPr>
              <w:t>Common stock, $0.01 par value, shares authorized: 50,000,000 at March 31, 2021 and December 31,</w:t>
            </w: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8240" w:type="dxa"/>
            <w:vAlign w:val="bottom"/>
          </w:tcPr>
          <w:p>
            <w:pPr>
              <w:ind w:left="520"/>
              <w:spacing w:after="0"/>
              <w:rPr>
                <w:sz w:val="20"/>
                <w:szCs w:val="20"/>
                <w:color w:val="auto"/>
              </w:rPr>
            </w:pPr>
            <w:r>
              <w:rPr>
                <w:rFonts w:ascii="Arial" w:cs="Arial" w:eastAsia="Arial" w:hAnsi="Arial"/>
                <w:sz w:val="18"/>
                <w:szCs w:val="18"/>
                <w:color w:val="auto"/>
                <w:w w:val="89"/>
              </w:rPr>
              <w:t>2020; shares issued and outstanding: 21,979,942 at March 31, 2021 and 21,755,195 at December 31, 2020</w:t>
            </w: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268,666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230,136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807,481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145,070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16,557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 and other impairments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20,100</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to market gain (loss) on interest rate derivatives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Income (loss) before income taxes and equity in (losses)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(32,232)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(losses) earnings, net of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INCOME (LOSS)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(1.36)</w:t>
            </w:r>
          </w:p>
        </w:tc>
      </w:tr>
      <w:tr>
        <w:trPr>
          <w:trHeight w:val="45"/>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8"/>
        </w:trPr>
        <w:tc>
          <w:tcPr>
            <w:tcW w:w="824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DILUTED INCOME (LOSS) PER COMMON SHARE</w:t>
            </w:r>
          </w:p>
        </w:tc>
        <w:tc>
          <w:tcPr>
            <w:tcW w:w="340" w:type="dxa"/>
            <w:vAlign w:val="bottom"/>
            <w:tcBorders>
              <w:top w:val="single" w:sz="8" w:color="auto"/>
              <w:bottom w:val="single" w:sz="8" w:color="auto"/>
            </w:tcBorders>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auto"/>
            </w:tcBorders>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Three Months Ended</w:t>
      </w:r>
    </w:p>
    <w:p>
      <w:pPr>
        <w:jc w:val="center"/>
        <w:ind w:left="81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adjustment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Net change in cash flow hedges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(2,877)</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retirement benefit obligations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 other</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3"/>
                <w:szCs w:val="3"/>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8"/>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loss</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21,755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268,666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(39,172)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230,136</w:t>
            </w:r>
          </w:p>
        </w:tc>
        <w:tc>
          <w:tcPr>
            <w:tcW w:w="0" w:type="dxa"/>
            <w:vAlign w:val="bottom"/>
          </w:tcPr>
          <w:p>
            <w:pPr>
              <w:spacing w:after="0"/>
              <w:rPr>
                <w:sz w:val="1"/>
                <w:szCs w:val="1"/>
                <w:color w:val="auto"/>
              </w:rPr>
            </w:pPr>
          </w:p>
        </w:tc>
      </w:tr>
      <w:tr>
        <w:trPr>
          <w:trHeight w:val="186"/>
        </w:trPr>
        <w:tc>
          <w:tcPr>
            <w:tcW w:w="378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86"/>
        </w:trPr>
        <w:tc>
          <w:tcPr>
            <w:tcW w:w="3780" w:type="dxa"/>
            <w:vAlign w:val="bottom"/>
            <w:gridSpan w:val="2"/>
          </w:tcPr>
          <w:p>
            <w:pPr>
              <w:ind w:left="200"/>
              <w:spacing w:after="0"/>
              <w:rPr>
                <w:sz w:val="20"/>
                <w:szCs w:val="20"/>
                <w:color w:val="auto"/>
              </w:rPr>
            </w:pPr>
            <w:r>
              <w:rPr>
                <w:rFonts w:ascii="Arial" w:cs="Arial" w:eastAsia="Arial" w:hAnsi="Arial"/>
                <w:sz w:val="14"/>
                <w:szCs w:val="14"/>
                <w:color w:val="auto"/>
              </w:rPr>
              <w:t>Translation adjustment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change in cash flow hedges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6"/>
        </w:trPr>
        <w:tc>
          <w:tcPr>
            <w:tcW w:w="37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Effect of retirement benefit obligations</w:t>
            </w:r>
          </w:p>
        </w:tc>
        <w:tc>
          <w:tcPr>
            <w:tcW w:w="10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3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comprehensive income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4,750</w:t>
            </w:r>
          </w:p>
        </w:tc>
        <w:tc>
          <w:tcPr>
            <w:tcW w:w="0" w:type="dxa"/>
            <w:vAlign w:val="bottom"/>
          </w:tcPr>
          <w:p>
            <w:pPr>
              <w:spacing w:after="0"/>
              <w:rPr>
                <w:sz w:val="1"/>
                <w:szCs w:val="1"/>
                <w:color w:val="auto"/>
              </w:rPr>
            </w:pPr>
          </w:p>
        </w:tc>
      </w:tr>
      <w:tr>
        <w:trPr>
          <w:trHeight w:val="179"/>
        </w:trPr>
        <w:tc>
          <w:tcPr>
            <w:tcW w:w="3780" w:type="dxa"/>
            <w:vAlign w:val="bottom"/>
            <w:gridSpan w:val="2"/>
          </w:tcPr>
          <w:p>
            <w:pPr>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80" w:type="dxa"/>
            <w:vAlign w:val="bottom"/>
            <w:gridSpan w:val="2"/>
          </w:tcPr>
          <w:p>
            <w:pPr>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6"/>
        </w:trPr>
        <w:tc>
          <w:tcPr>
            <w:tcW w:w="3780" w:type="dxa"/>
            <w:vAlign w:val="bottom"/>
            <w:gridSpan w:val="2"/>
          </w:tcPr>
          <w:p>
            <w:pPr>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CEEFF"/>
          </w:tcPr>
          <w:p>
            <w:pPr>
              <w:spacing w:after="0" w:line="193"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83"/>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2021</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21,980</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268,127</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(37,489)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233,406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7"/>
                <w:szCs w:val="17"/>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60" w:type="dxa"/>
            <w:vAlign w:val="bottom"/>
          </w:tcPr>
          <w:p>
            <w:pPr>
              <w:spacing w:after="0"/>
              <w:rPr>
                <w:sz w:val="11"/>
                <w:szCs w:val="11"/>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 deficit)</w:t>
            </w: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263,386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7,173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(34,455)</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236,317</w:t>
            </w:r>
          </w:p>
        </w:tc>
        <w:tc>
          <w:tcPr>
            <w:tcW w:w="0" w:type="dxa"/>
            <w:vAlign w:val="bottom"/>
          </w:tcPr>
          <w:p>
            <w:pPr>
              <w:spacing w:after="0"/>
              <w:rPr>
                <w:sz w:val="1"/>
                <w:szCs w:val="1"/>
                <w:color w:val="auto"/>
              </w:rPr>
            </w:pPr>
          </w:p>
        </w:tc>
      </w:tr>
      <w:tr>
        <w:trPr>
          <w:trHeight w:val="186"/>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Comprehensive (loss) income:</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(28,164)</w:t>
            </w:r>
          </w:p>
        </w:tc>
        <w:tc>
          <w:tcPr>
            <w:tcW w:w="0" w:type="dxa"/>
            <w:vAlign w:val="bottom"/>
          </w:tcPr>
          <w:p>
            <w:pPr>
              <w:spacing w:after="0"/>
              <w:rPr>
                <w:sz w:val="1"/>
                <w:szCs w:val="1"/>
                <w:color w:val="auto"/>
              </w:rPr>
            </w:pPr>
          </w:p>
        </w:tc>
      </w:tr>
      <w:tr>
        <w:trPr>
          <w:trHeight w:val="186"/>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Translation adjustment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(4,458)</w:t>
            </w: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change in cash flow hedges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186"/>
        </w:trPr>
        <w:tc>
          <w:tcPr>
            <w:tcW w:w="3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0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ind w:left="1180"/>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3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Total comprehensive loss</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(35,479)</w:t>
            </w:r>
          </w:p>
        </w:tc>
        <w:tc>
          <w:tcPr>
            <w:tcW w:w="0" w:type="dxa"/>
            <w:vAlign w:val="bottom"/>
          </w:tcPr>
          <w:p>
            <w:pPr>
              <w:spacing w:after="0"/>
              <w:rPr>
                <w:sz w:val="1"/>
                <w:szCs w:val="1"/>
                <w:color w:val="auto"/>
              </w:rPr>
            </w:pPr>
          </w:p>
        </w:tc>
      </w:tr>
      <w:tr>
        <w:trPr>
          <w:trHeight w:val="179"/>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Net issuance of restricted shares granted to employees and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38"/>
        </w:trPr>
        <w:tc>
          <w:tcPr>
            <w:tcW w:w="3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21,486</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2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264,405</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(21,923)</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(41,770)</w:t>
            </w: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200,927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Cash dividends declared per share of common stock were $0.0425 and $0.0425 in the three months ended March 31, 2021 and 2020, respectively.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7160" w:type="dxa"/>
            <w:vAlign w:val="bottom"/>
          </w:tcPr>
          <w:p>
            <w:pPr>
              <w:jc w:val="center"/>
              <w:ind w:left="1430"/>
              <w:spacing w:after="0"/>
              <w:rPr>
                <w:sz w:val="20"/>
                <w:szCs w:val="20"/>
                <w:color w:val="auto"/>
              </w:rPr>
            </w:pPr>
            <w:r>
              <w:rPr>
                <w:rFonts w:ascii="Arial" w:cs="Arial" w:eastAsia="Arial" w:hAnsi="Arial"/>
                <w:sz w:val="18"/>
                <w:szCs w:val="18"/>
                <w:b w:val="1"/>
                <w:bCs w:val="1"/>
                <w:color w:val="auto"/>
              </w:rPr>
              <w:t>LIFETIME BRANDS,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160" w:type="dxa"/>
            <w:vAlign w:val="bottom"/>
          </w:tcPr>
          <w:p>
            <w:pPr>
              <w:jc w:val="center"/>
              <w:ind w:left="14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7160" w:type="dxa"/>
            <w:vAlign w:val="bottom"/>
          </w:tcPr>
          <w:p>
            <w:pPr>
              <w:jc w:val="center"/>
              <w:ind w:left="1430"/>
              <w:spacing w:after="0"/>
              <w:rPr>
                <w:sz w:val="20"/>
                <w:szCs w:val="20"/>
                <w:color w:val="auto"/>
              </w:rPr>
            </w:pPr>
            <w:r>
              <w:rPr>
                <w:rFonts w:ascii="Arial" w:cs="Arial" w:eastAsia="Arial" w:hAnsi="Arial"/>
                <w:sz w:val="18"/>
                <w:szCs w:val="18"/>
                <w:color w:val="auto"/>
                <w:w w:val="92"/>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3"/>
        </w:trPr>
        <w:tc>
          <w:tcPr>
            <w:tcW w:w="128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right"/>
              <w:ind w:right="470"/>
              <w:spacing w:after="0" w:line="202" w:lineRule="exact"/>
              <w:rPr>
                <w:sz w:val="20"/>
                <w:szCs w:val="20"/>
                <w:color w:val="auto"/>
              </w:rPr>
            </w:pPr>
            <w:r>
              <w:rPr>
                <w:rFonts w:ascii="Arial" w:cs="Arial" w:eastAsia="Arial" w:hAnsi="Arial"/>
                <w:sz w:val="18"/>
                <w:szCs w:val="18"/>
                <w:b w:val="1"/>
                <w:bCs w:val="1"/>
                <w:color w:val="auto"/>
              </w:rPr>
              <w:t>Three Months Ended</w:t>
            </w:r>
          </w:p>
        </w:tc>
      </w:tr>
      <w:tr>
        <w:trPr>
          <w:trHeight w:val="229"/>
        </w:trPr>
        <w:tc>
          <w:tcPr>
            <w:tcW w:w="128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19"/>
                <w:szCs w:val="19"/>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(28,164)</w:t>
            </w:r>
          </w:p>
        </w:tc>
      </w:tr>
      <w:tr>
        <w:trPr>
          <w:trHeight w:val="230"/>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6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6,234</w:t>
            </w:r>
          </w:p>
        </w:tc>
      </w:tr>
      <w:tr>
        <w:trPr>
          <w:trHeight w:val="229"/>
        </w:trPr>
        <w:tc>
          <w:tcPr>
            <w:tcW w:w="8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Goodwill and other impairments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w:t>
            </w:r>
          </w:p>
        </w:tc>
      </w:tr>
      <w:tr>
        <w:trPr>
          <w:trHeight w:val="230"/>
        </w:trPr>
        <w:tc>
          <w:tcPr>
            <w:tcW w:w="8440" w:type="dxa"/>
            <w:vAlign w:val="bottom"/>
            <w:gridSpan w:val="2"/>
          </w:tcPr>
          <w:p>
            <w:pPr>
              <w:ind w:left="680"/>
              <w:spacing w:after="0"/>
              <w:rPr>
                <w:sz w:val="20"/>
                <w:szCs w:val="20"/>
                <w:color w:val="auto"/>
              </w:rPr>
            </w:pPr>
            <w:r>
              <w:rPr>
                <w:rFonts w:ascii="Arial" w:cs="Arial" w:eastAsia="Arial" w:hAnsi="Arial"/>
                <w:sz w:val="18"/>
                <w:szCs w:val="18"/>
                <w:color w:val="auto"/>
              </w:rPr>
              <w:t>Amortization of financing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8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Mark to market (gain) loss on interest rate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r>
      <w:tr>
        <w:trPr>
          <w:trHeight w:val="230"/>
        </w:trPr>
        <w:tc>
          <w:tcPr>
            <w:tcW w:w="8440" w:type="dxa"/>
            <w:vAlign w:val="bottom"/>
            <w:gridSpan w:val="2"/>
          </w:tcPr>
          <w:p>
            <w:pPr>
              <w:ind w:left="68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29"/>
        </w:trPr>
        <w:tc>
          <w:tcPr>
            <w:tcW w:w="8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r>
      <w:tr>
        <w:trPr>
          <w:trHeight w:val="229"/>
        </w:trPr>
        <w:tc>
          <w:tcPr>
            <w:tcW w:w="8440" w:type="dxa"/>
            <w:vAlign w:val="bottom"/>
            <w:gridSpan w:val="2"/>
          </w:tcPr>
          <w:p>
            <w:pPr>
              <w:ind w:left="68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30"/>
        </w:trPr>
        <w:tc>
          <w:tcPr>
            <w:tcW w:w="8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Undistributed equity in losses (earnings), net of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43,957</w:t>
            </w:r>
          </w:p>
        </w:tc>
      </w:tr>
      <w:tr>
        <w:trPr>
          <w:trHeight w:val="230"/>
        </w:trPr>
        <w:tc>
          <w:tcPr>
            <w:tcW w:w="8440" w:type="dxa"/>
            <w:vAlign w:val="bottom"/>
            <w:gridSpan w:val="2"/>
          </w:tcPr>
          <w:p>
            <w:pPr>
              <w:ind w:left="6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6,788</w:t>
            </w:r>
          </w:p>
        </w:tc>
      </w:tr>
      <w:tr>
        <w:trPr>
          <w:trHeight w:val="229"/>
        </w:trPr>
        <w:tc>
          <w:tcPr>
            <w:tcW w:w="8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Prepaid expenses, other current assets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8440" w:type="dxa"/>
            <w:vAlign w:val="bottom"/>
            <w:gridSpan w:val="2"/>
          </w:tcPr>
          <w:p>
            <w:pPr>
              <w:ind w:left="68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(18,148)</w:t>
            </w:r>
          </w:p>
        </w:tc>
      </w:tr>
      <w:tr>
        <w:trPr>
          <w:trHeight w:val="229"/>
        </w:trPr>
        <w:tc>
          <w:tcPr>
            <w:tcW w:w="8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29"/>
        </w:trPr>
        <w:tc>
          <w:tcPr>
            <w:tcW w:w="84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33,687</w:t>
            </w: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30"/>
        </w:trPr>
        <w:tc>
          <w:tcPr>
            <w:tcW w:w="84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Acquisition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revolving credit facility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67,115</w:t>
            </w:r>
          </w:p>
        </w:tc>
      </w:tr>
      <w:tr>
        <w:trPr>
          <w:trHeight w:val="230"/>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Repayments of revolving credit facility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(23,436)</w:t>
            </w:r>
          </w:p>
        </w:tc>
      </w:tr>
      <w:tr>
        <w:trPr>
          <w:trHeight w:val="229"/>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Repayments of term loan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Payments for finance lease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 of tax withholding for stock 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23"/>
        </w:trPr>
        <w:tc>
          <w:tcPr>
            <w:tcW w:w="8440" w:type="dxa"/>
            <w:vAlign w:val="bottom"/>
            <w:tcBorders>
              <w:bottom w:val="single" w:sz="8" w:color="CCEEFF"/>
            </w:tcBorders>
            <w:gridSpan w:val="2"/>
          </w:tcPr>
          <w:p>
            <w:pPr>
              <w:ind w:left="10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41,733</w:t>
            </w:r>
          </w:p>
        </w:tc>
      </w:tr>
      <w:tr>
        <w:trPr>
          <w:trHeight w:val="22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foreign exchange on cash</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73,913</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85,283</w:t>
            </w:r>
          </w:p>
        </w:tc>
      </w:tr>
      <w:tr>
        <w:trPr>
          <w:trHeight w:val="20"/>
        </w:trPr>
        <w:tc>
          <w:tcPr>
            <w:tcW w:w="1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140"/>
        <w:spacing w:after="0" w:line="377" w:lineRule="auto"/>
        <w:rPr>
          <w:sz w:val="20"/>
          <w:szCs w:val="20"/>
          <w:color w:val="auto"/>
        </w:rPr>
      </w:pPr>
      <w:r>
        <w:rPr>
          <w:rFonts w:ascii="Arial" w:cs="Arial" w:eastAsia="Arial" w:hAnsi="Arial"/>
          <w:sz w:val="18"/>
          <w:szCs w:val="18"/>
          <w:b w:val="1"/>
          <w:bCs w:val="1"/>
          <w:color w:val="auto"/>
        </w:rPr>
        <w:t>NOTE 1 — BASIS OF PRESENTATION AND SUMMARY OF ACCOUNTING POLICIES Organization and business</w:t>
      </w:r>
    </w:p>
    <w:p>
      <w:pPr>
        <w:spacing w:after="0" w:line="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2020.</w:t>
      </w:r>
    </w:p>
    <w:p>
      <w:pPr>
        <w:spacing w:after="0" w:line="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Operating results for the three months ended March 31, 2021 are not necessarily indicative of the results that may be expected for the year ending December 31, 2021.</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2020 and 2019, net sales for the third and fourth quarters accounted for 62% and 60% of total annual net sales, respectively. In anticipation of the pre-holiday shipping season, inventory levels increase primarily in the June through October time period. The Company's inventory levels at March 31, 2021, did not decrease from the previous two quarters. The higher inventory levels are a result of increased inventory purchases to meet higher expected demand in 2021.</w:t>
      </w:r>
    </w:p>
    <w:p>
      <w:pPr>
        <w:spacing w:after="0" w:line="49"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tooling, and other product procurement 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consist primarily of warehousing expenses and freight-out expenses. Handling costs of products sold are included in cost of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impacts of the COVID-19 pandemic. A considerable amount of judgment is required to assess the ultimate realization of these receivables, including assessing the initial and on-going creditworthiness of the Company’s customers.</w:t>
      </w:r>
    </w:p>
    <w:p>
      <w:pPr>
        <w:spacing w:after="0" w:line="8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Pursuant to this agreement, the Company sold to HSBC $40.6 million and $37.9 million of receivables during the three months ended March 31, 2021 and 2020, respectively. Charges of $0.1 million and $0.2 million related to the sale of the receivables are included in selling, general and administrative expenses in the unaudited condensed consolidated statements of operations for the three months ended March 31, 2021 and 2020, respectively. At March 31, 2021 and 2020, $25.6 million and $23.2 million, respectively, of receivables sold were outstanding and due to HSBC from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3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194,209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210,265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203,164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7 — DEBT to the unaudited condensed consolidated financial statements included in this Quarterly Report on Form 10-Q) approximate fair value since such borrowings bear interest at variable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("ASC 815")</w:t>
      </w:r>
      <w:r>
        <w:rPr>
          <w:rFonts w:ascii="Arial" w:cs="Arial" w:eastAsia="Arial" w:hAnsi="Arial"/>
          <w:sz w:val="17"/>
          <w:szCs w:val="17"/>
          <w:color w:val="auto"/>
        </w:rPr>
        <w:t>. ASC 815 requires that all derivative instruments be recognized on the balance sheet at fair value as either an asset or liability.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is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7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6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6 —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spacing w:after="0" w:line="8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5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communication date for severance. Charges associated with lease terminations, related to restructuring activities, are recognized at the effective date of the lease modification.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and 2020, the Company did not incur any restructuring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January 1, 2021, the Company adopted ASU 2019-12, Income Taxes (Topic 740): Simplifying the Accounting for Income Taxes, which simplifies the accounting for income taxes by removing certain exceptions to the general principles and simplifies the application of U.S. GAAP for other areas of Topic 740 by clarifying and amending the existing guidance. The adoption did not have a material impact on the Company's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losses. The ASU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Early adoption is permitted. Management is currently evaluating the impact of this standard on its consolidated financial statements and related disclosures.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LIBOR or another reference rate that is expected to be discontinued as a result of reference rate reform. The guidance in the ASU may be applied to contract modifications and hedging relationships as of any date from March 12, 2020 but no later than December 31, 2022 and should be applied on a prospective basis. The Company has not yet applied the guidance in this ASU and is currently evaluating the impact of this standard on its consolidated financial statements and related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$0.7 million for the three months ended March 31, 2021 and 2020. Net sales exclude taxes that are collected from customers and remitted to the taxing authorities.</w:t>
      </w:r>
    </w:p>
    <w:p>
      <w:pPr>
        <w:spacing w:after="0" w:line="5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Payment terms vary by customer, but generally range from 30 to 90 days or at the point of sale for the Company’s retail direct sales.</w:t>
      </w:r>
    </w:p>
    <w:p>
      <w:pPr>
        <w:spacing w:after="0" w:line="69"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Company’s net sales disaggregated by segment, product category and geographic region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119,995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79,274</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Home Solutions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26,290</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U.S. segment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129,208</w:t>
            </w: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15,862</w:t>
            </w:r>
          </w:p>
        </w:tc>
      </w:tr>
      <w:tr>
        <w:trPr>
          <w:trHeight w:val="223"/>
        </w:trPr>
        <w:tc>
          <w:tcPr>
            <w:tcW w:w="8240" w:type="dxa"/>
            <w:vAlign w:val="bottom"/>
          </w:tcPr>
          <w:p>
            <w:pPr>
              <w:ind w:left="100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195,653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145,070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170,768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124,727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11,244</w:t>
            </w:r>
          </w:p>
        </w:tc>
      </w:tr>
      <w:tr>
        <w:trPr>
          <w:trHeight w:val="248"/>
        </w:trPr>
        <w:tc>
          <w:tcPr>
            <w:tcW w:w="82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26, 2021, the Company acquired the business and certain assets of Year &amp; Day, a designer and distributor of ceramic dinnerware, stainless steel flatware and Italian glassware, for cash in the amount of $0.2 million. The assets and operating results of the Year &amp; Day brand are reflected in the Company’s condensed consolidated financial statements in accordance with ASC Topic No. 805, Business Combinations, commencing from the acquisition date. The purchase price was allocated based on the Company’s preliminary estimate of the fair values of the assets acquired which consistent of inventory $0.3 million and liabilities assumed of $0.1 million. The Year &amp; Day acquisition did not have a material impact on the Company's consolidated statement of operations for the three months ended March 31,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operating leases for corporate offices, distribution facilities, manufacturing plants, and certain vehicles.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March 31, 2021 and 2020 were as follows (in thousands):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color w:val="auto"/>
              </w:rPr>
              <w:t>Operating lease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Fixed lease expense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4,495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Expenses are recorded within distribution expenses and selling, general and administrative expenses on the unaudited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20"/>
        <w:spacing w:after="0" w:line="269" w:lineRule="auto"/>
        <w:rPr>
          <w:sz w:val="20"/>
          <w:szCs w:val="20"/>
          <w:color w:val="auto"/>
        </w:rPr>
      </w:pPr>
      <w:r>
        <w:rPr>
          <w:rFonts w:ascii="Arial" w:cs="Arial" w:eastAsia="Arial" w:hAnsi="Arial"/>
          <w:sz w:val="18"/>
          <w:szCs w:val="18"/>
          <w:color w:val="auto"/>
        </w:rPr>
        <w:t>Supplemental cash flow information for lease related liabilities and assets for the three months ended March 31, 2021 and 2020 were as follows (in thousands):</w:t>
      </w:r>
    </w:p>
    <w:p>
      <w:pPr>
        <w:jc w:val="center"/>
        <w:ind w:left="820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900" w:type="dxa"/>
            <w:vAlign w:val="bottom"/>
          </w:tcPr>
          <w:p>
            <w:pPr>
              <w:jc w:val="right"/>
              <w:ind w:right="701"/>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4,904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4,112</w:t>
            </w:r>
          </w:p>
        </w:tc>
      </w:tr>
      <w:tr>
        <w:trPr>
          <w:trHeight w:val="728"/>
        </w:trPr>
        <w:tc>
          <w:tcPr>
            <w:tcW w:w="8240" w:type="dxa"/>
            <w:vAlign w:val="bottom"/>
          </w:tcPr>
          <w:p>
            <w:pPr>
              <w:spacing w:after="0"/>
              <w:rPr>
                <w:sz w:val="24"/>
                <w:szCs w:val="24"/>
                <w:color w:val="auto"/>
              </w:rPr>
            </w:pPr>
          </w:p>
        </w:tc>
        <w:tc>
          <w:tcPr>
            <w:tcW w:w="2980" w:type="dxa"/>
            <w:vAlign w:val="bottom"/>
            <w:gridSpan w:val="5"/>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8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900" w:type="dxa"/>
            <w:vAlign w:val="bottom"/>
          </w:tcPr>
          <w:p>
            <w:pPr>
              <w:jc w:val="right"/>
              <w:ind w:right="701"/>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431"/>
        </w:trPr>
        <w:tc>
          <w:tcPr>
            <w:tcW w:w="8240" w:type="dxa"/>
            <w:vAlign w:val="bottom"/>
          </w:tcPr>
          <w:p>
            <w:pPr>
              <w:spacing w:after="0"/>
              <w:rPr>
                <w:sz w:val="20"/>
                <w:szCs w:val="20"/>
                <w:color w:val="auto"/>
              </w:rPr>
            </w:pPr>
            <w:r>
              <w:rPr>
                <w:rFonts w:ascii="Arial" w:cs="Arial" w:eastAsia="Arial" w:hAnsi="Arial"/>
                <w:sz w:val="18"/>
                <w:szCs w:val="18"/>
                <w:color w:val="auto"/>
                <w:w w:val="92"/>
              </w:rPr>
              <w:t>The aggregate future lease payments for operating leases as of March 31, 2021 were as follows (in thousands):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3"/>
        </w:trPr>
        <w:tc>
          <w:tcPr>
            <w:tcW w:w="82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4"/>
              </w:rPr>
              <w:t>Operating</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three months ending March 31, 2021)</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18,394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18,098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2026</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38,912</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143,426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112,490</w:t>
            </w:r>
          </w:p>
        </w:tc>
      </w:tr>
      <w:tr>
        <w:trPr>
          <w:trHeight w:val="21"/>
        </w:trPr>
        <w:tc>
          <w:tcPr>
            <w:tcW w:w="8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At March 31, 2021, the deferred rent payments received for COVID-19 relief, were $0.2 million and were recorded in accrued expenses in the unaudited condensed consolidated balance sheet at March 31, 2021. These deferred rent payments are due in 2021, per the updated terms of the applicable lease agreements.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Average lease terms and discount rates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March 31, 2021</w:t>
            </w:r>
          </w:p>
        </w:tc>
      </w:tr>
      <w:tr>
        <w:trPr>
          <w:trHeight w:val="215"/>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580" w:type="dxa"/>
            <w:vAlign w:val="bottom"/>
            <w:shd w:val="clear" w:color="auto" w:fill="CCEEFF"/>
          </w:tcPr>
          <w:p>
            <w:pPr>
              <w:spacing w:after="0"/>
              <w:rPr>
                <w:sz w:val="18"/>
                <w:szCs w:val="18"/>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and 2020 in the accompanying unaudited condensed consolidated statements of operations.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20.51 and MXN 19.88 at March 31, 2021 and December 31,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proportionate share of Vasconia's net (loss) income has been translated from MXN to USD using the following exchange rates:</w:t>
      </w:r>
    </w:p>
    <w:p>
      <w:pPr>
        <w:spacing w:after="0" w:line="25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20"/>
        <w:spacing w:after="0"/>
        <w:tabs>
          <w:tab w:leader="none" w:pos="103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38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exchange rate (USD to MXN)</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top w:val="single" w:sz="8" w:color="CCEEFF"/>
            </w:tcBorders>
            <w:shd w:val="clear" w:color="auto" w:fill="CCEEFF"/>
          </w:tcPr>
          <w:p>
            <w:pPr>
              <w:spacing w:after="0"/>
              <w:rPr>
                <w:sz w:val="24"/>
                <w:szCs w:val="2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an increase to the investment of $1.3 million and a decrease of $(1.5) million during the three months ended March 31, 2021 and 2020, respectively. These translation effects are recorded in accumulated other comprehensive loss.</w:t>
      </w:r>
    </w:p>
    <w:p>
      <w:pPr>
        <w:spacing w:after="0" w:line="76"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color w:val="auto"/>
        </w:rPr>
        <w:t>Summarized income statement information for the three months ended March 31, 2021 and 2020 for Vasconia in USD and MXN is as follows (in thousands):</w:t>
      </w:r>
    </w:p>
    <w:p>
      <w:pPr>
        <w:jc w:val="center"/>
        <w:ind w:left="514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51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top w:val="single" w:sz="8" w:color="auto"/>
              <w:bottom w:val="single" w:sz="8" w:color="auto"/>
            </w:tcBorders>
          </w:tcPr>
          <w:p>
            <w:pPr>
              <w:spacing w:after="0"/>
              <w:rPr>
                <w:sz w:val="16"/>
                <w:szCs w:val="16"/>
                <w:color w:val="auto"/>
              </w:rPr>
            </w:pPr>
          </w:p>
        </w:tc>
      </w:tr>
      <w:tr>
        <w:trPr>
          <w:trHeight w:val="181"/>
        </w:trPr>
        <w:tc>
          <w:tcPr>
            <w:tcW w:w="5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USD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color w:val="auto"/>
              </w:rPr>
              <w:t>MXN</w:t>
            </w:r>
          </w:p>
        </w:tc>
      </w:tr>
      <w:tr>
        <w:trPr>
          <w:trHeight w:val="22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53,606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1,089,817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633,036</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11,958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107,657</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28,303</w:t>
            </w:r>
          </w:p>
        </w:tc>
      </w:tr>
    </w:tbl>
    <w:p>
      <w:pPr>
        <w:spacing w:after="0" w:line="200" w:lineRule="exact"/>
        <w:rPr>
          <w:sz w:val="20"/>
          <w:szCs w:val="20"/>
          <w:color w:val="auto"/>
        </w:rPr>
      </w:pPr>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recorded equity in (losses) eanings of Vasconia, net of taxes, of $(0.2) million and $0.3 million for the three months ended March 31,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the Company's unaudited condensed consolidated balance sheets were the following amounts due to and due from Vasconia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5080" w:type="dxa"/>
            <w:vAlign w:val="bottom"/>
            <w:gridSpan w:val="2"/>
          </w:tcPr>
          <w:p>
            <w:pPr>
              <w:jc w:val="center"/>
              <w:ind w:left="664"/>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1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6"/>
              </w:rPr>
              <w:t>March 31, 2021</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326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tcPr>
          <w:p>
            <w:pPr>
              <w:jc w:val="center"/>
              <w:ind w:left="784"/>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50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5080" w:type="dxa"/>
            <w:vAlign w:val="bottom"/>
            <w:gridSpan w:val="2"/>
          </w:tcPr>
          <w:p>
            <w:pPr>
              <w:ind w:left="860"/>
              <w:spacing w:after="0"/>
              <w:rPr>
                <w:sz w:val="20"/>
                <w:szCs w:val="20"/>
                <w:color w:val="auto"/>
              </w:rPr>
            </w:pPr>
            <w:r>
              <w:rPr>
                <w:rFonts w:ascii="Arial" w:cs="Arial" w:eastAsia="Arial" w:hAnsi="Arial"/>
                <w:sz w:val="16"/>
                <w:szCs w:val="16"/>
                <w:color w:val="auto"/>
              </w:rPr>
              <w:t>Accrued expenses and Accounts payable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As of March 31, 2021 and December 31, 2020, the fair value (based on Level 1 inputs using the quoted stock price) of the Company’s investment in Vasconia was $31.8 million and $32.8 million, respectively. The carrying value of the Company’s investment in Vasconia was $21.1 million and $20.0 million as of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March 31, 2021 and December 31, 2020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2021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9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w w:val="97"/>
              </w:rPr>
              <w:t>Indefinite-lived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Licenses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213"/>
        </w:trPr>
        <w:tc>
          <w:tcPr>
            <w:tcW w:w="2500" w:type="dxa"/>
            <w:vAlign w:val="bottom"/>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31,156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relationships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123,793</w:t>
            </w:r>
          </w:p>
        </w:tc>
        <w:tc>
          <w:tcPr>
            <w:tcW w:w="0" w:type="dxa"/>
            <w:vAlign w:val="bottom"/>
          </w:tcPr>
          <w:p>
            <w:pPr>
              <w:spacing w:after="0"/>
              <w:rPr>
                <w:sz w:val="1"/>
                <w:szCs w:val="1"/>
                <w:color w:val="auto"/>
              </w:rPr>
            </w:pPr>
          </w:p>
        </w:tc>
      </w:tr>
      <w:tr>
        <w:trPr>
          <w:trHeight w:val="213"/>
        </w:trPr>
        <w:tc>
          <w:tcPr>
            <w:tcW w:w="25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4,100</w:t>
            </w:r>
          </w:p>
        </w:tc>
        <w:tc>
          <w:tcPr>
            <w:tcW w:w="0" w:type="dxa"/>
            <w:vAlign w:val="bottom"/>
          </w:tcPr>
          <w:p>
            <w:pPr>
              <w:spacing w:after="0"/>
              <w:rPr>
                <w:sz w:val="1"/>
                <w:szCs w:val="1"/>
                <w:color w:val="auto"/>
              </w:rPr>
            </w:pPr>
          </w:p>
        </w:tc>
      </w:tr>
      <w:tr>
        <w:trPr>
          <w:trHeight w:val="238"/>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352,231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244,025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first quarter of 2020, as a result of the economic downturn caused by the COVID-19 pandemic, the Company concluded that a triggering event had occurred and performed an interim impairment test of goodwill and certain intangible assets as of March 31, 2020. The Company performed the first quarter 2020 interim impairment test of goodwill by comparing its fair value with its carrying value. The analysis was performed by using a discounted cash flow method and market multiple method. For goodwill, the outcome of the valuation is largely dependent upon estimates made by the Company with respect to significant assumptions, including projected net sales, projected earnings before interest, tax, depreciation and amortization (“EBITDA”), terminal growth rates, and the cost of capital under the discounted cash flow method.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our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 The quarterly principal payments have been satisfied through maturity of the Term Loan by the annual Excess Cash Flow payments.</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the total availability under the ABL Agreement was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21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(27,302)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206"/>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w:t>
            </w:r>
          </w:p>
        </w:tc>
      </w:tr>
      <w:tr>
        <w:trPr>
          <w:trHeight w:val="24"/>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December 31, 2020</w:t>
            </w:r>
          </w:p>
        </w:tc>
      </w:tr>
      <w:tr>
        <w:trPr>
          <w:trHeight w:val="19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460" w:type="dxa"/>
            <w:vAlign w:val="bottom"/>
          </w:tcPr>
          <w:p>
            <w:pPr>
              <w:ind w:left="140"/>
              <w:spacing w:after="0"/>
              <w:rPr>
                <w:sz w:val="20"/>
                <w:szCs w:val="20"/>
                <w:color w:val="auto"/>
              </w:rPr>
            </w:pPr>
            <w:r>
              <w:rPr>
                <w:rFonts w:ascii="Arial" w:cs="Arial" w:eastAsia="Arial" w:hAnsi="Arial"/>
                <w:sz w:val="16"/>
                <w:szCs w:val="16"/>
                <w:color w:val="auto"/>
              </w:rPr>
              <w:t>Term Loan facility payment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19,120</w:t>
            </w:r>
          </w:p>
        </w:tc>
      </w:tr>
      <w:tr>
        <w:trPr>
          <w:trHeight w:val="24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w:t>
            </w:r>
          </w:p>
        </w:tc>
      </w:tr>
      <w:tr>
        <w:trPr>
          <w:trHeight w:val="26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239,128</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243,485</w:t>
            </w: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234,968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238,977</w:t>
            </w:r>
          </w:p>
        </w:tc>
      </w:tr>
      <w:tr>
        <w:trPr>
          <w:trHeight w:val="23"/>
        </w:trPr>
        <w:tc>
          <w:tcPr>
            <w:tcW w:w="7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estimated Excess Cash Flow principal payment recorded at March 31, 2021 represents the Company's estimate for the 2022 Excess Cash Flow payment. The 2021 Excess Cash Flow payment, paid on March 30, 2021, totaled $10.5 million. The Excess Cash Flow payment differs from the estimated amount at December 31, 2020 of $19.1 million as certain lenders opted to not require payment per the terms of the debt agreements.</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Borrowings under the ABL Agreement bear interest, at the Company’s option, at one of the following rates: (i) alternate base rate, defined, for any day, as the greater of the prime rate, a federal funds and overnight bank funding based rate plus 0.5% 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one-month LIBOR plus 1.0%, plus a margin of 0.25% to 0.75%, or (ii) LIBOR plus a margin of 1.25% to 1.75%. The respective margins are based upon the Company’s total leverage ratio, as defined in and computed pursuant to the ABL Agreement. There were no outstanding borrowings under the ABL Agreement at March 31, 2021. In addition, the Company pays a commitment fee of 0.375% on the unused portion of the ABL Agreement.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 (ii) LIBOR, but not less than 1.0%, plus a margin of 3.5%. The interest rate on outstanding borrowings under the Term Loan at March 31, 2021 was 4.5%.</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March 31, 2021.</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$94.0 million at March 31, 2021.</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were $69.0 million at March 31, 2021.</w:t>
      </w:r>
    </w:p>
    <w:p>
      <w:pPr>
        <w:spacing w:after="0" w:line="4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March 31, 2021.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aggregate gross notional values of foreign exchange contracts at March 31, 2021 was $18.7 million. These foreign exchange contracts have been designated as hedges in order to apply hedge accounting.</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March 31, 2021, the Company does not have any foreign currency forward contract derivatives that are not designated as hedges.</w:t>
      </w:r>
    </w:p>
    <w:p>
      <w:pPr>
        <w:spacing w:after="0" w:line="63" w:lineRule="exact"/>
        <w:rPr>
          <w:sz w:val="20"/>
          <w:szCs w:val="20"/>
          <w:color w:val="auto"/>
        </w:rPr>
      </w:pPr>
    </w:p>
    <w:p>
      <w:pPr>
        <w:ind w:right="500"/>
        <w:spacing w:after="0" w:line="274"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tbl>
      <w:tblPr>
        <w:tblLayout w:type="fixed"/>
        <w:tblInd w:w="0" w:type="dxa"/>
        <w:tblCellMar>
          <w:top w:w="0" w:type="dxa"/>
          <w:left w:w="0" w:type="dxa"/>
          <w:bottom w:w="0" w:type="dxa"/>
          <w:right w:w="0" w:type="dxa"/>
        </w:tblCellMar>
      </w:tblPr>
      <w:tr>
        <w:trPr>
          <w:trHeight w:val="163"/>
        </w:trPr>
        <w:tc>
          <w:tcPr>
            <w:tcW w:w="3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560" w:type="dxa"/>
            <w:vAlign w:val="bottom"/>
            <w:gridSpan w:val="2"/>
          </w:tcPr>
          <w:p>
            <w:pPr>
              <w:jc w:val="center"/>
              <w:ind w:left="239"/>
              <w:spacing w:after="0" w:line="163" w:lineRule="exact"/>
              <w:rPr>
                <w:sz w:val="20"/>
                <w:szCs w:val="20"/>
                <w:color w:val="auto"/>
              </w:rPr>
            </w:pPr>
            <w:r>
              <w:rPr>
                <w:rFonts w:ascii="Arial" w:cs="Arial" w:eastAsia="Arial" w:hAnsi="Arial"/>
                <w:sz w:val="16"/>
                <w:szCs w:val="16"/>
                <w:b w:val="1"/>
                <w:bCs w:val="1"/>
                <w:color w:val="auto"/>
                <w:w w:val="87"/>
              </w:rPr>
              <w:t>Balance Sheet</w:t>
            </w:r>
          </w:p>
        </w:tc>
        <w:tc>
          <w:tcPr>
            <w:tcW w:w="1540" w:type="dxa"/>
            <w:vAlign w:val="bottom"/>
            <w:gridSpan w:val="2"/>
          </w:tcPr>
          <w:p>
            <w:pPr>
              <w:ind w:left="360"/>
              <w:spacing w:after="0" w:line="163" w:lineRule="exact"/>
              <w:rPr>
                <w:sz w:val="20"/>
                <w:szCs w:val="20"/>
                <w:color w:val="auto"/>
              </w:rPr>
            </w:pPr>
            <w:r>
              <w:rPr>
                <w:rFonts w:ascii="Arial" w:cs="Arial" w:eastAsia="Arial" w:hAnsi="Arial"/>
                <w:sz w:val="16"/>
                <w:szCs w:val="16"/>
                <w:b w:val="1"/>
                <w:bCs w:val="1"/>
                <w:color w:val="auto"/>
              </w:rPr>
              <w:t>March 31,</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auto"/>
            </w:tcBorders>
            <w:vMerge w:val="continue"/>
          </w:tcPr>
          <w:p>
            <w:pPr>
              <w:spacing w:after="0"/>
              <w:rPr>
                <w:sz w:val="18"/>
                <w:szCs w:val="18"/>
                <w:color w:val="auto"/>
              </w:rPr>
            </w:pPr>
          </w:p>
        </w:tc>
        <w:tc>
          <w:tcPr>
            <w:tcW w:w="446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w w:val="89"/>
              </w:rPr>
              <w:t>Location</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5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4560" w:type="dxa"/>
            <w:vAlign w:val="bottom"/>
            <w:gridSpan w:val="2"/>
          </w:tcPr>
          <w:p>
            <w:pPr>
              <w:ind w:left="440"/>
              <w:spacing w:after="0"/>
              <w:rPr>
                <w:sz w:val="20"/>
                <w:szCs w:val="20"/>
                <w:color w:val="auto"/>
              </w:rPr>
            </w:pPr>
            <w:r>
              <w:rPr>
                <w:rFonts w:ascii="Arial" w:cs="Arial" w:eastAsia="Arial" w:hAnsi="Arial"/>
                <w:sz w:val="16"/>
                <w:szCs w:val="16"/>
                <w:color w:val="auto"/>
              </w:rPr>
              <w:t>Other Long-Term Liabilities</w:t>
            </w:r>
          </w:p>
        </w:tc>
        <w:tc>
          <w:tcPr>
            <w:tcW w:w="144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45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6"/>
              </w:rPr>
              <w:t>Derivatives not designated as hedging instruments</w:t>
            </w:r>
          </w:p>
        </w:tc>
        <w:tc>
          <w:tcPr>
            <w:tcW w:w="444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87"/>
              </w:rPr>
              <w:t>Balance Sheet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March 31,</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vMerge w:val="continue"/>
          </w:tcPr>
          <w:p>
            <w:pPr>
              <w:spacing w:after="0"/>
              <w:rPr>
                <w:sz w:val="18"/>
                <w:szCs w:val="18"/>
                <w:color w:val="auto"/>
              </w:rPr>
            </w:pPr>
          </w:p>
        </w:tc>
        <w:tc>
          <w:tcPr>
            <w:tcW w:w="43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89"/>
              </w:rPr>
              <w:t>Location</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Long-Term Liabilities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amounts of gains and losses, realized and unrealized, related to the Company’s derivative financial instruments designated as hedging instruments are recognized in other comprehensive income (loss), net of taxes,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639"/>
              <w:spacing w:after="0"/>
              <w:rPr>
                <w:sz w:val="20"/>
                <w:szCs w:val="20"/>
                <w:color w:val="auto"/>
              </w:rPr>
            </w:pPr>
            <w:r>
              <w:rPr>
                <w:rFonts w:ascii="Arial" w:cs="Arial" w:eastAsia="Arial" w:hAnsi="Arial"/>
                <w:sz w:val="16"/>
                <w:szCs w:val="16"/>
                <w:color w:val="auto"/>
                <w:w w:val="89"/>
              </w:rPr>
              <w:t>222</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(3,094)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619"/>
              <w:spacing w:after="0"/>
              <w:rPr>
                <w:sz w:val="20"/>
                <w:szCs w:val="20"/>
                <w:color w:val="auto"/>
              </w:rPr>
            </w:pPr>
            <w:r>
              <w:rPr>
                <w:rFonts w:ascii="Arial" w:cs="Arial" w:eastAsia="Arial" w:hAnsi="Arial"/>
                <w:sz w:val="16"/>
                <w:szCs w:val="16"/>
                <w:color w:val="auto"/>
                <w:w w:val="90"/>
              </w:rPr>
              <w:t>(395)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0"/>
        </w:trPr>
        <w:tc>
          <w:tcPr>
            <w:tcW w:w="82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center"/>
              <w:ind w:left="619"/>
              <w:spacing w:after="0"/>
              <w:rPr>
                <w:sz w:val="20"/>
                <w:szCs w:val="20"/>
                <w:color w:val="auto"/>
              </w:rPr>
            </w:pPr>
            <w:r>
              <w:rPr>
                <w:rFonts w:ascii="Arial" w:cs="Arial" w:eastAsia="Arial" w:hAnsi="Arial"/>
                <w:sz w:val="16"/>
                <w:szCs w:val="16"/>
                <w:color w:val="auto"/>
                <w:w w:val="90"/>
              </w:rPr>
              <w:t>(173)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r>
      <w:tr>
        <w:trPr>
          <w:trHeight w:val="23"/>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Realized gains and losses on the interest rate swaps are reclassified into earnings as the interest expense on the debt is recognized. The Company had no terminated or matured interest rate swaps during the three months ended March 31, 2021.</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Realized gains and losses on foreign exchange contracts that are reported in other comprehensive income (loss) are reclassified into cost of sales as the underlying inventory purchased is sold.</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March 31, 2021, the Company reclassified $0.4 million of cash flow hedges in other comprehensive losses to earnings. This was comprised of $0.3 million related to realized interest rate swap losses and a loss of $0.1 million related to foreign exchange contracts recognized in cost of sales. At March 31, 2021, the estimated amount of existing losses expected to be reclassified into earnings within the next 12 months was $1.3 million.</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months ended March 31, 2020, the Company reclassified $0.1 million of cash flow hedges in other comprehensive losses to earnings. This was comprised of $0.2 million related to realized interest rate swap losses and a gain of $0.1 million related to foreign exchange contracts recognized in cost of sales.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00"/>
        <w:spacing w:after="0" w:line="274" w:lineRule="auto"/>
        <w:rPr>
          <w:sz w:val="20"/>
          <w:szCs w:val="20"/>
          <w:color w:val="auto"/>
        </w:rPr>
      </w:pPr>
      <w:r>
        <w:rPr>
          <w:rFonts w:ascii="Arial" w:cs="Arial" w:eastAsia="Arial" w:hAnsi="Arial"/>
          <w:sz w:val="18"/>
          <w:szCs w:val="18"/>
          <w:color w:val="auto"/>
        </w:rPr>
        <w:t>Interest and mark to market gains (losses) related to the Company’s derivative financial instruments not designated as hedging instruments that were recognized in earnings are as follows (in thousands):</w:t>
      </w:r>
    </w:p>
    <w:tbl>
      <w:tblPr>
        <w:tblLayout w:type="fixed"/>
        <w:tblInd w:w="0" w:type="dxa"/>
        <w:tblCellMar>
          <w:top w:w="0" w:type="dxa"/>
          <w:left w:w="0" w:type="dxa"/>
          <w:bottom w:w="0" w:type="dxa"/>
          <w:right w:w="0" w:type="dxa"/>
        </w:tblCellMar>
      </w:tblPr>
      <w:tr>
        <w:trPr>
          <w:trHeight w:val="163"/>
        </w:trPr>
        <w:tc>
          <w:tcPr>
            <w:tcW w:w="38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4"/>
          </w:tcPr>
          <w:p>
            <w:pPr>
              <w:jc w:val="right"/>
              <w:ind w:right="619"/>
              <w:spacing w:after="0" w:line="163" w:lineRule="exact"/>
              <w:rPr>
                <w:sz w:val="20"/>
                <w:szCs w:val="20"/>
                <w:color w:val="auto"/>
              </w:rPr>
            </w:pPr>
            <w:r>
              <w:rPr>
                <w:rFonts w:ascii="Arial" w:cs="Arial" w:eastAsia="Arial" w:hAnsi="Arial"/>
                <w:sz w:val="16"/>
                <w:szCs w:val="16"/>
                <w:b w:val="1"/>
                <w:bCs w:val="1"/>
                <w:color w:val="auto"/>
              </w:rPr>
              <w:t>Three Months Ended</w:t>
            </w:r>
          </w:p>
        </w:tc>
      </w:tr>
      <w:tr>
        <w:trPr>
          <w:trHeight w:val="210"/>
        </w:trPr>
        <w:tc>
          <w:tcPr>
            <w:tcW w:w="38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r>
      <w:tr>
        <w:trPr>
          <w:trHeight w:val="212"/>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7"/>
              </w:rPr>
              <w:t>Derivatives not designated as hedging instruments</w:t>
            </w:r>
          </w:p>
        </w:tc>
        <w:tc>
          <w:tcPr>
            <w:tcW w:w="4400" w:type="dxa"/>
            <w:vAlign w:val="bottom"/>
            <w:tcBorders>
              <w:bottom w:val="single" w:sz="8" w:color="auto"/>
            </w:tcBorders>
          </w:tcPr>
          <w:p>
            <w:pPr>
              <w:ind w:left="1580"/>
              <w:spacing w:after="0"/>
              <w:rPr>
                <w:sz w:val="20"/>
                <w:szCs w:val="20"/>
                <w:color w:val="auto"/>
              </w:rPr>
            </w:pPr>
            <w:r>
              <w:rPr>
                <w:rFonts w:ascii="Arial" w:cs="Arial" w:eastAsia="Arial" w:hAnsi="Arial"/>
                <w:sz w:val="16"/>
                <w:szCs w:val="16"/>
                <w:b w:val="1"/>
                <w:bCs w:val="1"/>
                <w:color w:val="auto"/>
              </w:rPr>
              <w:t>Location of gain (loss)</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5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Mark to market gain (loss) on interest rate derivatives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r>
      <w:tr>
        <w:trPr>
          <w:trHeight w:val="213"/>
        </w:trPr>
        <w:tc>
          <w:tcPr>
            <w:tcW w:w="3820" w:type="dxa"/>
            <w:vAlign w:val="bottom"/>
            <w:tcBorders>
              <w:bottom w:val="single" w:sz="8" w:color="CCEEFF"/>
            </w:tcBorders>
          </w:tcPr>
          <w:p>
            <w:pPr>
              <w:spacing w:after="0"/>
              <w:rPr>
                <w:sz w:val="18"/>
                <w:szCs w:val="18"/>
                <w:color w:val="auto"/>
              </w:rPr>
            </w:pPr>
          </w:p>
        </w:tc>
        <w:tc>
          <w:tcPr>
            <w:tcW w:w="45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5"/>
        </w:trPr>
        <w:tc>
          <w:tcPr>
            <w:tcW w:w="3820" w:type="dxa"/>
            <w:vAlign w:val="bottom"/>
            <w:tcBorders>
              <w:bottom w:val="single" w:sz="8" w:color="CCEEFF"/>
            </w:tcBorders>
            <w:shd w:val="clear" w:color="auto" w:fill="CCEEFF"/>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three months ended March 31, 2021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179"/>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1"/>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average</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0"/>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exercise price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2"/>
              </w:rPr>
              <w:t>life (years)</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2021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Expirations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19.10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March 31, 2021</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Options exercisable, March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867,807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8"/>
              </w:rPr>
              <w:t>4.3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March 31, 2021. The intrinsic value is calculated for each in-the-money stock option as the difference between the closing price of the Company’s common stock on March 31, 2021 and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three months ended March 31, 2021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2021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795,587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176,914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March 31, 2021</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725,299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three months ended March 31, 2021 was $3.7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Company’s Plan.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three months ended March 31, 2021 is as follows: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Vested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Cancellations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0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Represents the target number of shares to be issued for each performance-based award.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Performance-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based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awards </w:t>
            </w:r>
            <w:r>
              <w:rPr>
                <w:rFonts w:ascii="Arial" w:cs="Arial" w:eastAsia="Arial" w:hAnsi="Arial"/>
                <w:sz w:val="21"/>
                <w:szCs w:val="21"/>
                <w:b w:val="1"/>
                <w:bCs w:val="1"/>
                <w:color w:val="auto"/>
                <w:w w:val="88"/>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03"/>
        </w:trPr>
        <w:tc>
          <w:tcPr>
            <w:tcW w:w="1440" w:type="dxa"/>
            <w:vAlign w:val="bottom"/>
          </w:tcPr>
          <w:p>
            <w:pPr>
              <w:jc w:val="right"/>
              <w:spacing w:after="0"/>
              <w:rPr>
                <w:sz w:val="20"/>
                <w:szCs w:val="20"/>
                <w:color w:val="auto"/>
              </w:rPr>
            </w:pPr>
            <w:r>
              <w:rPr>
                <w:rFonts w:ascii="Arial" w:cs="Arial" w:eastAsia="Arial" w:hAnsi="Arial"/>
                <w:sz w:val="16"/>
                <w:szCs w:val="16"/>
                <w:color w:val="auto"/>
              </w:rPr>
              <w:t>431,046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6"/>
        </w:trPr>
        <w:tc>
          <w:tcPr>
            <w:tcW w:w="1440" w:type="dxa"/>
            <w:vAlign w:val="bottom"/>
          </w:tcPr>
          <w:p>
            <w:pPr>
              <w:jc w:val="right"/>
              <w:spacing w:after="0"/>
              <w:rPr>
                <w:sz w:val="20"/>
                <w:szCs w:val="20"/>
                <w:color w:val="auto"/>
              </w:rPr>
            </w:pPr>
            <w:r>
              <w:rPr>
                <w:rFonts w:ascii="Arial" w:cs="Arial" w:eastAsia="Arial" w:hAnsi="Arial"/>
                <w:sz w:val="16"/>
                <w:szCs w:val="16"/>
                <w:color w:val="auto"/>
              </w:rPr>
              <w:t>176,915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16"/>
        </w:trPr>
        <w:tc>
          <w:tcPr>
            <w:tcW w:w="1440" w:type="dxa"/>
            <w:vAlign w:val="bottom"/>
          </w:tcPr>
          <w:p>
            <w:pPr>
              <w:jc w:val="right"/>
              <w:spacing w:after="0"/>
              <w:rPr>
                <w:sz w:val="20"/>
                <w:szCs w:val="20"/>
                <w:color w:val="auto"/>
              </w:rPr>
            </w:pPr>
            <w:r>
              <w:rPr>
                <w:rFonts w:ascii="Arial" w:cs="Arial" w:eastAsia="Arial" w:hAnsi="Arial"/>
                <w:sz w:val="16"/>
                <w:szCs w:val="16"/>
                <w:color w:val="auto"/>
              </w:rPr>
              <w:t>(150,273)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19"/>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2"/>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436,480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00" w:hanging="979"/>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3,441</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6"/>
          <w:szCs w:val="16"/>
          <w:color w:val="auto"/>
        </w:rPr>
        <w:t>2.3</w:t>
      </w:r>
    </w:p>
    <w:p>
      <w:pPr>
        <w:spacing w:after="0" w:line="499" w:lineRule="exact"/>
        <w:rPr>
          <w:sz w:val="20"/>
          <w:szCs w:val="20"/>
          <w:color w:val="auto"/>
        </w:rPr>
      </w:pPr>
    </w:p>
    <w:p>
      <w:pPr>
        <w:sectPr>
          <w:pgSz w:w="11900" w:h="16838" w:orient="portrait"/>
          <w:cols w:equalWidth="0" w:num="2">
            <w:col w:w="7520" w:space="720"/>
            <w:col w:w="2980"/>
          </w:cols>
          <w:pgMar w:left="320" w:top="121" w:right="359" w:bottom="1440" w:gutter="0" w:footer="0" w:header="0"/>
          <w:type w:val="continuous"/>
        </w:sectPr>
      </w:pPr>
    </w:p>
    <w:p>
      <w:pPr>
        <w:spacing w:after="0"/>
        <w:rPr>
          <w:sz w:val="20"/>
          <w:szCs w:val="20"/>
          <w:color w:val="auto"/>
        </w:rPr>
      </w:pPr>
      <w:r>
        <w:rPr>
          <w:rFonts w:ascii="Arial" w:cs="Arial" w:eastAsia="Arial" w:hAnsi="Arial"/>
          <w:sz w:val="18"/>
          <w:szCs w:val="18"/>
          <w:color w:val="auto"/>
        </w:rPr>
        <w:t>The total fair value of performance-based awards that vested during the three months ended March 31, 2021 was $2.1 million.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March 31, 2021, there were 399,327 shares available for awards that could be granted under the Plan, assuming maximum performance of performance-based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Stock Compensation Expense Components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Equity based stock option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Restricted and performance-based stock awards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 compensation expense for equity based awards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r>
      <w:tr>
        <w:trPr>
          <w:trHeight w:val="21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Liability based stock option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 Compensation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(LOSS) PER COMMON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income (loss) per common share has been computed by dividing net income (loss) by the weighted-average number of shares of the Company’s common stock outstanding during the relevant period. Diluted income (loss) per common share adjusts net income (loss) and basic income (loss) per common share for the effect of all potentially dilutive shares of the Company’s common stock. Anti-dilutive securities are not included in the computation of diluted earnings per share under the treasury stock method.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income (loss) per common share for the three months ended March 31, 2021 and 2020 are as follows: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 (loss) – Basic and Diluted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shares outstanding – Basic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Effect of dilutive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options and other stock awards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shares outstanding – Diluted</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Basic income (loss) per common share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Diluted income (loss) per common share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Antidilutive Securities</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jc w:val="center"/>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22"/>
        </w:trPr>
        <w:tc>
          <w:tcPr>
            <w:tcW w:w="280" w:type="dxa"/>
            <w:vAlign w:val="bottom"/>
          </w:tcPr>
          <w:p>
            <w:pPr>
              <w:spacing w:after="0"/>
              <w:rPr>
                <w:sz w:val="19"/>
                <w:szCs w:val="19"/>
                <w:color w:val="auto"/>
              </w:rPr>
            </w:pPr>
          </w:p>
        </w:tc>
        <w:tc>
          <w:tcPr>
            <w:tcW w:w="3560" w:type="dxa"/>
            <w:vAlign w:val="bottom"/>
            <w:gridSpan w:val="4"/>
          </w:tcPr>
          <w:p>
            <w:pPr>
              <w:jc w:val="right"/>
              <w:ind w:right="350"/>
              <w:spacing w:after="0"/>
              <w:rPr>
                <w:sz w:val="20"/>
                <w:szCs w:val="20"/>
                <w:color w:val="auto"/>
              </w:rPr>
            </w:pPr>
            <w:r>
              <w:rPr>
                <w:rFonts w:ascii="Arial" w:cs="Arial" w:eastAsia="Arial" w:hAnsi="Arial"/>
                <w:sz w:val="18"/>
                <w:szCs w:val="18"/>
                <w:color w:val="auto"/>
                <w:w w:val="93"/>
              </w:rPr>
              <w:t>(in thousands, except per share amounts)</w:t>
            </w: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(28,164)</w:t>
            </w:r>
          </w:p>
        </w:tc>
      </w:tr>
      <w:tr>
        <w:trPr>
          <w:trHeight w:val="230"/>
        </w:trPr>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21,086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20,745</w:t>
            </w:r>
          </w:p>
        </w:tc>
      </w:tr>
      <w:tr>
        <w:trPr>
          <w:trHeight w:val="459"/>
        </w:trPr>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20,745</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-1276985</wp:posOffset>
            </wp:positionV>
            <wp:extent cx="71062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-985520</wp:posOffset>
            </wp:positionV>
            <wp:extent cx="710628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-694055</wp:posOffset>
            </wp:positionV>
            <wp:extent cx="71062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-342900</wp:posOffset>
            </wp:positionV>
            <wp:extent cx="710628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6640" w:space="720"/>
            <w:col w:w="3840"/>
          </w:cols>
          <w:pgMar w:left="320" w:top="121" w:right="379" w:bottom="1440" w:gutter="0" w:footer="0" w:header="0"/>
          <w:type w:val="continuous"/>
        </w:sect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Stock options and other stock awards that have been excluded from the denominator as their inclusion would have been anti-dilutive.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Income tax provision of $2.4 million and an income tax benefit of $3.7 million for the three months ended March 31, 2021 and 2020, respectively, represent taxes on both U.S. and foreign earnings at combined effective income tax provision rates of 42.2% and an income tax benefit rate of 11.6%, respectively. The effective tax rate for the three months ended March 31, 2021 differs from the federal statutory income tax rate of 21% primarily due to state and local tax expense, and foreign losses for which no tax benefit is recognized as such amounts are fully offset with a valuation allowance. The effective rate for the three months ended March 31, 2020 differs from the federal statutory income tax rate primarily due to the impact of the non-deductible portion of the goodwill impairment charge recorded in the three months ended March 31, 2020.</w:t>
      </w:r>
    </w:p>
    <w:p>
      <w:pPr>
        <w:spacing w:after="0" w:line="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Georgia, Illinois, Massachusetts, New Jersey, New York and the United Kingdom. The Company's New York State tax returns for years 2015 and 2016 remain under audit with no material assessments as of March 31, 2021.</w:t>
      </w:r>
    </w:p>
    <w:p>
      <w:pPr>
        <w:spacing w:after="0" w:line="7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evaluates its tax positions on a quarterly basis and revises its estimates accordingly. There were no material changes to the Company’s uncertain tax positions, interest, or penalties during the three-month periods ended March 31, 2021 and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00" w:lineRule="exact"/>
        <w:rPr>
          <w:sz w:val="20"/>
          <w:szCs w:val="20"/>
          <w:color w:val="auto"/>
        </w:rPr>
      </w:pPr>
    </w:p>
    <w:p>
      <w:pPr>
        <w:spacing w:after="0" w:line="234"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176,181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129,208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145,070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 (loss) from operations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17,107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30"/>
        </w:trPr>
        <w:tc>
          <w:tcPr>
            <w:tcW w:w="8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4"/>
          </w:tcPr>
          <w:p>
            <w:pPr>
              <w:jc w:val="right"/>
              <w:ind w:right="890"/>
              <w:spacing w:after="0"/>
              <w:rPr>
                <w:sz w:val="20"/>
                <w:szCs w:val="20"/>
                <w:color w:val="auto"/>
              </w:rPr>
            </w:pPr>
            <w:r>
              <w:rPr>
                <w:rFonts w:ascii="Arial" w:cs="Arial" w:eastAsia="Arial" w:hAnsi="Arial"/>
                <w:sz w:val="18"/>
                <w:szCs w:val="18"/>
                <w:color w:val="auto"/>
              </w:rPr>
              <w:t>(in thousands)</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632,780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661,321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35,938</w:t>
            </w: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807,481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November 2020, the tolling agreements were extended to November 2021. The tolling agreements do not constitute in any way an admission or acknowledgment of any fact, conclusion of law or liability by the parties to the agreements.</w:t>
      </w:r>
    </w:p>
    <w:p>
      <w:pPr>
        <w:spacing w:after="0" w:line="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also compiled and submitted to CBP a complete set of supporting documents for three additional protests (for the remaining 29 tableware collections that were imported by the Company under the protested shipments). One of these three was approved on October 15, 2020; the other two remain pending. If the CBP approves these additional claims and accepts the evidence presented as it did with the Lead Protest, then no additional duties will be owed for the remaining protested shipments.</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the period of investigation covers a five-year period, the Company is compiling supporting documentation packages for all tableware collections imported during this period.</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$2.5 million. In such event, it is reasonably possible that additional penalties could be assessed, depending upon the level of culpability found, of up to $5.0 million for negligence and up to $10.0 million for gross negligence. In the event penalties are assessed, the Company will have the opportunity to further contest CBP’s findings and seek cancellation or mitigation of such assessments.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three months ended March 31, 2021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Date of record</w:t>
            </w:r>
          </w:p>
        </w:tc>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213"/>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3/9/2021</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5/3/2021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5/17/2021</w:t>
            </w:r>
          </w:p>
        </w:tc>
      </w:tr>
    </w:tbl>
    <w:p>
      <w:pPr>
        <w:spacing w:after="0" w:line="20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During the three months ended March 31, 2021, the Company paid dividends of $1.0 million. This included the payment made on February 12, 2021 of $0.9 million to shareholders of record on January 29, 2021 and payments of $0.1 million for dividends payable upon the vesting of restricted shares and performance shares.</w:t>
      </w:r>
    </w:p>
    <w:p>
      <w:pPr>
        <w:spacing w:after="0" w:line="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the three months ended March 31, 2021, the Company reduced retained earnings for the accrual of $0.9 million relating to the dividend payable on May 17,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Three Months Ended</w:t>
      </w: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9"/>
        </w:trPr>
        <w:tc>
          <w:tcPr>
            <w:tcW w:w="8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w w:val="96"/>
              </w:rPr>
              <w:t>(in thousands)</w:t>
            </w: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2,472</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4,154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gain (loss) adjustment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1,829</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Three Months Ended</w:t>
      </w: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translation adjustment: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(35,846)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(34,019)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income (loss) during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(4,458)</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(34,017)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(38,477)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losses on cash flow hedges: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unrealized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Settlement of cash flow hedge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 flow hedges, net of taxes of $(19) and $(998)</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actuarial loss, net of taxes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(37,489)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(41,770)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Amounts reclassified are recorded in interest expense and cost of sales on the unaudited condensed consolidated statement of operations.</w:t>
      </w:r>
    </w:p>
    <w:p>
      <w:pPr>
        <w:spacing w:after="0" w:line="57" w:lineRule="exact"/>
        <w:rPr>
          <w:rFonts w:ascii="Arial" w:cs="Arial" w:eastAsia="Arial" w:hAnsi="Arial"/>
          <w:sz w:val="19"/>
          <w:szCs w:val="19"/>
          <w:color w:val="auto"/>
          <w:vertAlign w:val="superscript"/>
        </w:rPr>
      </w:pPr>
    </w:p>
    <w:p>
      <w:pPr>
        <w:ind w:left="320" w:hanging="312"/>
        <w:spacing w:after="0" w:line="233" w:lineRule="auto"/>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Amounts are recorded in selling, general and administrative expense on the unaudited condensed consolidated statements of operations.</w:t>
      </w:r>
    </w:p>
    <w:p>
      <w:pPr>
        <w:spacing w:after="0" w:line="200" w:lineRule="exact"/>
        <w:rPr>
          <w:rFonts w:ascii="Arial" w:cs="Arial" w:eastAsia="Arial" w:hAnsi="Arial"/>
          <w:sz w:val="19"/>
          <w:szCs w:val="19"/>
          <w:color w:val="auto"/>
          <w:vertAlign w:val="superscript"/>
        </w:rPr>
      </w:pPr>
    </w:p>
    <w:p>
      <w:pPr>
        <w:spacing w:after="0" w:line="379" w:lineRule="exact"/>
        <w:rPr>
          <w:rFonts w:ascii="Arial" w:cs="Arial" w:eastAsia="Arial" w:hAnsi="Arial"/>
          <w:sz w:val="19"/>
          <w:szCs w:val="19"/>
          <w:color w:val="auto"/>
          <w:vertAlign w:val="superscript"/>
        </w:rPr>
      </w:pPr>
    </w:p>
    <w:p>
      <w:pPr>
        <w:ind w:left="5540" w:hanging="111"/>
        <w:spacing w:after="0"/>
        <w:tabs>
          <w:tab w:leader="none" w:pos="5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the Company’s Annual Report on Form 10-K for the fiscal year ended December 31, 2020 (the “2020 Annual Report on Form 10-K”) in Part I, Item 1A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Such risks, uncertainties and other important factors include, among others, risks related to:</w:t>
      </w:r>
    </w:p>
    <w:p>
      <w:pPr>
        <w:spacing w:after="0" w:line="4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Exit of the United Kingdom from the European Union;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 disruptions and higher transportation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Indebtedness and compliance with credit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the capital markets and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credit-worthiness of our customers and the counterparties to our derivatives;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Goodwill;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trade, including trade negotiations;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pandemics and related effects, such as the COVID-19 pandemic;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Social unrest, including related protests or disturbances.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Arial" w:cs="Arial" w:eastAsia="Arial" w:hAnsi="Arial"/>
          <w:sz w:val="17"/>
          <w:szCs w:val="17"/>
          <w:i w:val="1"/>
          <w:iCs w:val="1"/>
          <w:u w:val="single" w:color="auto"/>
          <w:color w:val="auto"/>
        </w:rPr>
        <w:t>http://www.lifetimebrands.com</w:t>
      </w:r>
      <w:r>
        <w:rPr>
          <w:rFonts w:ascii="Arial" w:cs="Arial" w:eastAsia="Arial" w:hAnsi="Arial"/>
          <w:sz w:val="17"/>
          <w:szCs w:val="17"/>
          <w:color w:val="auto"/>
        </w:rPr>
        <w:t xml:space="preserve">. Information contained on this website is not a part of or incorporated by reference into this Annual Report.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Arial" w:cs="Arial" w:eastAsia="Arial" w:hAnsi="Arial"/>
          <w:sz w:val="17"/>
          <w:szCs w:val="17"/>
          <w:i w:val="1"/>
          <w:iCs w:val="1"/>
          <w:u w:val="single" w:color="auto"/>
          <w:color w:val="auto"/>
        </w:rPr>
        <w:t>http://www.sec.gov.</w:t>
      </w:r>
    </w:p>
    <w:p>
      <w:pPr>
        <w:spacing w:after="0" w:line="6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2020, Kitchenware products and Tableware products accounted for approximately 83% of the Company’s U.S. segment’s net sales and 85% of the Company’s consolidated net sales.</w:t>
      </w:r>
    </w:p>
    <w:p>
      <w:pPr>
        <w:spacing w:after="0" w:line="70"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2"/>
          <w:szCs w:val="22"/>
          <w:color w:val="auto"/>
          <w:vertAlign w:val="superscript"/>
        </w:rPr>
        <w:t>®</w:t>
      </w:r>
      <w:r>
        <w:rPr>
          <w:rFonts w:ascii="Arial" w:cs="Arial" w:eastAsia="Arial" w:hAnsi="Arial"/>
          <w:sz w:val="17"/>
          <w:szCs w:val="17"/>
          <w:color w:val="auto"/>
        </w:rPr>
        <w:t>, Mikasa</w:t>
      </w:r>
      <w:r>
        <w:rPr>
          <w:rFonts w:ascii="Arial" w:cs="Arial" w:eastAsia="Arial" w:hAnsi="Arial"/>
          <w:sz w:val="22"/>
          <w:szCs w:val="22"/>
          <w:color w:val="auto"/>
          <w:vertAlign w:val="superscript"/>
        </w:rPr>
        <w:t>®</w:t>
      </w:r>
      <w:r>
        <w:rPr>
          <w:rFonts w:ascii="Arial" w:cs="Arial" w:eastAsia="Arial" w:hAnsi="Arial"/>
          <w:sz w:val="17"/>
          <w:szCs w:val="17"/>
          <w:color w:val="auto"/>
        </w:rPr>
        <w:t>, Taylor</w:t>
      </w:r>
      <w:r>
        <w:rPr>
          <w:rFonts w:ascii="Arial" w:cs="Arial" w:eastAsia="Arial" w:hAnsi="Arial"/>
          <w:sz w:val="22"/>
          <w:szCs w:val="22"/>
          <w:color w:val="auto"/>
          <w:vertAlign w:val="superscript"/>
        </w:rPr>
        <w:t>®</w:t>
      </w:r>
      <w:r>
        <w:rPr>
          <w:rFonts w:ascii="Arial" w:cs="Arial" w:eastAsia="Arial" w:hAnsi="Arial"/>
          <w:sz w:val="17"/>
          <w:szCs w:val="17"/>
          <w:color w:val="auto"/>
        </w:rPr>
        <w:t>, KitchenAid</w:t>
      </w:r>
      <w:r>
        <w:rPr>
          <w:rFonts w:ascii="Arial" w:cs="Arial" w:eastAsia="Arial" w:hAnsi="Arial"/>
          <w:sz w:val="22"/>
          <w:szCs w:val="22"/>
          <w:color w:val="auto"/>
          <w:vertAlign w:val="superscript"/>
        </w:rPr>
        <w:t>®</w:t>
      </w:r>
      <w:r>
        <w:rPr>
          <w:rFonts w:ascii="Arial" w:cs="Arial" w:eastAsia="Arial" w:hAnsi="Arial"/>
          <w:sz w:val="17"/>
          <w:szCs w:val="17"/>
          <w:color w:val="auto"/>
        </w:rPr>
        <w:t>, KitchenCraft</w:t>
      </w:r>
      <w:r>
        <w:rPr>
          <w:rFonts w:ascii="Arial" w:cs="Arial" w:eastAsia="Arial" w:hAnsi="Arial"/>
          <w:sz w:val="22"/>
          <w:szCs w:val="22"/>
          <w:color w:val="auto"/>
          <w:vertAlign w:val="superscript"/>
        </w:rPr>
        <w:t>®</w:t>
      </w:r>
      <w:r>
        <w:rPr>
          <w:rFonts w:ascii="Arial" w:cs="Arial" w:eastAsia="Arial" w:hAnsi="Arial"/>
          <w:sz w:val="17"/>
          <w:szCs w:val="17"/>
          <w:color w:val="auto"/>
        </w:rPr>
        <w:t>, Pfaltzgraff</w:t>
      </w:r>
      <w:r>
        <w:rPr>
          <w:rFonts w:ascii="Arial" w:cs="Arial" w:eastAsia="Arial" w:hAnsi="Arial"/>
          <w:sz w:val="22"/>
          <w:szCs w:val="22"/>
          <w:color w:val="auto"/>
          <w:vertAlign w:val="superscript"/>
        </w:rPr>
        <w:t>®</w:t>
      </w:r>
      <w:r>
        <w:rPr>
          <w:rFonts w:ascii="Arial" w:cs="Arial" w:eastAsia="Arial" w:hAnsi="Arial"/>
          <w:sz w:val="17"/>
          <w:szCs w:val="17"/>
          <w:color w:val="auto"/>
        </w:rPr>
        <w:t>, Built NY</w:t>
      </w:r>
      <w:r>
        <w:rPr>
          <w:rFonts w:ascii="Arial" w:cs="Arial" w:eastAsia="Arial" w:hAnsi="Arial"/>
          <w:sz w:val="22"/>
          <w:szCs w:val="22"/>
          <w:color w:val="auto"/>
          <w:vertAlign w:val="superscript"/>
        </w:rPr>
        <w:t>®</w:t>
      </w:r>
      <w:r>
        <w:rPr>
          <w:rFonts w:ascii="Arial" w:cs="Arial" w:eastAsia="Arial" w:hAnsi="Arial"/>
          <w:sz w:val="17"/>
          <w:szCs w:val="17"/>
          <w:color w:val="auto"/>
        </w:rPr>
        <w:t>, Rabbit</w:t>
      </w:r>
      <w:r>
        <w:rPr>
          <w:rFonts w:ascii="Arial" w:cs="Arial" w:eastAsia="Arial" w:hAnsi="Arial"/>
          <w:sz w:val="22"/>
          <w:szCs w:val="22"/>
          <w:color w:val="auto"/>
          <w:vertAlign w:val="superscript"/>
        </w:rPr>
        <w:t>®</w:t>
      </w:r>
      <w:r>
        <w:rPr>
          <w:rFonts w:ascii="Arial" w:cs="Arial" w:eastAsia="Arial" w:hAnsi="Arial"/>
          <w:sz w:val="17"/>
          <w:szCs w:val="17"/>
          <w:color w:val="auto"/>
        </w:rPr>
        <w:t>, Kamenstein</w:t>
      </w:r>
      <w:r>
        <w:rPr>
          <w:rFonts w:ascii="Arial" w:cs="Arial" w:eastAsia="Arial" w:hAnsi="Arial"/>
          <w:sz w:val="22"/>
          <w:szCs w:val="22"/>
          <w:color w:val="auto"/>
          <w:vertAlign w:val="superscript"/>
        </w:rPr>
        <w:t>®</w:t>
      </w:r>
      <w:r>
        <w:rPr>
          <w:rFonts w:ascii="Arial" w:cs="Arial" w:eastAsia="Arial" w:hAnsi="Arial"/>
          <w:sz w:val="17"/>
          <w:szCs w:val="17"/>
          <w:color w:val="auto"/>
        </w:rPr>
        <w:t>, and MasterClass®. Historically, the Company’s sales growth has come from expanding product offerings within its product categories, by developing existing brands, acquiring new brands (including complementary brands in markets outside the U.S.),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months ended March 31, 2021 and 2020 in the accompanying unaudited condensed consolidated statements of operations. Pursuant to a Shares Subscription Agreement, the Company may designate four persons to be nominated as members of Vasconia’s Board of Directors. As of March 31, 2021, Vasconia’s Board of Directors is comprised of fourteen members of whom the Company has designated </w:t>
      </w:r>
      <w:r>
        <w:rPr>
          <w:rFonts w:ascii="Arial" w:cs="Arial" w:eastAsia="Arial" w:hAnsi="Arial"/>
          <w:sz w:val="17"/>
          <w:szCs w:val="17"/>
          <w:color w:val="auto"/>
        </w:rPr>
        <w:t>three</w:t>
      </w:r>
      <w:r>
        <w:rPr>
          <w:rFonts w:ascii="Arial" w:cs="Arial" w:eastAsia="Arial" w:hAnsi="Arial"/>
          <w:sz w:val="16"/>
          <w:szCs w:val="16"/>
          <w:color w:val="auto"/>
        </w:rPr>
        <w:t xml:space="preserve"> members.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2020 and 2019, net sales for the third and fourth quarters accounted for 62% and 60% of total annual net sales, respectively. In anticipation of the pre-holiday shipping season, inventory levels increase primarily in the June through October time period. The Company's inventory levels at March 31, 2021, did not decrease from the previous two quarters. The higher inventory levels are a result of increased inventory purchases to meet higher expected demand in 2021.</w:t>
      </w:r>
    </w:p>
    <w:p>
      <w:pPr>
        <w:spacing w:after="0" w:line="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Consistent with the seasonality of the Company’s net sales and inventory levels, the Company also experiences seasonality in its inventory turnover and turnover days from one quarter to the next.</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COVID-19 pandemic has caused, and may continue to cause, shifts in some of the Company's selling and purchasing cycles as customers deviate from their historical ordering patterns.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and 2020, the Company did not incur any restructuring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not experienced significant disruptions in its supply chain related to the COVID-19 pandemic. In limited instances and categories, increased demand has strained the manufacturing capacity of certain of the Company’s suppliers. The Company expects, in the short term, higher inbound freight cost to import inventory as a result of expected higher demand of the Company's products and broader macroeconomic demand for ocean freight. Additionally, in the U.S., the Company has experienced instances of trucking availability shortages, resulting in delays of shipments to certain of its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There have been no material changes to the Company’s critical accounting policies and estimates discussed in the 2020 Annual Report on Form 10-K in Item 7 under the heading </w:t>
      </w:r>
      <w:r>
        <w:rPr>
          <w:rFonts w:ascii="Arial" w:cs="Arial" w:eastAsia="Arial" w:hAnsi="Arial"/>
          <w:sz w:val="18"/>
          <w:szCs w:val="18"/>
          <w:i w:val="1"/>
          <w:iCs w:val="1"/>
          <w:color w:val="auto"/>
        </w:rPr>
        <w:t>Management’s Discussion and Analysis of Financial Condition and Results of Operations – 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w:t>
      </w:r>
      <w:r>
        <w:rPr>
          <w:rFonts w:ascii="Arial" w:cs="Arial" w:eastAsia="Arial" w:hAnsi="Arial"/>
          <w:sz w:val="18"/>
          <w:szCs w:val="18"/>
          <w:color w:val="auto"/>
        </w:rPr>
        <w: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46"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Three Months Ended</w:t>
      </w:r>
    </w:p>
    <w:p>
      <w:pPr>
        <w:jc w:val="center"/>
        <w:ind w:left="79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100.0 %</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Cost of sales</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63.5</w:t>
            </w:r>
          </w:p>
        </w:tc>
      </w:tr>
      <w:tr>
        <w:trPr>
          <w:trHeight w:val="21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33.7</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36.5</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Distribution expenses</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11.4</w:t>
            </w:r>
          </w:p>
        </w:tc>
      </w:tr>
      <w:tr>
        <w:trPr>
          <w:trHeight w:val="21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28.6</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Goodwill and other impairments</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13.9</w:t>
            </w:r>
          </w:p>
        </w:tc>
      </w:tr>
      <w:tr>
        <w:trPr>
          <w:trHeight w:val="21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(17.4)</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(3.2)</w:t>
            </w:r>
          </w:p>
        </w:tc>
      </w:tr>
      <w:tr>
        <w:trPr>
          <w:trHeight w:val="21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to market gain (loss) on interest rate derivatives</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Income (loss) before income taxes and equity in (losses) earnings</w:t>
            </w: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(22.2)</w:t>
            </w:r>
          </w:p>
        </w:tc>
      </w:tr>
      <w:tr>
        <w:trPr>
          <w:trHeight w:val="21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Equity in (losses) earnings, net of taxes</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0.2</w:t>
            </w:r>
          </w:p>
        </w:tc>
      </w:tr>
      <w:tr>
        <w:trPr>
          <w:trHeight w:val="23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40" w:right="182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MARCH 31, 2021 COMPARED TO THE THREE MONTHS ENDED MARCH 31, 2020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Consolidated net sales for the three months ended March 31, 2021 were $195.7 million, representing an increase of $50.6 million, or 34.9%, as compared to net sales of $145.1 million for the corresponding period in 2020. In constant currency, a non-GAAP financial measure, which excludes the impact of foreign exchange fluctuations and was determined by applying 2021 average rates to 2020 local currency amounts, consolidated net sales increased by $49.6 million, or 34.0%, as compared to consolidated net sales in the corresponding period in 2020.</w:t>
      </w:r>
    </w:p>
    <w:p>
      <w:pPr>
        <w:spacing w:after="0" w:line="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sales for the U.S. segment for the three months ended March 31, 2021 were $176.2 million, an increase of $47.0 million, or 36.4%, as compared to net sales of $129.2 million for the corresponding period in 2020.</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sales for the U.S. segment’s Kitchenware product category were $120.0 million for the three months ended March 31, 2021, an increase of $40.7 million, or 51.3%, as compared to $79.3 million for the corresponding period in 2020. The increase was mainly driven by higher consumer demand, in both e-commerce and wholesale channels, for essential kitchen tools and gadgets, cutlery and board and bakeware products. The strong demand for these products have been a result of shifts in consumer purchasing patterns.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for the U.S. segment’s Tableware product category were $30.2 million for the three months ended March 31, 2021, an increase of $6.6 million , or 28.0%, as compared to $23.6 million for the corresponding period in 2020. The increase came from all product lines most notably on flatware sales from warehouse club programs and dinnerware sales from higher e-commerce sales.</w:t>
      </w:r>
    </w:p>
    <w:p>
      <w:pPr>
        <w:spacing w:after="0" w:line="76"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Net sales for the U.S. segment’s Home Solutions product category were $26.0 million for the three months ended March 31, 2021, a decrease of $0.3 million, or 1.1%, as compared to $26.3 million for the corresponding period in 2020. The decrease was primarily driven by lower sales in the hydration product category due to a warehouse club program not repeating in 2021, partially offset by an increase in home décor and measurement product sales.</w:t>
      </w:r>
    </w:p>
    <w:p>
      <w:pPr>
        <w:spacing w:after="0" w:line="4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Net sales for the International segment were $19.5 million for the three months ended March 31, 2021, an increase of $3.6 million, or 22.6%, as compared to net sales of $15.9 million for the corresponding period in 2020. In constant currency, which excludes the impact of foreign exchange fluctuations, net sales increased $2.7 million, or 15.8%, as compared to consolidated net sales in the corresponding period in 2020. The increase in sales was primarily attributable to the continued recovery of sales to brick-and-mortar retailers to pre-pandemic levels, and an increase in e-commerce sales.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Gross margin for the three months ended March 31, 2021 was $66.0 million, or 33.7%, as compared to $52.9 million, or 36.5%, for the corresponding period in 2020.</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Gross margin for the U.S. segment was $59.8 million, or 33.9%, for the three months ended March 31, 2021, as compared to $49.3 million, or 38.2%, for the corresponding period in 2020. The decrease in gross margin was primarily due to higher inbound freight costs, product mix and the 2020 quarter reflected a benefit from a duty exclusion on certain products.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Gross margin for the International segment was $6.2 million, or 31.8%, for the three months ended March 31, 2021, as compared to $3.6 million, or 22.9%, for the corresponding period in 2020. The increase in gross margin was driven by the comparable period being negatively impacted by higher sales allowances and allowances for excess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Distribution expenses for the three months ended March 31, 2021 were $18.6 million, as compared to $16.6 million for the corresponding period in 2020. Distribution expenses as a percentage of net sales were 9.5% for the three months ended March 31, 2021, as compared to 11.4% for the three months ended March 31, 2020.</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Distribution expenses as a percentage of net sales for the U.S. segment were approximately 8.7% and 9.8% for the three months ended March 31, 2021 and 2020, respectively. As a percentage of sales shipped from the Company’s U.S. warehouses distribution expenses were 8.9% and 9.8% for the three months ended March 31, 2021 and 2020, respectively. The improvement was a result of the leverage benefit of fixed costs on higher sales volume, partially offset by higher hourly labor rates.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as a percentage of net sales for the International segment were 17.2% for the three months ended March 31, 2021, compared to</w:t>
      </w:r>
    </w:p>
    <w:p>
      <w:pPr>
        <w:spacing w:after="0" w:line="46"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24.7% for the corresponding period in 2020. Distribution expenses during the three months ended March 31, 2020 include $0.8 million for the Company’s facility relocation costs. As a percentage of sales shipped from the Company’s U.K. warehouses, excluding the moving and relocation costs for U.K. operations, distribution expenses were 14.4% and 15.9% for the three months ended March 31, 2021 and 2020, respectively. The decrease was primarily attributed to an improvement in labor efficiencies as the prior period experienced inefficiencies associated with the setting up of the new U.K. warehouse.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Selling, general and administrative expenses for the three months ended March 31, 2021 were $38.1 million, a decrease of $3.4 million, or 8.2%, as compared to $41.5 million for the corresponding period in 2020.</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for the U.S. segment were $27.4 million for the three months ended March 31, 2021, as compared to $30.4 million for the corresponding period in 2020. As a percentage of net sales, selling, general and administrative expenses were 15.6% and 23.5% for the three months ended March 31, 2021 and 2020, respectively. The decrease was primarily attributable to lower estimates for bad debt expense and selling and facility expenses which was partially offset by an increase in incentive compensation.</w:t>
      </w:r>
    </w:p>
    <w:p>
      <w:pPr>
        <w:spacing w:after="0" w:line="7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Selling, general and administrative expenses for the International segment were $5.0 million for the three months ended March 31, 2021, as compared to $6.5 million for the corresponding period in 2020. The decrease was primarily attributable to lower estimates for bad debt expense, and lower employee expenses due to a reduction in headcount.</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Unallocated corporate expenses for the three months ended March 31, 2021 were $5.7 million, as compared to $4.6 million for the corresponding period in 2020. The increase was driven by higher incentive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infinite-lived intangible asset impairment</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March 31, 2020, the Company recorded a $20.1 million non-cash goodwill and intangible asset impairment charge related to the U.S. reporting unit. The impairment charge resulted from, among other factors, more conservative estimated future cash flows in light of the uncertain market conditions arising from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was $4.0 million for the three months ended March 31, 2021 and $4.7 million for the three months ended March 31, 2020. The decrease in expense was a result of less debt outstanding.</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(loss) on interest rate derivatives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Mark to market gain on interest rate derivatives was $0.5 million for the three months ended March 31, 2021 as compared to a mark to market loss on interest rate derivatives of $2.3 million for the three months ended March 31, 2020.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The prior period loss was a result of significant declines in interest rates during that period. The intent of the Company is to hold these derivative contracts until their maturity. Therefore, the Company expects that this loss will reverse over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Income tax provision of $2.4 million and an income tax benefit of $3.7 million for the three months ended March 31, 2021 and 2020, respectively, represent taxes on both U.S. and foreign earnings at combined effective income tax provision rate of 42.2% and an income tax benefit rate of 11.6%, respectively. The effective tax rate for the three months ended March 31, 2021 differs from the federal statutory income tax rate of 21% primarily due to state and local tax expense, and foreign losses for which no tax benefit is recognized as such amounts are fully offset with a valuation allowance. The effective tax rate for the three months ended March 31, 2020 differs from the federal statutory income tax rate primarily due to the impact of the non-deductible portion of the goodwill impairment charge recorded in the three months ended March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earnings</w:t>
      </w:r>
    </w:p>
    <w:p>
      <w:pPr>
        <w:spacing w:after="0" w:line="121"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Equity in losses of Vasconia, net of taxes, was $0.2 million for the three months ended March 31, 2021, as compared to equity in earnings of Vasconia, net of taxes, of $0.3 million for the three months ended March 31, 2020. Vasconia reported income from operations of $3.8 million for the three months ended March 31, 2021, as compared to loss from operations of $0.5 million for the three months ended March 31, 2020. The increase in income from operations was primarily attributable to improved operating results in the current period in both Vasconia's kitchenware and aluminum divisions.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At March 31, 2021, the Company had cash and cash equivalents of $30.6 million, compared to $36.0 million at December 31, 2020. Working capital was $216.4 million at March 31, 2021, compared to $241.2 million at December 31, 2020. Liquidity, which includes cash and cash equivalents and availability under the ABL Agreement, was approximately $177.2 million at March 31, 2021.</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Inventory, a large component of the Company’s working capital, is expected to fluctuate from period to period, with inventory levels higher primarily in the June through October time period. The Company's inventory levels at March 31, 2021, did not decrease from the previous two quarters. The higher inventory levels are a result of increased inventory purchases to meet higher expected demand in 2021.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March 31, 2021, inventory turnover was 2.6 times, or 143 days, as compared to 2.2 times, or 167 days, for the three months ended March 31, 2020. The improvement was a result of an increase in consumer demand for certain products.</w:t>
      </w:r>
    </w:p>
    <w:p>
      <w:pPr>
        <w:spacing w:after="0" w:line="8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 Some of the Company’s customers may be adversely and materially affected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our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 The quarterly principal payments have been satisfied through maturity of the Term Loan by the annual Excess Cash Flow payments.</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the total availability under the ABL Agreement was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(27,302)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w:t>
            </w:r>
          </w:p>
        </w:tc>
      </w:tr>
      <w:tr>
        <w:trPr>
          <w:trHeight w:val="23"/>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79"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360" w:type="dxa"/>
            <w:vAlign w:val="bottom"/>
          </w:tcPr>
          <w:p>
            <w:pPr>
              <w:ind w:left="140"/>
              <w:spacing w:after="0"/>
              <w:rPr>
                <w:sz w:val="20"/>
                <w:szCs w:val="20"/>
                <w:color w:val="auto"/>
              </w:rPr>
            </w:pPr>
            <w:r>
              <w:rPr>
                <w:rFonts w:ascii="Arial" w:cs="Arial" w:eastAsia="Arial" w:hAnsi="Arial"/>
                <w:sz w:val="16"/>
                <w:szCs w:val="16"/>
                <w:color w:val="auto"/>
              </w:rPr>
              <w:t>Term Loan facility payment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19,120</w:t>
            </w:r>
          </w:p>
        </w:tc>
      </w:tr>
      <w:tr>
        <w:trPr>
          <w:trHeight w:val="240"/>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w:t>
            </w:r>
          </w:p>
        </w:tc>
      </w:tr>
      <w:tr>
        <w:trPr>
          <w:trHeight w:val="26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239,128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243,485</w:t>
            </w: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238,977</w:t>
            </w:r>
          </w:p>
        </w:tc>
      </w:tr>
      <w:tr>
        <w:trPr>
          <w:trHeight w:val="23"/>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estimated Excess Cash Flow principal payment recorded at March 31, 2021 represents the Company's estimate for the 2022 Excess Cash Flow payment. The 2021 Excess Cash Flow payment, paid on March 30, 2021, totaled $10.5 million. The Excess Cash Flow payment differs from the estimated amount at December 31, 2020 of $19.1 million as certain lenders opted to not require payment per the terms of the debt agreements.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6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There were no outstanding borrowings under the ABL Agreement at March 31, 2021. In addition, the Company pays a commitment fee of 0.375% on the unused portion of the ABL Agreement.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 (ii) LIBOR, but not less than 1%, plus a margin of 3.5%. The interest rate on outstanding borrowings under the Term Loan at March 31, 2021 was 4.5%.</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March 31, 2021.</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ectPr>
          <w:pgSz w:w="11900" w:h="16838" w:orient="portrait"/>
          <w:cols w:equalWidth="0" w:num="1">
            <w:col w:w="11240"/>
          </w:cols>
          <w:pgMar w:left="320" w:top="125" w:right="3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the Company’s adjusted EBITDA, for the last four fiscal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 months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 months ended September 30,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for the three months ended March 31, 2021 were $0.7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Adjusted EBITDA for the Four</w:t>
      </w:r>
    </w:p>
    <w:p>
      <w:pPr>
        <w:ind w:left="60"/>
        <w:spacing w:after="0"/>
        <w:rPr>
          <w:sz w:val="20"/>
          <w:szCs w:val="20"/>
          <w:color w:val="auto"/>
        </w:rPr>
      </w:pPr>
      <w:r>
        <w:rPr>
          <w:rFonts w:ascii="Arial" w:cs="Arial" w:eastAsia="Arial" w:hAnsi="Arial"/>
          <w:sz w:val="13"/>
          <w:szCs w:val="13"/>
          <w:b w:val="1"/>
          <w:bCs w:val="1"/>
          <w:color w:val="auto"/>
        </w:rPr>
        <w:t>Quarters Ended March 31,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color w:val="auto"/>
              </w:rPr>
              <w:t>(in thousands)</w:t>
            </w:r>
          </w:p>
        </w:tc>
      </w:tr>
      <w:tr>
        <w:trPr>
          <w:trHeight w:val="235"/>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16,830</w:t>
            </w:r>
          </w:p>
        </w:tc>
      </w:tr>
      <w:tr>
        <w:trPr>
          <w:trHeight w:val="230"/>
        </w:trPr>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32,458</w:t>
            </w:r>
          </w:p>
        </w:tc>
      </w:tr>
      <w:tr>
        <w:trPr>
          <w:trHeight w:val="229"/>
        </w:trPr>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29,228</w:t>
            </w:r>
          </w:p>
        </w:tc>
      </w:tr>
      <w:tr>
        <w:trPr>
          <w:trHeight w:val="230"/>
        </w:trPr>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12,388</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90,904</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558" w:lineRule="exact"/>
        <w:rPr>
          <w:sz w:val="20"/>
          <w:szCs w:val="20"/>
          <w:color w:val="auto"/>
        </w:rPr>
      </w:pPr>
    </w:p>
    <w:p>
      <w:pPr>
        <w:sectPr>
          <w:pgSz w:w="11900" w:h="16838" w:orient="portrait"/>
          <w:cols w:equalWidth="0" w:num="2">
            <w:col w:w="8400" w:space="720"/>
            <w:col w:w="2120"/>
          </w:cols>
          <w:pgMar w:left="320" w:top="125" w:right="339" w:bottom="1440" w:gutter="0" w:footer="0" w:header="0"/>
          <w:type w:val="continuous"/>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(loss) income, as reported, to adjusted EBITDA, for each of the last four quarters and the 12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Twelve Months Ended</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28,224</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Undistributed equity losses (earnings), net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16,011</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16,555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Mark to market loss (gain) on interest rate derivatives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24,388</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compensation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6,069</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Acquisition related expenses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Restructuring expenses (benefit)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3"/>
        </w:trPr>
        <w:tc>
          <w:tcPr>
            <w:tcW w:w="4120" w:type="dxa"/>
            <w:vAlign w:val="bottom"/>
          </w:tcPr>
          <w:p>
            <w:pPr>
              <w:ind w:left="400"/>
              <w:spacing w:after="0"/>
              <w:rPr>
                <w:sz w:val="20"/>
                <w:szCs w:val="20"/>
                <w:color w:val="auto"/>
              </w:rPr>
            </w:pPr>
            <w:r>
              <w:rPr>
                <w:rFonts w:ascii="Arial" w:cs="Arial" w:eastAsia="Arial" w:hAnsi="Arial"/>
                <w:sz w:val="16"/>
                <w:szCs w:val="16"/>
                <w:color w:val="auto"/>
              </w:rPr>
              <w:t>Warehouse relocation expenses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90,904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Adjusted EBITDA is a non-GAAP financial measure which is defined in the Company’s debt agreements. Adjusted EBITDA is defined as net (loss) income, adjusted to exclude undistributed equity in losses (earnings), income tax provision, interest expense, mark to market loss (gain) on interest rate derivatives, depreciation and amortization, stock compensation expense, and other items detailed in the table above that are consistent with exclusions permitted by our debt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Pursuant to this agreement, the Company sold to HSBC $40.6 million and $37.9 million of receivables during the three months ended March 31, 2021 and 2020, respectively. Charges of $0.1 million and $0.2 million related to the sale of the receivables are included in selling, general and administrative expenses in the unaudited condensed consolidated statements of operations for the three months ended March 31, 2021 and 2020, respectively. At March 31, 2021 and 2020, $25.6 million and $23.2 million, respectively, of receivables sold were outstanding and due to HSBC from customers.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$94.0 million at March 31, 2021.</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were $69.0 million at March 31, 2021.</w:t>
      </w:r>
    </w:p>
    <w:p>
      <w:pPr>
        <w:spacing w:after="0" w:line="4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March 31, 2021.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aggregate gross notional values of foreign exchange contracts at March 31, 2021 was $18.7 million. These foreign exchange contracts have been designated as hedges in order to apply hedge accounting.</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March 31, 2021, the Company does not have any foreign currency forward contract derivatives that are not designated as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cash provided by operating activities was $36.3 million for the three months ended March 31, 2021, as compared to net cash provided by operating activities of $33.7 million for the three months ended March 31, 2020. The increase from 2021 compared to 2020 was attributable to an increase in net income, most significantly before goodwill impairment, partially offset by a higher investment in inventory and timing of collections related to accounts receivables.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$0.9 million and $1.2 million for the three months ended March 31,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Net cash used in financing activities was $40.8 million for the three months ended March 31, 2021, as compared to net cash provided by of $41.7 million for the three months ended March 31, 2020. The change was mainly attributable to repayments on the Company's revolving credit facility under its ABL Agreement in the 2021 period compared to proceeds received in the 2020 period, and the timing of the Company's term loan excess cash flow payment.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2020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March 31, 2021,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a description of our legal proceedings, please see NOTE 13 — CONTINGENCIES, to the Company's condensed consolidated financial statements included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0"/>
              </w:rPr>
              <w:t>shares that may</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340" w:type="dxa"/>
            <w:vAlign w:val="bottom"/>
            <w:gridSpan w:val="2"/>
            <w:vMerge w:val="restart"/>
          </w:tcPr>
          <w:p>
            <w:pPr>
              <w:jc w:val="center"/>
              <w:ind w:left="9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200"/>
              <w:spacing w:after="0"/>
              <w:rPr>
                <w:sz w:val="20"/>
                <w:szCs w:val="20"/>
                <w:color w:val="auto"/>
              </w:rPr>
            </w:pPr>
            <w:r>
              <w:rPr>
                <w:rFonts w:ascii="Arial" w:cs="Arial" w:eastAsia="Arial" w:hAnsi="Arial"/>
                <w:sz w:val="16"/>
                <w:szCs w:val="16"/>
                <w:b w:val="1"/>
                <w:bCs w:val="1"/>
                <w:color w:val="auto"/>
                <w:w w:val="92"/>
              </w:rPr>
              <w:t>Average price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219"/>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1"/>
              </w:rPr>
              <w:t>or programs</w:t>
            </w:r>
          </w:p>
        </w:tc>
        <w:tc>
          <w:tcPr>
            <w:tcW w:w="0" w:type="dxa"/>
            <w:vAlign w:val="bottom"/>
          </w:tcPr>
          <w:p>
            <w:pPr>
              <w:spacing w:after="0"/>
              <w:rPr>
                <w:sz w:val="1"/>
                <w:szCs w:val="1"/>
                <w:color w:val="auto"/>
              </w:rPr>
            </w:pPr>
          </w:p>
        </w:tc>
      </w:tr>
      <w:tr>
        <w:trPr>
          <w:trHeight w:val="162"/>
        </w:trPr>
        <w:tc>
          <w:tcPr>
            <w:tcW w:w="274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340" w:type="dxa"/>
            <w:vAlign w:val="bottom"/>
            <w:gridSpan w:val="2"/>
          </w:tcPr>
          <w:p>
            <w:pPr>
              <w:jc w:val="center"/>
              <w:ind w:left="99"/>
              <w:spacing w:after="0" w:line="162" w:lineRule="exact"/>
              <w:rPr>
                <w:sz w:val="20"/>
                <w:szCs w:val="20"/>
                <w:color w:val="auto"/>
              </w:rPr>
            </w:pPr>
            <w:r>
              <w:rPr>
                <w:rFonts w:ascii="Arial" w:cs="Arial" w:eastAsia="Arial" w:hAnsi="Arial"/>
                <w:sz w:val="16"/>
                <w:szCs w:val="16"/>
                <w:b w:val="1"/>
                <w:bCs w:val="1"/>
                <w:color w:val="auto"/>
                <w:w w:val="85"/>
              </w:rPr>
              <w:t>shares</w:t>
            </w: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5"/>
              </w:rPr>
              <w:t>subsequent to</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tcPr>
          <w:p>
            <w:pPr>
              <w:jc w:val="center"/>
              <w:ind w:left="199"/>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w w:val="91"/>
              </w:rPr>
              <w:t>paid per share</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ind w:left="219"/>
              <w:spacing w:after="0" w:line="216" w:lineRule="exact"/>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(2)</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79"/>
              <w:spacing w:after="0" w:line="216" w:lineRule="exact"/>
              <w:rPr>
                <w:sz w:val="20"/>
                <w:szCs w:val="20"/>
                <w:color w:val="auto"/>
              </w:rPr>
            </w:pPr>
            <w:r>
              <w:rPr>
                <w:rFonts w:ascii="Arial" w:cs="Arial" w:eastAsia="Arial" w:hAnsi="Arial"/>
                <w:sz w:val="16"/>
                <w:szCs w:val="16"/>
                <w:b w:val="1"/>
                <w:bCs w:val="1"/>
                <w:color w:val="auto"/>
                <w:w w:val="87"/>
              </w:rPr>
              <w:t xml:space="preserve">end of period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1 - February 28, 2021</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14.37</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6,771,467</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1 - March 31, 2021</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136,506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14.81</w:t>
            </w: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6,771,467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160" w:hanging="332"/>
        <w:spacing w:after="0" w:line="301" w:lineRule="auto"/>
        <w:tabs>
          <w:tab w:leader="none" w:pos="3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repurchased shares were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number above does not include unvested shares forfeited back to us pursuant to the terms of our stock compensation plans.</w:t>
      </w:r>
    </w:p>
    <w:p>
      <w:pPr>
        <w:spacing w:after="0" w:line="49" w:lineRule="exact"/>
        <w:rPr>
          <w:rFonts w:ascii="Arial" w:cs="Arial" w:eastAsia="Arial" w:hAnsi="Arial"/>
          <w:sz w:val="16"/>
          <w:szCs w:val="16"/>
          <w:color w:val="auto"/>
        </w:rPr>
      </w:pPr>
    </w:p>
    <w:p>
      <w:pPr>
        <w:ind w:left="340" w:hanging="332"/>
        <w:spacing w:after="0" w:line="263"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March 31, 2021.</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5540" w:hanging="111"/>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below, which is incorporated by reference herein.</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20" w:type="dxa"/>
            <w:vAlign w:val="bottom"/>
            <w:gridSpan w:val="7"/>
          </w:tcPr>
          <w:p>
            <w:pPr>
              <w:ind w:left="2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gridSpan w:val="9"/>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by Robert B. Kay, Chief Executive Officer and Director, pursuant to Rule 13a-14(a) or Rule 15d-14(a) of the Securities</w:t>
              </w:r>
            </w:hyperlink>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and Exchange Act of 1934, as adopted pursuant to Section 302 of the Sarbanes-Oxley Act of 2002</w:t>
              </w:r>
            </w:hyperlink>
          </w:p>
        </w:tc>
        <w:tc>
          <w:tcPr>
            <w:tcW w:w="24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8"/>
                <w:szCs w:val="18"/>
                <w:color w:val="auto"/>
              </w:rPr>
              <w:t>31.2</w:t>
            </w:r>
          </w:p>
        </w:tc>
        <w:tc>
          <w:tcPr>
            <w:tcW w:w="93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Certification by Laurence Winoker, Senior Vice President – Finance, Treasurer and Chief Financial Officer, pursuant to Rule 13a-</w:t>
              </w:r>
            </w:hyperlink>
          </w:p>
        </w:tc>
        <w:tc>
          <w:tcPr>
            <w:tcW w:w="2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9560" w:type="dxa"/>
            <w:vAlign w:val="bottom"/>
            <w:gridSpan w:val="9"/>
          </w:tcPr>
          <w:p>
            <w:pPr>
              <w:spacing w:after="0" w:line="156"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14(a) or Rule 15d-14(a) of the Securities and Exchange Act of 1934, as adopted pursuant to Section 302 of the Sarbanes-Oxley Act</w:t>
              </w:r>
            </w:hyperlink>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of 2002</w:t>
              </w:r>
            </w:hyperlink>
          </w:p>
        </w:tc>
        <w:tc>
          <w:tcPr>
            <w:tcW w:w="8900" w:type="dxa"/>
            <w:vAlign w:val="bottom"/>
            <w:tcBorders>
              <w:top w:val="single" w:sz="8" w:color="0000FF"/>
            </w:tcBorders>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18"/>
                <w:szCs w:val="18"/>
                <w:color w:val="auto"/>
              </w:rPr>
              <w:t>32.1</w:t>
            </w:r>
          </w:p>
        </w:tc>
        <w:tc>
          <w:tcPr>
            <w:tcW w:w="91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by Robert B. Kay, Chief Executive Officer and Director, and Laurence Winoker, Senior Vice President – Finance,</w:t>
              </w:r>
            </w:hyperlink>
          </w:p>
        </w:tc>
        <w:tc>
          <w:tcPr>
            <w:tcW w:w="4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9560" w:type="dxa"/>
            <w:vAlign w:val="bottom"/>
            <w:gridSpan w:val="9"/>
          </w:tcPr>
          <w:p>
            <w:pPr>
              <w:spacing w:after="0" w:line="156"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Treasurer and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91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Oxley Act of 2002</w:t>
              </w:r>
            </w:hyperlink>
          </w:p>
        </w:tc>
        <w:tc>
          <w:tcPr>
            <w:tcW w:w="4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340" w:type="dxa"/>
            <w:vAlign w:val="bottom"/>
            <w:gridSpan w:val="2"/>
            <w:shd w:val="clear" w:color="auto" w:fill="0000FF"/>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600" w:type="dxa"/>
            <w:vAlign w:val="bottom"/>
            <w:vMerge w:val="continue"/>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9"/>
          </w:tcPr>
          <w:p>
            <w:pPr>
              <w:spacing w:after="0"/>
              <w:rPr>
                <w:sz w:val="20"/>
                <w:szCs w:val="20"/>
                <w:color w:val="auto"/>
              </w:rPr>
            </w:pPr>
            <w:r>
              <w:rPr>
                <w:rFonts w:ascii="Arial" w:cs="Arial" w:eastAsia="Arial" w:hAnsi="Arial"/>
                <w:sz w:val="18"/>
                <w:szCs w:val="18"/>
                <w:color w:val="auto"/>
              </w:rPr>
              <w:t>The cover page from this Quarterly Report on Form 10-Q, formatted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Lifetime Brands, Inc.</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920" w:type="dxa"/>
            <w:vAlign w:val="bottom"/>
          </w:tcPr>
          <w:p>
            <w:pPr>
              <w:ind w:left="1000"/>
              <w:spacing w:after="0"/>
              <w:rPr>
                <w:sz w:val="20"/>
                <w:szCs w:val="20"/>
                <w:color w:val="auto"/>
              </w:rPr>
            </w:pPr>
            <w:r>
              <w:rPr>
                <w:rFonts w:ascii="Arial" w:cs="Arial" w:eastAsia="Arial" w:hAnsi="Arial"/>
                <w:sz w:val="18"/>
                <w:szCs w:val="18"/>
                <w:color w:val="auto"/>
                <w:w w:val="90"/>
              </w:rPr>
              <w:t>May 6, 2021</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c>
          <w:tcPr>
            <w:tcW w:w="1920" w:type="dxa"/>
            <w:vAlign w:val="bottom"/>
          </w:tcPr>
          <w:p>
            <w:pPr>
              <w:ind w:left="1000"/>
              <w:spacing w:after="0"/>
              <w:rPr>
                <w:sz w:val="20"/>
                <w:szCs w:val="20"/>
                <w:color w:val="auto"/>
              </w:rPr>
            </w:pPr>
            <w:r>
              <w:rPr>
                <w:rFonts w:ascii="Arial" w:cs="Arial" w:eastAsia="Arial" w:hAnsi="Arial"/>
                <w:sz w:val="18"/>
                <w:szCs w:val="18"/>
                <w:color w:val="auto"/>
                <w:w w:val="90"/>
              </w:rPr>
              <w:t>May 6, 2021</w:t>
            </w: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1920" w:type="dxa"/>
            <w:vAlign w:val="bottom"/>
          </w:tcPr>
          <w:p>
            <w:pPr>
              <w:spacing w:after="0"/>
              <w:rPr>
                <w:sz w:val="19"/>
                <w:szCs w:val="19"/>
                <w:color w:val="auto"/>
              </w:rPr>
            </w:pPr>
          </w:p>
        </w:tc>
      </w:tr>
    </w:tbl>
    <w:p>
      <w:pPr>
        <w:ind w:left="5840"/>
        <w:spacing w:after="0" w:line="220" w:lineRule="auto"/>
        <w:rPr>
          <w:sz w:val="20"/>
          <w:szCs w:val="20"/>
          <w:color w:val="auto"/>
        </w:rPr>
      </w:pPr>
      <w:r>
        <w:rPr>
          <w:rFonts w:ascii="Arial" w:cs="Arial" w:eastAsia="Arial" w:hAnsi="Arial"/>
          <w:sz w:val="18"/>
          <w:szCs w:val="18"/>
          <w:color w:val="auto"/>
        </w:rPr>
        <w:t>Senior Vice President – Finance, Treasurer and</w:t>
      </w:r>
    </w:p>
    <w:p>
      <w:pPr>
        <w:ind w:left="584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200"/>
          </w:cols>
          <w:pgMar w:left="320" w:top="125"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3" w:lineRule="auto"/>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420" w:right="340" w:hanging="7"/>
        <w:spacing w:after="0" w:line="342" w:lineRule="auto"/>
        <w:tabs>
          <w:tab w:leader="none" w:pos="6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left="420" w:right="260" w:hanging="7"/>
        <w:spacing w:after="0" w:line="263" w:lineRule="auto"/>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700" w:right="140" w:hanging="315"/>
        <w:spacing w:after="0" w:line="286" w:lineRule="auto"/>
        <w:tabs>
          <w:tab w:leader="none" w:pos="1690" w:val="left"/>
        </w:tabs>
        <w:numPr>
          <w:ilvl w:val="3"/>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700" w:right="40" w:hanging="315"/>
        <w:spacing w:after="0" w:line="263" w:lineRule="auto"/>
        <w:tabs>
          <w:tab w:leader="none" w:pos="1700" w:val="left"/>
        </w:tabs>
        <w:numPr>
          <w:ilvl w:val="3"/>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700" w:right="140" w:hanging="315"/>
        <w:spacing w:after="0" w:line="263" w:lineRule="auto"/>
        <w:tabs>
          <w:tab w:leader="none" w:pos="1690" w:val="left"/>
        </w:tabs>
        <w:numPr>
          <w:ilvl w:val="3"/>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700" w:right="40" w:hanging="315"/>
        <w:spacing w:after="0" w:line="263" w:lineRule="auto"/>
        <w:tabs>
          <w:tab w:leader="none" w:pos="1700" w:val="left"/>
        </w:tabs>
        <w:numPr>
          <w:ilvl w:val="3"/>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20" w:hanging="320"/>
        <w:spacing w:after="0" w:line="342" w:lineRule="auto"/>
        <w:tabs>
          <w:tab w:leader="none" w:pos="129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00" w:hanging="320"/>
        <w:spacing w:after="0" w:line="277"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 Kay</w:t>
      </w:r>
    </w:p>
    <w:p>
      <w:pPr>
        <w:ind w:left="20"/>
        <w:spacing w:after="0"/>
        <w:rPr>
          <w:sz w:val="20"/>
          <w:szCs w:val="20"/>
          <w:color w:val="auto"/>
        </w:rPr>
      </w:pPr>
      <w:r>
        <w:rPr>
          <w:rFonts w:ascii="Arial" w:cs="Arial" w:eastAsia="Arial" w:hAnsi="Arial"/>
          <w:sz w:val="18"/>
          <w:szCs w:val="18"/>
          <w:color w:val="auto"/>
        </w:rPr>
        <w:t>Chief Executive Officer and Director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980" w:right="44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5"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656"/>
        <w:spacing w:after="0" w:line="311" w:lineRule="auto"/>
        <w:tabs>
          <w:tab w:leader="none" w:pos="195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0" w:lineRule="exact"/>
        <w:rPr>
          <w:rFonts w:ascii="Arial" w:cs="Arial" w:eastAsia="Arial" w:hAnsi="Arial"/>
          <w:sz w:val="16"/>
          <w:szCs w:val="16"/>
          <w:color w:val="auto"/>
        </w:rPr>
      </w:pPr>
    </w:p>
    <w:p>
      <w:pPr>
        <w:ind w:left="1960" w:right="260" w:hanging="656"/>
        <w:spacing w:after="0" w:line="286" w:lineRule="auto"/>
        <w:tabs>
          <w:tab w:leader="none" w:pos="19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460" w:hanging="656"/>
        <w:spacing w:after="0" w:line="263" w:lineRule="auto"/>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140" w:hanging="656"/>
        <w:spacing w:after="0" w:line="263" w:lineRule="auto"/>
        <w:tabs>
          <w:tab w:leader="none" w:pos="19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9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Laurence Winoker</w:t>
      </w:r>
    </w:p>
    <w:p>
      <w:pPr>
        <w:ind w:left="20"/>
        <w:spacing w:after="0" w:line="203" w:lineRule="auto"/>
        <w:rPr>
          <w:sz w:val="20"/>
          <w:szCs w:val="20"/>
          <w:color w:val="auto"/>
        </w:rPr>
      </w:pPr>
      <w:r>
        <w:rPr>
          <w:rFonts w:ascii="Arial" w:cs="Arial" w:eastAsia="Arial" w:hAnsi="Arial"/>
          <w:sz w:val="18"/>
          <w:szCs w:val="18"/>
          <w:color w:val="auto"/>
        </w:rPr>
        <w:t>Senior Vice President – Finance,</w:t>
      </w:r>
    </w:p>
    <w:p>
      <w:pPr>
        <w:ind w:left="20"/>
        <w:spacing w:after="0"/>
        <w:rPr>
          <w:sz w:val="20"/>
          <w:szCs w:val="20"/>
          <w:color w:val="auto"/>
        </w:rPr>
      </w:pPr>
      <w:r>
        <w:rPr>
          <w:rFonts w:ascii="Arial" w:cs="Arial" w:eastAsia="Arial" w:hAnsi="Arial"/>
          <w:sz w:val="18"/>
          <w:szCs w:val="18"/>
          <w:color w:val="auto"/>
        </w:rPr>
        <w:t>Treasurer and Chief Financial Officer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170" w:lineRule="exact"/>
        <w:rPr>
          <w:sz w:val="20"/>
          <w:szCs w:val="20"/>
          <w:color w:val="auto"/>
        </w:rPr>
      </w:pPr>
    </w:p>
    <w:p>
      <w:pPr>
        <w:ind w:left="660" w:right="300" w:hanging="328"/>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March 31, 2021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20" w:type="dxa"/>
            <w:vAlign w:val="bottom"/>
          </w:tcPr>
          <w:p>
            <w:pPr>
              <w:spacing w:after="0"/>
              <w:rPr>
                <w:sz w:val="20"/>
                <w:szCs w:val="20"/>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r>
      <w:tr>
        <w:trPr>
          <w:trHeight w:val="159"/>
        </w:trPr>
        <w:tc>
          <w:tcPr>
            <w:tcW w:w="48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Robert B. Kay</w:t>
            </w:r>
          </w:p>
        </w:tc>
        <w:tc>
          <w:tcPr>
            <w:tcW w:w="5800" w:type="dxa"/>
            <w:vAlign w:val="bottom"/>
          </w:tcPr>
          <w:p>
            <w:pPr>
              <w:ind w:left="20"/>
              <w:spacing w:after="0" w:line="159" w:lineRule="exact"/>
              <w:rPr>
                <w:sz w:val="20"/>
                <w:szCs w:val="20"/>
                <w:color w:val="auto"/>
              </w:rPr>
            </w:pPr>
            <w:r>
              <w:rPr>
                <w:rFonts w:ascii="Arial" w:cs="Arial" w:eastAsia="Arial" w:hAnsi="Arial"/>
                <w:sz w:val="16"/>
                <w:szCs w:val="16"/>
                <w:color w:val="auto"/>
              </w:rPr>
              <w:t>Laurence Winoker</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Finance, Treasurer and Chief Financial Officer</w:t>
            </w:r>
          </w:p>
        </w:tc>
      </w:tr>
      <w:tr>
        <w:trPr>
          <w:trHeight w:val="506"/>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Date: May 6, 2021</w:t>
            </w:r>
          </w:p>
        </w:tc>
        <w:tc>
          <w:tcPr>
            <w:tcW w:w="5800" w:type="dxa"/>
            <w:vAlign w:val="bottom"/>
          </w:tcPr>
          <w:p>
            <w:pPr>
              <w:ind w:left="20"/>
              <w:spacing w:after="0"/>
              <w:rPr>
                <w:sz w:val="20"/>
                <w:szCs w:val="20"/>
                <w:color w:val="auto"/>
              </w:rPr>
            </w:pPr>
            <w:r>
              <w:rPr>
                <w:rFonts w:ascii="Arial" w:cs="Arial" w:eastAsia="Arial" w:hAnsi="Arial"/>
                <w:sz w:val="18"/>
                <w:szCs w:val="18"/>
                <w:color w:val="auto"/>
              </w:rPr>
              <w:t>Date: May 6, 2021</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Roman"/>
      <w:start w:val="10"/>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Roman"/>
      <w:start w:val="10"/>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lvl w:ilvl="1">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5">
    <w:nsid w:val="25E45D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2021-05-06T16:00:26Z</dcterms:created>
  <dcterms:modified xsi:type="dcterms:W3CDTF">2021-05-06T16:00:26Z</dcterms:modified>
</cp:coreProperties>
</file>