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40"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40"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S-8</w:t>
      </w:r>
    </w:p>
    <w:p>
      <w:pPr>
        <w:pStyle w:val="TextBody"/>
        <w:bidi w:val="0"/>
        <w:spacing w:lineRule="auto" w:line="240"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REGISTRATION STATEMENT </w:t>
      </w:r>
    </w:p>
    <w:p>
      <w:pPr>
        <w:pStyle w:val="TextBody"/>
        <w:bidi w:val="0"/>
        <w:spacing w:lineRule="auto" w:line="240"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UNDER </w:t>
      </w:r>
    </w:p>
    <w:p>
      <w:pPr>
        <w:pStyle w:val="TextBody"/>
        <w:bidi w:val="0"/>
        <w:spacing w:lineRule="auto" w:line="240"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THE SECURITIES ACT OF 1933 </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 xml:space="preserve">LIFETIME BRANDS, INC. </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lineRule="auto" w:line="276" w:before="0" w:after="0"/>
        <w:jc w:val="left"/>
        <w:rPr>
          <w:color w:val="000000"/>
          <w:shd w:fill="FFFFFF" w:val="clear"/>
        </w:rPr>
      </w:pPr>
      <w:r>
        <w:rPr>
          <w:color w:val="000000"/>
          <w:shd w:fill="FFFFFF" w:val="clear"/>
        </w:rPr>
        <w:t>  </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40"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1000 Stewart Avenue </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Garden City, New York 11530 </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(516) 683-6000</w:t>
      </w:r>
    </w:p>
    <w:p>
      <w:pPr>
        <w:pStyle w:val="TextBody"/>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(Address of Principal Executive Offices &amp; Zip Code) </w:t>
      </w:r>
    </w:p>
    <w:p>
      <w:pPr>
        <w:pStyle w:val="TextBody"/>
        <w:bidi w:val="0"/>
        <w:spacing w:before="0" w:after="0"/>
        <w:jc w:val="center"/>
        <w:rPr/>
      </w:pPr>
      <w:r>
        <w:rPr/>
      </w:r>
    </w:p>
    <w:p>
      <w:pPr>
        <w:pStyle w:val="TextBody"/>
        <w:bidi w:val="0"/>
        <w:spacing w:lineRule="auto" w:line="240"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LIFETIME BRANDS, INC. </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AMENDED AND RESTATED 2000 LONG-TERM INCENTIVE PLAN </w:t>
      </w:r>
    </w:p>
    <w:p>
      <w:pPr>
        <w:pStyle w:val="TextBody"/>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(Full title of the plan)</w:t>
      </w:r>
    </w:p>
    <w:p>
      <w:pPr>
        <w:pStyle w:val="TextBody"/>
        <w:bidi w:val="0"/>
        <w:spacing w:lineRule="auto" w:line="240"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Robert B. Kay </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1000 Stewart Avenue </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Garden City, New York 11530 </w:t>
      </w:r>
    </w:p>
    <w:p>
      <w:pPr>
        <w:pStyle w:val="TextBody"/>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(Name and address of agent for service) </w:t>
      </w:r>
    </w:p>
    <w:p>
      <w:pPr>
        <w:pStyle w:val="TextBody"/>
        <w:bidi w:val="0"/>
        <w:spacing w:lineRule="auto" w:line="240"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(516) 683-6000</w:t>
      </w:r>
    </w:p>
    <w:p>
      <w:pPr>
        <w:pStyle w:val="TextBody"/>
        <w:bidi w:val="0"/>
        <w:spacing w:lineRule="auto" w:line="240"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(Telephone number, including area code, of agent for service) </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120" w:after="283"/>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Copies to: </w:t>
      </w:r>
    </w:p>
    <w:tbl>
      <w:tblPr>
        <w:tblW w:w="6485" w:type="dxa"/>
        <w:jc w:val="left"/>
        <w:tblInd w:w="0" w:type="dxa"/>
        <w:tblLayout w:type="fixed"/>
        <w:tblCellMar>
          <w:top w:w="28" w:type="dxa"/>
          <w:left w:w="28" w:type="dxa"/>
          <w:bottom w:w="28" w:type="dxa"/>
          <w:right w:w="28" w:type="dxa"/>
        </w:tblCellMar>
      </w:tblPr>
      <w:tblGrid>
        <w:gridCol w:w="967"/>
        <w:gridCol w:w="849"/>
        <w:gridCol w:w="854"/>
        <w:gridCol w:w="109"/>
        <w:gridCol w:w="109"/>
        <w:gridCol w:w="109"/>
        <w:gridCol w:w="109"/>
        <w:gridCol w:w="109"/>
        <w:gridCol w:w="109"/>
        <w:gridCol w:w="109"/>
        <w:gridCol w:w="109"/>
        <w:gridCol w:w="109"/>
        <w:gridCol w:w="830"/>
        <w:gridCol w:w="830"/>
        <w:gridCol w:w="117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Sara A. Shindel, Esq.</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1000 Stewart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Garden City, New York 11530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Telephone: (516) 683-6000</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Celia A. Soehner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Morgan, Lewis &amp; Bockius LLP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101 Park Avenue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10178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Telephone: (212) 309-6000</w:t>
            </w:r>
          </w:p>
          <w:p>
            <w:pPr>
              <w:pStyle w:val="TableContents"/>
              <w:bidi w:val="0"/>
              <w:spacing w:before="0" w:after="0"/>
              <w:jc w:val="left"/>
              <w:rPr/>
            </w:pPr>
            <w:r>
              <w:rPr/>
            </w:r>
          </w:p>
        </w:tc>
      </w:tr>
    </w:tbl>
    <w:p>
      <w:pPr>
        <w:pStyle w:val="TextBody"/>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12"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40"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p>
            <w:pPr>
              <w:pStyle w:val="TableContents"/>
              <w:bidi w:val="0"/>
              <w:spacing w:lineRule="auto" w:line="276" w:before="0" w:after="40"/>
              <w:jc w:val="left"/>
              <w:rPr>
                <w:color w:val="000000"/>
              </w:rPr>
            </w:pPr>
            <w:r>
              <w:rPr>
                <w:color w:val="000000"/>
              </w:rPr>
              <w: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EXPLANATORY NOTE </w:t>
      </w:r>
    </w:p>
    <w:p>
      <w:pPr>
        <w:pStyle w:val="TextBody"/>
        <w:bidi w:val="0"/>
        <w:spacing w:lineRule="auto" w:line="268" w:before="120" w:after="283"/>
        <w:jc w:val="left"/>
        <w:rPr>
          <w:shd w:fill="FFFFFF" w:val="clear"/>
        </w:rPr>
      </w:pPr>
      <w:r>
        <w:rPr>
          <w:rFonts w:ascii="Times New Roman;serif" w:hAnsi="Times New Roman;serif"/>
          <w:b w:val="false"/>
          <w:color w:val="000000"/>
          <w:sz w:val="20"/>
          <w:shd w:fill="FFFFFF" w:val="clear"/>
        </w:rPr>
        <w:t>On April 21, 2026, subject to stockholder approval, the Board of Directors of Lifetime Brands,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approved an amendment and restatement of the Lifetime Brands, Inc. Amended and Restated 2000 Long-Term Incentive Plan (the “</w:t>
      </w:r>
      <w:r>
        <w:rPr>
          <w:rFonts w:ascii="Times New Roman;serif" w:hAnsi="Times New Roman;serif"/>
          <w:b w:val="false"/>
          <w:color w:val="000000"/>
          <w:sz w:val="20"/>
          <w:u w:val="single"/>
          <w:shd w:fill="FFFFFF" w:val="clear"/>
        </w:rPr>
        <w:t>Plan</w:t>
      </w:r>
      <w:r>
        <w:rPr>
          <w:color w:val="000000"/>
          <w:shd w:fill="FFFFFF" w:val="clear"/>
        </w:rPr>
        <w:t>”</w:t>
      </w:r>
      <w:r>
        <w:rPr>
          <w:color w:val="000000"/>
          <w:u w:val="single"/>
          <w:shd w:fill="FFFFFF" w:val="clear"/>
        </w:rPr>
        <w:t xml:space="preserve"> </w:t>
      </w:r>
      <w:r>
        <w:rPr>
          <w:rFonts w:ascii="Times New Roman;serif" w:hAnsi="Times New Roman;serif"/>
          <w:b w:val="false"/>
          <w:color w:val="000000"/>
          <w:sz w:val="20"/>
          <w:u w:val="single"/>
          <w:shd w:fill="FFFFFF" w:val="clear"/>
        </w:rPr>
        <w:t xml:space="preserve">and, as so amended and restated, the </w:t>
      </w:r>
      <w:r>
        <w:rPr>
          <w:color w:val="000000"/>
          <w:shd w:fill="FFFFFF" w:val="clear"/>
        </w:rPr>
        <w:t>“</w:t>
      </w:r>
      <w:r>
        <w:rPr>
          <w:rFonts w:ascii="Times New Roman;serif" w:hAnsi="Times New Roman;serif"/>
          <w:b w:val="false"/>
          <w:color w:val="000000"/>
          <w:sz w:val="20"/>
          <w:u w:val="single"/>
          <w:shd w:fill="FFFFFF" w:val="clear"/>
        </w:rPr>
        <w:t>Amended Plan</w:t>
      </w:r>
      <w:r>
        <w:rPr>
          <w:color w:val="000000"/>
          <w:shd w:fill="FFFFFF" w:val="clear"/>
        </w:rPr>
        <w:t>”</w:t>
      </w:r>
      <w:r>
        <w:rPr>
          <w:rFonts w:ascii="Times New Roman;serif" w:hAnsi="Times New Roman;serif"/>
          <w:b w:val="false"/>
          <w:color w:val="000000"/>
          <w:sz w:val="20"/>
          <w:shd w:fill="FFFFFF" w:val="clear"/>
        </w:rPr>
        <w:t>). The Amended Plan subsequently was approved by the Company’s stockholders at the Company’s 2026 Annual Meeting of Stockholders held on June 18, 2026 (the “2026 Amendment Effective Date”). The number of shares of common stock of the Company (the “Common Stock”) authorized for issuance pursuant to the Amended Plan is equal to (i) 1,000,000 additional shares of Common Stock, plus (ii) with respect to awards outstanding under the Plan prior to the 2026 Amendment Effective Date, (A) any shares of the Company subject to such awards that remain unissued upon the cancellation, surrender, expiration, exchange, or termination of such award after the 2026 Amendment Effective Date, and (B) any shares of Common Stock subject to awards that are paid or settled in cash after the 2026 Amendment Effective Date.</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the Amended Plan is an amendment and restatement of the Plan for which the Company has previously filed registration statements on Form S-8 with the Securities and Exchange Commission (the “Commission”), the contents of such earlier registration statements on Form S-8 with respect to the Plan are hereby incorporated by reference herein to the extent not otherwise amended or superseded by the contents hereof, pursuant to General Instruction E to Form S-8.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 </w:t>
      </w:r>
    </w:p>
    <w:p>
      <w:pPr>
        <w:pStyle w:val="TextBody"/>
        <w:bidi w:val="0"/>
        <w:spacing w:lineRule="auto" w:line="240"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THE SECTION 10(a) PROSPECTUS </w:t>
      </w:r>
    </w:p>
    <w:p>
      <w:pPr>
        <w:pStyle w:val="TextBody"/>
        <w:bidi w:val="0"/>
        <w:spacing w:lineRule="auto" w:line="240" w:before="120" w:after="283"/>
        <w:jc w:val="left"/>
        <w:rPr>
          <w:shd w:fill="FFFFFF" w:val="clear"/>
        </w:rPr>
      </w:pPr>
      <w:r>
        <w:rPr>
          <w:rFonts w:ascii="Times New Roman;serif" w:hAnsi="Times New Roman;serif"/>
          <w:b w:val="false"/>
          <w:color w:val="000000"/>
          <w:sz w:val="20"/>
          <w:shd w:fill="FFFFFF" w:val="clear"/>
        </w:rPr>
        <w:t>The document(s) containing the information concerning the Amended Plan required by Item 1 of Form S-8 and the statement of availability of registrant information, plan information and other information required by Item 2 of Form S-8 will be delivered to participants in the Plan as specified by Rule 428(b)(1) of the Securities Act of 1933 (“</w:t>
      </w:r>
      <w:r>
        <w:rPr>
          <w:rFonts w:ascii="Times New Roman;serif" w:hAnsi="Times New Roman;serif"/>
          <w:b w:val="false"/>
          <w:color w:val="000000"/>
          <w:sz w:val="20"/>
          <w:u w:val="single"/>
          <w:shd w:fill="FFFFFF" w:val="clear"/>
        </w:rPr>
        <w:t>Securities Act</w:t>
      </w:r>
      <w:r>
        <w:rPr>
          <w:color w:val="000000"/>
          <w:shd w:fill="FFFFFF" w:val="clear"/>
        </w:rPr>
        <w:t>”</w:t>
      </w:r>
      <w:r>
        <w:rPr>
          <w:rFonts w:ascii="Times New Roman;serif" w:hAnsi="Times New Roman;serif"/>
          <w:b w:val="false"/>
          <w:color w:val="000000"/>
          <w:sz w:val="20"/>
          <w:shd w:fill="FFFFFF" w:val="clear"/>
        </w:rPr>
        <w:t xml:space="preserve">). In accordance with Rule 428 and the requirements of Part I of Form S-8, such documents are not being filed with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II </w:t>
      </w:r>
    </w:p>
    <w:p>
      <w:pPr>
        <w:pStyle w:val="TextBody"/>
        <w:bidi w:val="0"/>
        <w:spacing w:lineRule="auto" w:line="240" w:before="240" w:after="283"/>
        <w:jc w:val="center"/>
        <w:rPr>
          <w:shd w:fill="FFFFFF" w:val="clear"/>
        </w:rPr>
      </w:pPr>
      <w:r>
        <w:rPr>
          <w:rFonts w:ascii="Times New Roman;serif" w:hAnsi="Times New Roman;serif"/>
          <w:b/>
          <w:color w:val="000000"/>
          <w:sz w:val="20"/>
          <w:shd w:fill="FFFFFF" w:val="clear"/>
        </w:rPr>
        <w:t xml:space="preserve">INFORMATION REQUIRED IN THE REGISTRATION STATEMENT </w:t>
      </w:r>
      <w:r>
        <w:rPr>
          <w:color w:val="000000"/>
          <w:shd w:fill="FFFFFF" w:val="clear"/>
        </w:rPr>
        <w:t> </w:t>
      </w:r>
    </w:p>
    <w:p>
      <w:pPr>
        <w:pStyle w:val="TextBody"/>
        <w:bidi w:val="0"/>
        <w:spacing w:before="0" w:after="0"/>
        <w:jc w:val="left"/>
        <w:rPr/>
      </w:pPr>
      <w:r>
        <w:rPr/>
      </w:r>
    </w:p>
    <w:p>
      <w:pPr>
        <w:pStyle w:val="TextBody"/>
        <w:bidi w:val="0"/>
        <w:spacing w:lineRule="auto" w:line="240"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Incorporation of Documents by Reference</w:t>
      </w:r>
    </w:p>
    <w:p>
      <w:pPr>
        <w:pStyle w:val="TextBody"/>
        <w:bidi w:val="0"/>
        <w:spacing w:lineRule="auto" w:line="240"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documents that we have filed with the Commission are hereby incorporated by reference in this Registration Statement: </w:t>
      </w:r>
    </w:p>
    <w:p>
      <w:pPr>
        <w:pStyle w:val="TextBody"/>
        <w:bidi w:val="0"/>
        <w:spacing w:lineRule="auto" w:line="240" w:before="240" w:after="283"/>
        <w:ind w:left="0" w:right="0" w:hanging="360"/>
        <w:jc w:val="left"/>
        <w:rPr/>
      </w:pPr>
      <w:r>
        <w:rPr>
          <w:rFonts w:ascii="Times New Roman;serif" w:hAnsi="Times New Roman;serif"/>
          <w:b w:val="false"/>
          <w:color w:val="000000"/>
          <w:sz w:val="20"/>
          <w:shd w:fill="FFFFFF" w:val="clear"/>
        </w:rPr>
        <w:t xml:space="preserve">(a) The Company’s Annual Report on </w:t>
      </w:r>
      <w:hyperlink r:id="rId2">
        <w:r>
          <w:rPr>
            <w:rStyle w:val="InternetLink"/>
            <w:rFonts w:ascii="Times New Roman;serif" w:hAnsi="Times New Roman;serif"/>
            <w:b w:val="false"/>
            <w:color w:val="0000FF"/>
            <w:sz w:val="20"/>
            <w:u w:val="single"/>
            <w:shd w:fill="FFFFFF" w:val="clear"/>
          </w:rPr>
          <w:t>Form 10-K</w:t>
        </w:r>
      </w:hyperlink>
      <w:r>
        <w:rPr>
          <w:color w:val="000000"/>
          <w:shd w:fill="FFFFFF" w:val="clear"/>
        </w:rPr>
        <w:t xml:space="preserve"> </w:t>
      </w:r>
      <w:r>
        <w:rPr>
          <w:rFonts w:ascii="Times New Roman;serif" w:hAnsi="Times New Roman;serif"/>
          <w:b w:val="false"/>
          <w:color w:val="000000"/>
          <w:sz w:val="20"/>
          <w:shd w:fill="FFFFFF" w:val="clear"/>
        </w:rPr>
        <w:t xml:space="preserve">for the fiscal year ended December 31, 2025, filed with the Commission on March 12, 2026 (including the information in Part III incorporated by reference from the Company’s Definitive Proxy Statement on </w:t>
      </w:r>
      <w:hyperlink r:id="rId3">
        <w:r>
          <w:rPr>
            <w:rStyle w:val="InternetLink"/>
            <w:rFonts w:ascii="Times New Roman;serif" w:hAnsi="Times New Roman;serif"/>
            <w:b w:val="false"/>
            <w:color w:val="0000FF"/>
            <w:sz w:val="20"/>
            <w:u w:val="single"/>
            <w:shd w:fill="FFFFFF" w:val="clear"/>
          </w:rPr>
          <w:t>Schedule 14A</w:t>
        </w:r>
      </w:hyperlink>
      <w:r>
        <w:rPr>
          <w:rFonts w:ascii="Times New Roman;serif" w:hAnsi="Times New Roman;serif"/>
          <w:b w:val="false"/>
          <w:color w:val="000000"/>
          <w:sz w:val="20"/>
          <w:shd w:fill="FFFFFF" w:val="clear"/>
        </w:rPr>
        <w:t xml:space="preserve">, filed on April 24, 2026); </w:t>
      </w:r>
    </w:p>
    <w:p>
      <w:pPr>
        <w:pStyle w:val="TextBody"/>
        <w:bidi w:val="0"/>
        <w:spacing w:lineRule="auto" w:line="240" w:before="240" w:after="283"/>
        <w:ind w:left="0" w:right="0" w:hanging="360"/>
        <w:jc w:val="left"/>
        <w:rPr/>
      </w:pPr>
      <w:r>
        <w:rPr>
          <w:rFonts w:ascii="Times New Roman;serif" w:hAnsi="Times New Roman;serif"/>
          <w:b w:val="false"/>
          <w:color w:val="000000"/>
          <w:sz w:val="20"/>
          <w:shd w:fill="FFFFFF" w:val="clear"/>
        </w:rPr>
        <w:t xml:space="preserve">(b) The Company’s Quarterly Report on </w:t>
      </w:r>
      <w:hyperlink r:id="rId4">
        <w:r>
          <w:rPr>
            <w:rStyle w:val="InternetLink"/>
            <w:rFonts w:ascii="Times New Roman;serif" w:hAnsi="Times New Roman;serif"/>
            <w:b w:val="false"/>
            <w:color w:val="0000FF"/>
            <w:sz w:val="20"/>
            <w:u w:val="single"/>
            <w:shd w:fill="FFFFFF" w:val="clear"/>
          </w:rPr>
          <w:t>Form 10-Q</w:t>
        </w:r>
      </w:hyperlink>
      <w:r>
        <w:rPr>
          <w:color w:val="000000"/>
          <w:shd w:fill="FFFFFF" w:val="clear"/>
        </w:rPr>
        <w:t xml:space="preserve"> </w:t>
      </w:r>
      <w:r>
        <w:rPr>
          <w:rFonts w:ascii="Times New Roman;serif" w:hAnsi="Times New Roman;serif"/>
          <w:b w:val="false"/>
          <w:color w:val="000000"/>
          <w:sz w:val="20"/>
          <w:shd w:fill="FFFFFF" w:val="clear"/>
        </w:rPr>
        <w:t xml:space="preserve">for the fiscal quarter ended March 31, 2026 filed with the Commission on May 7, 2026; </w:t>
      </w:r>
    </w:p>
    <w:p>
      <w:pPr>
        <w:pStyle w:val="TextBody"/>
        <w:bidi w:val="0"/>
        <w:spacing w:lineRule="auto" w:line="240" w:before="240" w:after="283"/>
        <w:ind w:left="0" w:right="0" w:hanging="360"/>
        <w:jc w:val="left"/>
        <w:rPr/>
      </w:pPr>
      <w:r>
        <w:rPr>
          <w:rFonts w:ascii="Times New Roman;serif" w:hAnsi="Times New Roman;serif"/>
          <w:b w:val="false"/>
          <w:color w:val="000000"/>
          <w:sz w:val="20"/>
          <w:shd w:fill="FFFFFF" w:val="clear"/>
        </w:rPr>
        <w:t xml:space="preserve">(c) The Company’s Current Report on Form 8-K filed with the Commission on </w:t>
      </w:r>
      <w:hyperlink r:id="rId5">
        <w:r>
          <w:rPr>
            <w:rStyle w:val="InternetLink"/>
            <w:rFonts w:ascii="Times New Roman;serif" w:hAnsi="Times New Roman;serif"/>
            <w:b w:val="false"/>
            <w:color w:val="0000FF"/>
            <w:sz w:val="20"/>
            <w:u w:val="single"/>
            <w:shd w:fill="FFFFFF" w:val="clear"/>
          </w:rPr>
          <w:t>June 22, 2026</w:t>
        </w:r>
      </w:hyperlink>
      <w:r>
        <w:rPr>
          <w:rFonts w:ascii="Times New Roman;serif" w:hAnsi="Times New Roman;serif"/>
          <w:b w:val="false"/>
          <w:color w:val="000000"/>
          <w:sz w:val="20"/>
          <w:shd w:fill="FFFFFF" w:val="clear"/>
        </w:rPr>
        <w:t xml:space="preserve">; and </w:t>
      </w:r>
    </w:p>
    <w:p>
      <w:pPr>
        <w:pStyle w:val="TextBody"/>
        <w:bidi w:val="0"/>
        <w:spacing w:lineRule="auto" w:line="240" w:before="240" w:after="283"/>
        <w:ind w:left="0" w:right="0" w:hanging="360"/>
        <w:jc w:val="left"/>
        <w:rPr/>
      </w:pPr>
      <w:r>
        <w:rPr>
          <w:rFonts w:ascii="Times New Roman;serif" w:hAnsi="Times New Roman;serif"/>
          <w:b w:val="false"/>
          <w:color w:val="000000"/>
          <w:sz w:val="20"/>
          <w:shd w:fill="FFFFFF" w:val="clear"/>
        </w:rPr>
        <w:t xml:space="preserve">(d) The description of the Company’s Common Stock contained in </w:t>
      </w:r>
      <w:hyperlink r:id="rId6">
        <w:r>
          <w:rPr>
            <w:rStyle w:val="InternetLink"/>
            <w:rFonts w:ascii="Times New Roman;serif" w:hAnsi="Times New Roman;serif"/>
            <w:b w:val="false"/>
            <w:color w:val="0000FF"/>
            <w:sz w:val="20"/>
            <w:u w:val="single"/>
            <w:shd w:fill="FFFFFF" w:val="clear"/>
          </w:rPr>
          <w:t>Exhibit 4.1</w:t>
        </w:r>
      </w:hyperlink>
      <w:r>
        <w:rPr>
          <w:color w:val="000000"/>
          <w:shd w:fill="FFFFFF" w:val="clear"/>
        </w:rPr>
        <w:t xml:space="preserve"> </w:t>
      </w:r>
      <w:r>
        <w:rPr>
          <w:rFonts w:ascii="Times New Roman;serif" w:hAnsi="Times New Roman;serif"/>
          <w:b w:val="false"/>
          <w:color w:val="000000"/>
          <w:sz w:val="20"/>
          <w:shd w:fill="FFFFFF" w:val="clear"/>
        </w:rPr>
        <w:t xml:space="preserve">to the Company’s Annual Report on Form 10-K for the fiscal year ended December 31, 2025, filed with the Commission on March 12, 2026, including any amendment or report filed for the purpose of updating such description.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documents filed by the Company pursuant to Section 13(a), 13(c), 14 or 15(d) of the Securities Exchange Act of 1934, as amended, after the date hereof and prior to the filing of a post-effective amendment that indicates that all securities offered hereby have been sold or that deregisters the securities covered hereby then remaining unsold shall also be deemed to be incorporated by reference into this Registration Statement and to be a part hereof commencing on the respective dates on which such documents are filed. </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furnished under Items 2.02 or 7.01 of the Company’s Current Reports on Form 8-K is not and will not be deemed incorporated herein by reference unless such Current Report on Form 8-K expressly provides to the contrary.</w:t>
      </w:r>
    </w:p>
    <w:p>
      <w:pPr>
        <w:pStyle w:val="TextBody"/>
        <w:bidi w:val="0"/>
        <w:spacing w:lineRule="auto" w:line="26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4. Description of Securities. </w:t>
      </w:r>
    </w:p>
    <w:p>
      <w:pPr>
        <w:pStyle w:val="TextBody"/>
        <w:bidi w:val="0"/>
        <w:spacing w:lineRule="auto" w:line="26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lineRule="auto" w:line="26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5. Interests of Named Experts and Counsel. </w:t>
      </w:r>
    </w:p>
    <w:p>
      <w:pPr>
        <w:pStyle w:val="TextBody"/>
        <w:bidi w:val="0"/>
        <w:spacing w:lineRule="auto" w:line="26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shd w:fill="FFFFFF" w:val="clear"/>
        </w:rPr>
      </w:pPr>
      <w:r>
        <w:rPr>
          <w:rFonts w:ascii="Times New Roman;serif" w:hAnsi="Times New Roman;serif"/>
          <w:b/>
          <w:color w:val="000000"/>
          <w:sz w:val="20"/>
          <w:shd w:fill="FFFFFF" w:val="clear"/>
        </w:rPr>
        <w:t>Item 6. Indemnification of Directors and Officers.</w:t>
      </w:r>
      <w:r>
        <w:rPr>
          <w:color w:val="000000"/>
          <w:shd w:fill="FFFFFF" w:val="clear"/>
        </w:rPr>
        <w:t> </w:t>
      </w:r>
    </w:p>
    <w:p>
      <w:pPr>
        <w:pStyle w:val="TextBody"/>
        <w:bidi w:val="0"/>
        <w:spacing w:lineRule="auto" w:line="240" w:before="120" w:after="283"/>
        <w:jc w:val="left"/>
        <w:rPr>
          <w:shd w:fill="FFFFFF" w:val="clear"/>
        </w:rPr>
      </w:pPr>
      <w:r>
        <w:rPr>
          <w:rFonts w:ascii="Times New Roman;serif" w:hAnsi="Times New Roman;serif"/>
          <w:b w:val="false"/>
          <w:color w:val="000000"/>
          <w:sz w:val="20"/>
          <w:shd w:fill="FFFFFF" w:val="clear"/>
        </w:rPr>
        <w:t>Article Fifth of our Second Restated Certificate of Incorporation, as amended, provides that our directors shall not be personally liable to the Company or its stockholders for monetary damages for breach of fiduciary duty as a director, except for liability (i) for any breach of the director’s duty of loyalty to the Company or its stockholders, (ii) for acts or omissions not in good faith that involve intentional misconduct or a knowing violation of law, (iii) under Section 174 of the General Corporation Law of the State of Delaware (the “</w:t>
      </w:r>
      <w:r>
        <w:rPr>
          <w:rFonts w:ascii="Times New Roman;serif" w:hAnsi="Times New Roman;serif"/>
          <w:b w:val="false"/>
          <w:color w:val="000000"/>
          <w:sz w:val="20"/>
          <w:u w:val="single"/>
          <w:shd w:fill="FFFFFF" w:val="clear"/>
        </w:rPr>
        <w:t>DGCL</w:t>
      </w:r>
      <w:r>
        <w:rPr>
          <w:color w:val="000000"/>
          <w:shd w:fill="FFFFFF" w:val="clear"/>
        </w:rPr>
        <w:t>”</w:t>
      </w:r>
      <w:r>
        <w:rPr>
          <w:rFonts w:ascii="Times New Roman;serif" w:hAnsi="Times New Roman;serif"/>
          <w:b w:val="false"/>
          <w:color w:val="000000"/>
          <w:sz w:val="20"/>
          <w:shd w:fill="FFFFFF" w:val="clear"/>
        </w:rPr>
        <w:t xml:space="preserve">), or (iv) for any transaction in which the director derived an improper personal benefit.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Section 145 of the DGCL, the Company has broad powers to indemnify its directors and officers against liabilities that they may incur in such capacities. As such, our Amended and Restated Bylaws provide for indemnification of our directors and officers.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permitted by Section 145 of the DGCL, Article IV of our Amended and Restated Bylaws provides that we shall indemnify our officers and directors to the fullest extent permitted by the DGCL and that expenses incurred by any such person in defending a proceeding shall be paid by the Company in advance of the final disposition of such proceeding.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maintain policies of insurance under which the directors and officers of the Company are insured, within the limits and subject to the limitations of the policies, against certain expenses in connection with the defense of actions, suits or proceedings, and certain liabilities which might be imposed as a result of such actions, suits or proceedings, to which they are parties by reason of being or having been such directors or officers.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Company has entered into indemnification agreements whereby it has agreed to indemnify its officers and directors for specific liabilities that they may incur in such capacities.</w:t>
      </w:r>
    </w:p>
    <w:p>
      <w:pPr>
        <w:pStyle w:val="TextBody"/>
        <w:bidi w:val="0"/>
        <w:spacing w:lineRule="auto" w:line="26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7. Exemption from Registration Claimed </w:t>
      </w:r>
    </w:p>
    <w:p>
      <w:pPr>
        <w:pStyle w:val="TextBody"/>
        <w:bidi w:val="0"/>
        <w:spacing w:lineRule="auto" w:line="26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lineRule="auto" w:line="240"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8. Exhibits.</w:t>
      </w:r>
    </w:p>
    <w:p>
      <w:pPr>
        <w:pStyle w:val="TextBody"/>
        <w:bidi w:val="0"/>
        <w:spacing w:lineRule="auto" w:line="240"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list of exhibits, see the Exhibit Index to this Registration Statement, which is incorporated in this item by reference. </w:t>
      </w:r>
    </w:p>
    <w:p>
      <w:pPr>
        <w:pStyle w:val="TextBody"/>
        <w:bidi w:val="0"/>
        <w:spacing w:lineRule="auto" w:line="26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 Undertakings.</w:t>
      </w:r>
    </w:p>
    <w:p>
      <w:pPr>
        <w:pStyle w:val="TextBody"/>
        <w:bidi w:val="0"/>
        <w:spacing w:lineRule="auto" w:line="26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The undersigned registrant hereby undertakes: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To file, during any period in which offers or sales are being made, a post-effective amendment to this Registration Statement:</w:t>
      </w:r>
    </w:p>
    <w:p>
      <w:pPr>
        <w:pStyle w:val="TextBody"/>
        <w:bidi w:val="0"/>
        <w:spacing w:lineRule="auto" w:line="26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To include any prospectus required by section 10(a)(3) of the Securities Act;</w:t>
      </w:r>
    </w:p>
    <w:p>
      <w:pPr>
        <w:pStyle w:val="TextBody"/>
        <w:bidi w:val="0"/>
        <w:spacing w:lineRule="auto" w:line="26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lineRule="auto" w:line="26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provided, however, that paragraphs (a)(1)(i) and (a)(1)(ii) of this section do not apply if the information required to be included in a post-effective amendment by those paragraphs is contained in reports filed with or furnished to the SEC by the undersigned registrant pursuant to Section 13 or Section 15(d) of the Exchange Act that are incorporated by reference in the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 To remove from registration by means of a post-effective amendment any of the securities being registered which remain unsold at the termination of the offering.</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The undersigned registrant hereby undertakes that, for purposes of determining any liability under the Securities Act, each filing of the undersigned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Insofar as indemnification for liabilities arising under the Securities Act may be permitted to directors, officers and controlling persons of the undersigned registrant pursuant to the foregoing provisions, or otherwise, the undersigned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undersigned registrant of expenses incurred or paid by a director, officer or controlling person of the undersigned registrant in the successful defense of any action, suit or proceeding) is asserted by such director, officer or controlling person in connection with the securities being registered, the undersigned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INDEX </w:t>
      </w:r>
    </w:p>
    <w:p>
      <w:pPr>
        <w:pStyle w:val="TextBody"/>
        <w:bidi w:val="0"/>
        <w:spacing w:lineRule="auto" w:line="240" w:before="0" w:after="0"/>
        <w:jc w:val="left"/>
        <w:rPr>
          <w:color w:val="000000"/>
          <w:shd w:fill="FFFFFF" w:val="clear"/>
        </w:rPr>
      </w:pPr>
      <w:r>
        <w:rPr>
          <w:color w:val="000000"/>
          <w:shd w:fill="FFFFFF" w:val="clear"/>
        </w:rPr>
        <w:t> </w:t>
      </w:r>
    </w:p>
    <w:tbl>
      <w:tblPr>
        <w:tblW w:w="667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663"/>
        <w:gridCol w:w="1663"/>
        <w:gridCol w:w="237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sx82026.htm">
              <w:r>
                <w:rPr>
                  <w:rStyle w:val="InternetLink"/>
                  <w:rFonts w:ascii="Times New Roman;serif" w:hAnsi="Times New Roman;serif"/>
                  <w:b w:val="false"/>
                  <w:color w:val="0000FF"/>
                  <w:sz w:val="20"/>
                  <w:u w:val="single"/>
                </w:rPr>
                <w:t>Amended and Restated 2000 Long-Term Incentive Plan.</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xsx82026.htm">
              <w:r>
                <w:rPr>
                  <w:rStyle w:val="InternetLink"/>
                  <w:rFonts w:ascii="Times New Roman;serif" w:hAnsi="Times New Roman;serif"/>
                  <w:b w:val="false"/>
                  <w:color w:val="0000FF"/>
                  <w:sz w:val="20"/>
                  <w:u w:val="single"/>
                </w:rPr>
                <w:t>Opinion of Morgan, Lewis &amp; Bockius LLP.</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xsx82026.htm">
              <w:r>
                <w:rPr>
                  <w:rStyle w:val="InternetLink"/>
                  <w:rFonts w:ascii="Times New Roman;serif" w:hAnsi="Times New Roman;serif"/>
                  <w:b w:val="false"/>
                  <w:color w:val="0000FF"/>
                  <w:sz w:val="20"/>
                  <w:u w:val="single"/>
                </w:rPr>
                <w:t>Consent of Ernst &amp; Young LLP.</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xsx82026.htm">
              <w:r>
                <w:rPr>
                  <w:rStyle w:val="InternetLink"/>
                  <w:rFonts w:ascii="Times New Roman;serif" w:hAnsi="Times New Roman;serif"/>
                  <w:b w:val="false"/>
                  <w:color w:val="0000FF"/>
                  <w:sz w:val="20"/>
                  <w:u w:val="single"/>
                </w:rPr>
                <w:t>Consent of Morgan, Lewis &amp; Bockius LLP (included in Exhibit 5.1).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f65d09f58d45658beed9b69fa56bb5_19">
              <w:r>
                <w:rPr>
                  <w:rStyle w:val="InternetLink"/>
                  <w:rFonts w:ascii="Times New Roman;serif" w:hAnsi="Times New Roman;serif"/>
                  <w:b w:val="false"/>
                  <w:color w:val="0000FF"/>
                  <w:sz w:val="20"/>
                  <w:u w:val="single"/>
                </w:rPr>
                <w:t>Power of Attorney (included on signature page).</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before="120" w:after="12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the Company certifies that it has reasonable grounds to believe that it meets all of the requirements for filing on Form S-8 and has duly caused this Registration Statement on Form S-8 to be signed on its behalf by the undersigned, thereunto duly authorized, in the town of Garden City, State of New York, on June 30, 2026. </w:t>
      </w:r>
    </w:p>
    <w:p>
      <w:pPr>
        <w:pStyle w:val="TextBody"/>
        <w:bidi w:val="0"/>
        <w:spacing w:before="0" w:after="0"/>
        <w:jc w:val="left"/>
        <w:rPr/>
      </w:pPr>
      <w:r>
        <w:rPr/>
      </w:r>
    </w:p>
    <w:tbl>
      <w:tblPr>
        <w:tblW w:w="4361" w:type="dxa"/>
        <w:jc w:val="left"/>
        <w:tblInd w:w="0" w:type="dxa"/>
        <w:tblLayout w:type="fixed"/>
        <w:tblCellMar>
          <w:top w:w="28" w:type="dxa"/>
          <w:left w:w="28" w:type="dxa"/>
          <w:bottom w:w="28" w:type="dxa"/>
          <w:right w:w="28" w:type="dxa"/>
        </w:tblCellMar>
      </w:tblPr>
      <w:tblGrid>
        <w:gridCol w:w="124"/>
        <w:gridCol w:w="109"/>
        <w:gridCol w:w="109"/>
        <w:gridCol w:w="300"/>
        <w:gridCol w:w="300"/>
        <w:gridCol w:w="300"/>
        <w:gridCol w:w="904"/>
        <w:gridCol w:w="904"/>
        <w:gridCol w:w="1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Lifetime Brands,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B. Kay</w:t>
            </w:r>
          </w:p>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POWER OF ATTORNEY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Each person whose signature to this Registration Statement appears below hereby appoints Laurence Winoker as his or her attorney-in-fact to sign on his or her behalf individually and in the capacity stated below and to file all supplements, amendments and post-effective amendments to this Registration Statement, and any and all instruments or documents filed as a part of or in connection with this Registration Statement or any amendment or supplement thereto, and such attorney-in-fact may make such changes and additions to this Registration Statement as such attorney-in-fact may deem necessary or appropriate. </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 of the Securities Act of 1933, this Registration Statement has been signed by the following persons in the capacities and on the dates indicated.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7"/>
        <w:gridCol w:w="545"/>
        <w:gridCol w:w="547"/>
        <w:gridCol w:w="109"/>
        <w:gridCol w:w="109"/>
        <w:gridCol w:w="109"/>
        <w:gridCol w:w="2236"/>
        <w:gridCol w:w="2196"/>
        <w:gridCol w:w="2226"/>
        <w:gridCol w:w="109"/>
        <w:gridCol w:w="109"/>
        <w:gridCol w:w="109"/>
        <w:gridCol w:w="336"/>
        <w:gridCol w:w="336"/>
        <w:gridCol w:w="482"/>
      </w:tblGrid>
      <w:tr>
        <w:trPr/>
        <w:tc>
          <w:tcPr>
            <w:tcW w:w="64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Robert B. Kay</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Robert B. Kay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Laurence Winoker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President—Treasurer and 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Jeffrey Siegel</w:t>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Jeffrey Siegel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Herbert Evans</w:t>
              <w:br/>
              <w:t>Jeffrey Herbert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Rachael A. Jarosh</w:t>
            </w:r>
          </w:p>
          <w:p>
            <w:pPr>
              <w:pStyle w:val="TableContents"/>
              <w:bidi w:val="0"/>
              <w:spacing w:lineRule="auto" w:line="240" w:before="0"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Rachael A. Jarosh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Cherrie Nanninga</w:t>
            </w:r>
          </w:p>
          <w:p>
            <w:pPr>
              <w:pStyle w:val="TableContents"/>
              <w:bidi w:val="0"/>
              <w:spacing w:lineRule="auto" w:line="240" w:before="0"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Cherrie Nanninga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Bruce Pollack</w:t>
            </w:r>
          </w:p>
          <w:p>
            <w:pPr>
              <w:pStyle w:val="TableContents"/>
              <w:bidi w:val="0"/>
              <w:spacing w:lineRule="auto" w:line="240" w:before="0"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Bruce Pollack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J. Regan</w:t>
            </w:r>
          </w:p>
          <w:p>
            <w:pPr>
              <w:pStyle w:val="TableContents"/>
              <w:bidi w:val="0"/>
              <w:spacing w:lineRule="auto" w:line="240" w:before="0"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Michael J. Regan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Schnabel</w:t>
            </w:r>
          </w:p>
          <w:p>
            <w:pPr>
              <w:pStyle w:val="TableContents"/>
              <w:bidi w:val="0"/>
              <w:spacing w:lineRule="auto" w:line="240" w:before="0"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Michael Schnabel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Daniel Siegel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Siegel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 xml:space="preserve">Exhibit 5.1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June 30, 2026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Lifetime Brands, Inc.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1000 Stewart Avenue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Garden City, New York 11530 </w:t>
      </w:r>
    </w:p>
    <w:p>
      <w:pPr>
        <w:pStyle w:val="TextBody"/>
        <w:bidi w:val="0"/>
        <w:spacing w:lineRule="auto" w:line="240"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     Lifetime Brands, Inc.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S-8 Filed on June 30,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acted as counsel to Lifetime Brands, Inc., a Delaware corporation (the “Company”), in connection with the filing of the referenced Registration Statement (the “Registration Statement”) under the Securities Act of 1933, as amended (the “Act”), with the Securities and Exchange Commission (the “SEC”) on the date hereof. The Registration Statement relates to the registration of the offer and sale of up to 1,000,000 shares of common stock, par value $.01 per share, of the Company (the “Common Stock”), which may be issued pursuant to the Lifetime Brands, Inc. Amended and Restated 2000 Long-Term Incentive Plan (as further amended and restated, the “Plan”).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opinion letter, we have examined the Registration Statement and originals, or copies certified or otherwise identified to our satisfaction, of (i) the Company’s Second Restated Certificate of Incorporation, as amended to date, (ii) the Company’s Amended and Restated Bylaws, as amended to date, (iii) certain resolutions of the Company’s Board of Directors relating to the Registration Statement, (iv) the Plan, and (v) such other documents, records and other instruments as we have deemed appropriate for purposes of the opinions set forth herein.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Subject to the foregoing and the other matters set forth herein, we are of the opinion, as of the date hereof that the Common Stock has been duly authorized by the Company and, when issued by the Company in accordance with the provisions of the Plan, will be validly issued, fully paid, and non-assessable.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opinions expressed herein are limited to Federal laws of the United States and the Delaware General Corporation Law, and we express no opinion with respect to the laws of any other state or jurisdiction.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SEC thereunder.</w:t>
      </w:r>
    </w:p>
    <w:p>
      <w:pPr>
        <w:pStyle w:val="TextBody"/>
        <w:bidi w:val="0"/>
        <w:spacing w:before="240" w:after="283"/>
        <w:jc w:val="left"/>
        <w:rPr/>
      </w:pPr>
      <w:r>
        <w:rPr/>
      </w:r>
    </w:p>
    <w:tbl>
      <w:tblPr>
        <w:tblW w:w="2924" w:type="dxa"/>
        <w:jc w:val="left"/>
        <w:tblInd w:w="0" w:type="dxa"/>
        <w:tblLayout w:type="fixed"/>
        <w:tblCellMar>
          <w:top w:w="28" w:type="dxa"/>
          <w:left w:w="28" w:type="dxa"/>
          <w:bottom w:w="28" w:type="dxa"/>
          <w:right w:w="28" w:type="dxa"/>
        </w:tblCellMar>
      </w:tblPr>
      <w:tblGrid>
        <w:gridCol w:w="935"/>
        <w:gridCol w:w="822"/>
        <w:gridCol w:w="1167"/>
      </w:tblGrid>
      <w:tr>
        <w:trPr/>
        <w:tc>
          <w:tcPr>
            <w:tcW w:w="9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Morgan, Lewis &amp; Bockius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23.1</w:t>
      </w:r>
    </w:p>
    <w:p>
      <w:pPr>
        <w:pStyle w:val="TextBody"/>
        <w:bidi w:val="0"/>
        <w:spacing w:lineRule="auto" w:line="268" w:before="24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Registration Statement (Form S-8) pertaining to the Lifetime Brands, Inc. Amended and Restated 2000 Long-Term Incentive Plan, of our reports dated March 12, 2026, with respect to the consolidated financial statements of Lifetime Brands, Inc. and the effectiveness of internal control over financial reporting of Lifetime Brands, Inc. included in its Annual Report (Form 10-K) for the year ended December 31, 2025, filed with the Securities and Exchange Commission.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Jericho, New York </w:t>
      </w:r>
    </w:p>
    <w:p>
      <w:pPr>
        <w:pStyle w:val="TextBody"/>
        <w:bidi w:val="0"/>
        <w:spacing w:lineRule="auto" w:line="240"/>
        <w:jc w:val="left"/>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99.1</w: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AMENDED AND RESTATED 2000 LONG-TERM INCENTIVE PLAN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(Amended and Restated as of June 18, 2026) </w:t>
      </w:r>
    </w:p>
    <w:p>
      <w:pPr>
        <w:pStyle w:val="TextBody"/>
        <w:bidi w:val="0"/>
        <w:spacing w:lineRule="auto" w:line="288" w:before="240" w:after="283"/>
        <w:ind w:left="0" w:right="0" w:firstLine="49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color w:val="000000"/>
          <w:sz w:val="20"/>
        </w:rPr>
        <w:t>Purpose</w:t>
      </w:r>
      <w:r>
        <w:rPr>
          <w:rFonts w:ascii="Times New Roman;serif" w:hAnsi="Times New Roman;serif"/>
          <w:b w:val="false"/>
          <w:color w:val="000000"/>
          <w:sz w:val="20"/>
        </w:rPr>
        <w:t xml:space="preserve">. The purpose of this amended and restated 2000 Long-Term Incentive Plan (the “Plan”) of Lifetime Brands, Inc., a Delaware corporation (the “Company”), is to advance the interests of the Company and its stockholders by providing a means to attract, retain, motivate and reward directors, officers, employees and consultants of and service providers to the Company and its affiliates and to enable such persons to acquire or increase a proprietary interest in the Company, thereby promoting a closer identity of interests between such persons and the Company’s stockholders. This amended and restated Plan will be effective as of June 18, 2026 (the “2026 Amendment Effective Date”). Changes made pursuant to this amendment and restatement shall apply to Awards (as defined below) granted on or after the 2026 Amendment Effective Date. Awards granted prior to the 2026 Amendment Effective Date shall continue to be governed by the applicable Award Agreements and the terms of the Plan without giving effect to changes made pursuant to this 2026 Plan restatement, and the Committee shall administer such Awards in accordance with the Plan without giving effect to changes made pursuant to this 2026 Plan restatement. </w:t>
      </w:r>
    </w:p>
    <w:p>
      <w:pPr>
        <w:pStyle w:val="TextBody"/>
        <w:bidi w:val="0"/>
        <w:spacing w:lineRule="auto" w:line="288" w:before="240" w:after="283"/>
        <w:ind w:left="0" w:right="0" w:firstLine="490"/>
        <w:jc w:val="both"/>
        <w:rPr/>
      </w:pPr>
      <w:r>
        <w:rPr>
          <w:rFonts w:ascii="Times New Roman;serif" w:hAnsi="Times New Roman;serif"/>
          <w:b w:val="false"/>
          <w:color w:val="000000"/>
          <w:sz w:val="20"/>
        </w:rPr>
        <w:t xml:space="preserve">2. </w:t>
      </w:r>
      <w:r>
        <w:rPr>
          <w:rFonts w:ascii="Times New Roman;serif" w:hAnsi="Times New Roman;serif"/>
          <w:b/>
          <w:color w:val="000000"/>
          <w:sz w:val="20"/>
        </w:rPr>
        <w:t>Definitions</w:t>
      </w:r>
      <w:r>
        <w:rPr>
          <w:rFonts w:ascii="Times New Roman;serif" w:hAnsi="Times New Roman;serif"/>
          <w:b w:val="false"/>
          <w:color w:val="000000"/>
          <w:sz w:val="20"/>
        </w:rPr>
        <w:t xml:space="preserve">. The definitions of awards under the Plan, including Options, SARs (including Limited SARs), Restricted Stock, Deferred Stock, Stock granted as a bonus or in lieu of other awards, Dividend Equivalents and Other Stock-Based Awards are as set forth in Section 6 of the Plan. Such awards, together with any other right or interest granted to a Participant under the Plan, are termed “Awards.” For purposes of the Plan, the following additional terms shall be defined as set forth below: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“Award Agreement” means any written agreement, contract, notice or other instrument or document evidencing an Award.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“Beneficiary” means the person, persons, trust or trusts which have been designated by a Participant in the Participant’s most recent written beneficiary designation filed with the Committee to receive the benefits specified under the Plan upon such Participant’s death or, if there is no designated Beneficiary or surviving designated Beneficiary, then the person, persons, trust or trusts entitled by will or the laws of descent and distribution to receive such benefits.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 “Board” means the Board of Directors of the Company.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“Cause” shall have the meaning set forth in the applicable Award Agreement; provided that, if such Award Agreement does not include a definition of Cause, then (i) if there is an employment agreement or severance plan or agreement applicable to the Participant, Cause shall have the same definition as set forth in such plan or agreement; or (ii) if Cause is not defined in such plan or agreement or there is no such plan or agreement applicable to the Participant, then Cause shall mean that Participant (i) is convicted of a felony; (ii) commits an act of fraud, willful misconduct or dishonesty in connection with Participant’s employment or which results in material harm to the Company; or (iii) commits a material violation of any law, rule, or regulation of any governmental authority.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 “Clawback Policy” shall mean any applicable clawback policy approved by the Board, as in effect from time to time, whether approved before or after the grant of an Award.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 “Code” means the Internal Revenue Code of 1986, as amended from time to time. References to any provision of the Code shall be deemed to include regulations thereunder and successor provisions and regulations thereto.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g. “Committee” means the committee appointed by the Board to administer the Plan, or if no committee is appointed, the Board. Unless otherwise determined by the Board, the Compensation Committee of the Board shall be the Committee. Unless the Board determines otherwise, the Committee shall be comprised of solely not less than two members who each qualify as (i) a “Non-Employee Director” within the meaning of Rule 16b-3(b)(3) and (ii) an “independent director,” as determined in accordance with the independence standards established by the stock exchange on which the Stock is at the time primarily traded.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h. “Exchange Act” means the Securities Exchange Act of 1934, as amended from time to time. References to any provision of the Exchange Act shall be deemed to include rules thereunder and successor provisions and rules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“Fair Market Value” means, with respect to Stock, Awards, or other property, the fair market value of such Stock, Awards, or other property determined by such methods or procedures as shall be established from time to time by the Committee, provided, however, that if the Stock is listed on a national securities exchange or quoted in an interdealer quotation system, the Fair Market Value of such Stock on a given date shall be based upon the last sales price at the end of regular trading or, if unavailable, the average of the closing bid and asked prices per share of the Stock at the end of regular trading on such date (or, if there was no trading or quotation in the Stock on such date, on the next preceding date on which there was trading or quotation) as provided by one of such organizations.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j. “Good Reason” shall have the meaning set forth in the applicable Award Agreement; provided that, if such Award Agreement does not include a definition of Good Reason, then (i) if there is an employment agreement applicable to the Participant, Good Reason shall have the meaning set forth in such agreement; or (ii) if Good Reason is not defined in such agreement or there is no such agreement applicable to the Participant, then Good Reason shall not apply to the Participant.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k. “ISO” means any Option that is designated as an incentive stock option within the meaning of Section 422 of the Code, and qualifies as such.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l. “Parent” means any “person” (within the meaning of Section 13(d)(3) or 14(d)(2) of the Exchange Act) that controls the Company, either directly or indirectly through one or more intermediaries.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m. “Participant” means a person who, at a time when eligible under Section 5 hereof, has been granted an Award under the Plan.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n. “Rule 16b-3” means Rule 16b-3, as from time to time in effect and applicable to the Plan and Participants, promulgated by the Securities and Exchange Commission under Section 16 of the Exchange Act.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 “Stock” means the Company’s common stock, and such other securities as may be substituted for Stock pursuant to Section 4.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p. “Subsidiary” means each entity that is controlled by the Company or a Parent, either directly or indirectly through one or more intermediaries. </w:t>
      </w:r>
    </w:p>
    <w:p>
      <w:pPr>
        <w:pStyle w:val="TextBody"/>
        <w:bidi w:val="0"/>
        <w:spacing w:lineRule="auto" w:line="288" w:before="240" w:after="283"/>
        <w:ind w:left="0" w:right="0" w:firstLine="490"/>
        <w:jc w:val="left"/>
        <w:rPr/>
      </w:pPr>
      <w:r>
        <w:rPr>
          <w:rFonts w:ascii="Times New Roman;serif" w:hAnsi="Times New Roman;serif"/>
          <w:b w:val="false"/>
          <w:color w:val="000000"/>
          <w:sz w:val="20"/>
        </w:rPr>
        <w:t>3. </w:t>
      </w:r>
      <w:r>
        <w:rPr>
          <w:rFonts w:ascii="Times New Roman;serif" w:hAnsi="Times New Roman;serif"/>
          <w:b/>
          <w:color w:val="000000"/>
          <w:sz w:val="20"/>
        </w:rPr>
        <w:t xml:space="preserve">Administration. </w:t>
      </w:r>
    </w:p>
    <w:p>
      <w:pPr>
        <w:pStyle w:val="TextBody"/>
        <w:bidi w:val="0"/>
        <w:spacing w:lineRule="auto" w:line="288" w:before="240" w:after="283"/>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u w:val="single"/>
        </w:rPr>
        <w:t>Authority of the Committee.</w:t>
      </w:r>
      <w:r>
        <w:rPr>
          <w:color w:val="000000"/>
        </w:rPr>
        <w:t xml:space="preserve"> </w:t>
      </w:r>
      <w:r>
        <w:rPr>
          <w:rFonts w:ascii="Times New Roman;serif" w:hAnsi="Times New Roman;serif"/>
          <w:b w:val="false"/>
          <w:color w:val="000000"/>
          <w:sz w:val="20"/>
        </w:rPr>
        <w:t xml:space="preserve">Except as otherwise provided below, the Plan shall be administered by the Committee. The Committee shall have full and final authority to take the following actions, in each case subject to and consistent with the provisions of the Plan: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 to select persons to whom Awards may be granted;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 to determine the type or types of Awards to be granted to each such person;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 to determine the number of Awards to be granted, the number of shares of Stock to which an Award will relate, the terms and conditions of any Award granted under the Plan (including, but not limited to, any exercise price, grant price or purchase price, any restriction or condition (including, but not limited to, restrictive covenant obligations (such as confidentiality, non-competition and non-solicitation covenants), and clawback or recoupment provisions), any schedule for lapse of restrictions or conditions relating to transferability or forfeiture, vesting, exercisability or settlement of an Award (subject to the limitations of Section 7(f)), performance conditions relating to an Award (including performance conditions relating to Awards not intended to be governed by Section 7(e)) and waivers and modifications thereof (subject to the limitations of Section 7(f)), based in each case on such considerations as the Committee shall determine), and all other matters to be determined in connection with an Award;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 to accelerate vesting of any Award in connection with a Participant’s death, retirement, disability or involuntary termination of employment or service, in the event of a Change in Control (as defined below) or a corporate transaction or event described in Section 4(c), or in other circumstances as the Committee deems appropriate;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 to determine whether, to what extent and under what circumstances an Award may be settled, or the exercise price of an Award may be paid, in cash, Stock, other Awards, or other property, or an Award may be canceled, forfeited, or surrendered;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 to determine whether, to what extent and under what circumstances cash, Stock, other Awards or other property payable with respect to an Award will be deferred either automatically, at the election of the Committee or at the election of the Participant, consistent with Section 409A of the Code;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vii. to determine the restrictions, if any, to which Stock received upon exercise or settlement of an Award shall be subject (including lock-ups and other transfer restrictions) and condition the delivery of such Stock upon the execution by the Participant of any agreement providing for such restrictions;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viii. to prescribe the form of each Award Agreement, which need not be identical for each Participant;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ix. to adopt, amend, suspend, waive and rescind such rules and regulations and appoint such agents as the Committee may deem necessary or advisable to administer the Plan;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x. to correct any defect or supply any omission or reconcile any inconsistency in the Plan and to construe and interpret the Plan and any Award, rules and regulations, Award Agreement or other instrument hereunder; and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xi. to make all other decisions and determinations as may be required under the terms of the Plan or as the Committee may deem necessary or advisable for the administration of the Plan.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provisions of the Plan notwithstanding, (i) the Board shall perform the functions of the Committee for purposes of granting awards to directors who serve on the Committee and (ii) the Board may perform any function of the Committee under the Plan for any other purpose, including without limitation for the purpose of ensuring that transactions under the Plan by Participants who are then subject to Section 16 of the Exchange Act in respect of the Company are exempt under Rule 16b-3. In any case in which the Board is performing a function of the Committee under the Plan, each reference to the Committee herein shall be deemed to refer to the Board, except where the context otherwise requires.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Manner of Exercise of Committee Authority.</w:t>
      </w:r>
      <w:r>
        <w:rPr>
          <w:color w:val="000000"/>
        </w:rPr>
        <w:t xml:space="preserve"> </w:t>
      </w:r>
      <w:r>
        <w:rPr>
          <w:rFonts w:ascii="Times New Roman;serif" w:hAnsi="Times New Roman;serif"/>
          <w:b w:val="false"/>
          <w:color w:val="000000"/>
          <w:sz w:val="20"/>
        </w:rPr>
        <w:t xml:space="preserve">Any action of the Committee with respect to the Plan shall be final, conclusive and binding on all persons, including the Company, its Parent and Subsidiaries, Participants, any person claiming any rights under the Plan from or through any Participant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(subject to Section 9(f)). The express grant of any specific power to the Committee, and the taking of any action by the Committee, shall not be construed as limiting any power or authority of the Committee. The Committee may delegate to officers or managers of the Company, its Parent or Subsidiaries the authority, subject to such terms as the Committee shall determine, to perform such functions as the Committee may determine, to the extent permitted under applicable law.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Limitation of Liability; Indemnification.</w:t>
      </w:r>
      <w:r>
        <w:rPr>
          <w:color w:val="000000"/>
        </w:rPr>
        <w:t xml:space="preserve"> </w:t>
      </w:r>
      <w:r>
        <w:rPr>
          <w:rFonts w:ascii="Times New Roman;serif" w:hAnsi="Times New Roman;serif"/>
          <w:b w:val="false"/>
          <w:color w:val="000000"/>
          <w:sz w:val="20"/>
        </w:rPr>
        <w:t xml:space="preserve">Each member of the Committee shall be entitled to, in good faith, rely or act upon any report or other information furnished to such member by any officer or other employee of the Company, its Parent or Subsidiaries, the Company’s independent certified public accountants or any executive compensation consultant, legal counsel or other professional retained by the Company to assist in the administration of the Plan. No member of the Committee, or any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its behalf shall, to the extent permitted by law, be fully indemnified and protected by the Company with respect to any such action, determination or interpretation. </w:t>
      </w:r>
    </w:p>
    <w:p>
      <w:pPr>
        <w:pStyle w:val="TextBody"/>
        <w:bidi w:val="0"/>
        <w:spacing w:lineRule="auto" w:line="288" w:before="240" w:after="283"/>
        <w:ind w:left="0" w:right="0" w:firstLine="489"/>
        <w:jc w:val="left"/>
        <w:rPr>
          <w:rFonts w:ascii="Times New Roman;serif" w:hAnsi="Times New Roman;serif"/>
          <w:b/>
          <w:color w:val="000000"/>
          <w:sz w:val="20"/>
        </w:rPr>
      </w:pPr>
      <w:r>
        <w:rPr>
          <w:rFonts w:ascii="Times New Roman;serif" w:hAnsi="Times New Roman;serif"/>
          <w:b/>
          <w:color w:val="000000"/>
          <w:sz w:val="20"/>
        </w:rPr>
        <w:t xml:space="preserve">4. Stock Subject to Plan.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Amount of Stock Reserved.</w:t>
      </w:r>
      <w:r>
        <w:rPr>
          <w:color w:val="000000"/>
        </w:rPr>
        <w:t xml:space="preserve"> </w:t>
      </w:r>
      <w:r>
        <w:rPr>
          <w:rFonts w:ascii="Times New Roman;serif" w:hAnsi="Times New Roman;serif"/>
          <w:b w:val="false"/>
          <w:color w:val="000000"/>
          <w:sz w:val="20"/>
        </w:rPr>
        <w:t xml:space="preserve">Subject to Section 4(c), the aggregate number of shares of Stock for which Awards may be granted under this Plan (since its inception) shall not exceed 10,717,500. Awards made under this Plan which are forfeited (including a repurchase or cancellation of shares of Stock subject thereto by the Company in exchange for the price, if any, paid to the Company for such shares, or for their par value or other nominal value), terminated, surrendered, cancelled or have expired, shall be disregarded for purposes of the preceding sentence and shall not be considered as having been theretofore made subject to an Award. Shares of Stock shall not again be available for award if such shares are surrendered or withheld as payment either of the exercise price of an Option or SAR or of withholding taxes in respect of the exercise, settlement or payment of, or the lapse of restrictions with respect to, any Award. Shares purchased in the open market with proceeds from Option exercises shall not be added to the pool of available shares. The exercise or settlement of a SAR shall reduce the shares of Stock available under the Plan by the total number of shares to which the exercise or settlement of the SAR relates, not just the net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shares actually issued upon exercise or settlement. Awards settled solely in cash shall not reduce the number of shares of Stock available for issuance under the Plan. Any shares of Stock subject to an Option (or part thereof) that is cancelled upon exercise of a tandem SAR when settled wholly or partially in shares shall to the extent of such settlement in shares be treated as if the Option itself had been exercised and such shares shall no longer be available for award. Any shares of Stock delivered pursuant to an Award may consist, in whole or in part, of authorized and unissued shares, treasury shares or shares acquired in the market on a Participant’s behalf.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Annual Per-Participant Limitations.</w:t>
      </w:r>
      <w:r>
        <w:rPr>
          <w:color w:val="000000"/>
        </w:rPr>
        <w:t xml:space="preserve"> </w:t>
      </w:r>
      <w:r>
        <w:rPr>
          <w:rFonts w:ascii="Times New Roman;serif" w:hAnsi="Times New Roman;serif"/>
          <w:b w:val="false"/>
          <w:color w:val="000000"/>
          <w:sz w:val="20"/>
        </w:rPr>
        <w:t xml:space="preserve">During any calendar year, no Participant may be granted Awards that may be settled by delivery of more than 500,000 shares of Stock, subject to adjustment as provided in Section 4(c). In addition, with respect to Awards that may be settled in cash (in whole or in part), no Participant may be paid during any calendar year cash amounts relating to such Awards that exceed the greater of the Fair Market Value of the number of shares of Stock set forth in the preceding sentence at the date of grant or the date of settlement of the Award. The preceding sentences set forth two separate limitations, so that Awards that may be settled solely by delivery of Stock will not operate to reduce the amount of cash-only Awards, and vice versa; nevertheless, Awards that may be settled in Stock or cash must not exceed either limitation. In addition to the foregoing limitations, subject to adjustment as described in Section 4(c) the maximum aggregate grant date value of shares of Company Stock subject to Awards granted to any Non-Employee Director during any calendar year for services rendered as a Non-Employee Director, taken together with any cash fees earned by such Non-Employee Director for services rendered as a Non-Employee Director during the calendar year, shall not exceed $500,000 in total value. For purposes of this limit, the value of such Awards shall be calculated based on the grant date fair value of such Awards for financial reporting purposes.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Adjustments.</w:t>
      </w:r>
      <w:r>
        <w:rPr>
          <w:color w:val="000000"/>
        </w:rPr>
        <w:t xml:space="preserve"> </w:t>
      </w:r>
      <w:r>
        <w:rPr>
          <w:rFonts w:ascii="Times New Roman;serif" w:hAnsi="Times New Roman;serif"/>
          <w:b w:val="false"/>
          <w:color w:val="000000"/>
          <w:sz w:val="20"/>
        </w:rPr>
        <w:t xml:space="preserve">In the event of any recapitalization, reclassification, forward or reverse split, reorganization, merger, consolidation, spinoff, combination, repurchase or exchange of Stock or other securities, Stock dividend or other special, large and non-recurring dividend or distribution (whether in the form of cash, securities or other property), liquidation, dissolution, or any other extraordinary or unusual event affecting the outstanding Stock as a class, then the Committee shall equitably adjust any or all of (i) the number and kind of shares of Stock reserved and available for Awards under Section 4(a) and 4(b), including shares reserved for ISOs and the number of shares which may be issued without regard to the vesting requirements set forth in Section 7(f), (ii) the number and kind of shares of outstanding Restricted Stock or shares subject to other outstanding Awards in connection with which the shares have been issued, (iii) the number and kind of shares that may be issued in respect of other outstanding Awards, (iv) the maximum number and kind of shares of Stock for which any individual may receive Awards in any year, and (v) the exercise price, grant price or purchase price relating to any Award (or, if deemed appropriate, the Committee may make provision for a cash payment with respect to any outstanding Award), to preclude, to the extent practicable, the enlargement or dilution of rights and benefits under the Plan and such outstanding Awards; provided, however, that any fractional shares resulting from such adjustment shall be eliminated. In addition, the Committee is authorized to make adjustments in the terms and conditions of, and the criteria included in, Awards (including, without limitation, cancellation of unexercised or outstanding Awards (to the extent permitted by Section 9(f)(ii)), or substitution of Awards using stock of a successor or other entity) in recognition of unusual or nonrecurring events (including, without limitation, events described in the preceding sentence) affecting the Company, its Parent or any Subsidiary or the financial statements of the Company, its Parent or any Subsidiary, or in response to changes in applicable laws, regulations, or accounting principles.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adjustments to outstanding Awards shall be consistent with Section 409A or 424 of the Code, to the extent applicable. Any adjustments determined by the Committee shall be final, binding and conclusive. </w:t>
      </w:r>
    </w:p>
    <w:p>
      <w:pPr>
        <w:pStyle w:val="TextBody"/>
        <w:bidi w:val="0"/>
        <w:spacing w:lineRule="auto" w:line="288" w:before="240" w:after="283"/>
        <w:ind w:left="0" w:right="0" w:firstLine="490"/>
        <w:jc w:val="both"/>
        <w:rPr/>
      </w:pPr>
      <w:r>
        <w:rPr>
          <w:rFonts w:ascii="Times New Roman;serif" w:hAnsi="Times New Roman;serif"/>
          <w:b w:val="false"/>
          <w:color w:val="000000"/>
          <w:sz w:val="20"/>
        </w:rPr>
        <w:t>5. </w:t>
      </w:r>
      <w:r>
        <w:rPr>
          <w:rFonts w:ascii="Times New Roman;serif" w:hAnsi="Times New Roman;serif"/>
          <w:b/>
          <w:color w:val="000000"/>
          <w:sz w:val="20"/>
        </w:rPr>
        <w:t>Eligibility.</w:t>
      </w:r>
      <w:r>
        <w:rPr>
          <w:color w:val="000000"/>
        </w:rPr>
        <w:t xml:space="preserve"> </w:t>
      </w:r>
      <w:r>
        <w:rPr>
          <w:rFonts w:ascii="Times New Roman;serif" w:hAnsi="Times New Roman;serif"/>
          <w:b w:val="false"/>
          <w:color w:val="000000"/>
          <w:sz w:val="20"/>
        </w:rPr>
        <w:t xml:space="preserve">Directors, officers and employees of the Company or its Parent or any Subsidiary, and persons who provide consulting or other services to the Company, its Parent or any Subsidiary deemed by the Committee to be of substantial value to the Company or its Parent and Subsidiaries, are eligible to be granted Awards under the Plan. In addition, persons who have been offered employment by, or agreed to become a director of, the Company, its Parent or any Subsidiary, and persons employed by an entity that the Committee reasonably expects to become a Subsidiary of the Company, are eligible to be granted an Award under the Plan. </w:t>
      </w:r>
    </w:p>
    <w:p>
      <w:pPr>
        <w:pStyle w:val="TextBody"/>
        <w:bidi w:val="0"/>
        <w:spacing w:lineRule="auto" w:line="288" w:before="240" w:after="283"/>
        <w:ind w:left="0" w:right="0" w:firstLine="490"/>
        <w:jc w:val="both"/>
        <w:rPr>
          <w:rFonts w:ascii="Times New Roman;serif" w:hAnsi="Times New Roman;serif"/>
          <w:b/>
          <w:color w:val="000000"/>
          <w:sz w:val="20"/>
        </w:rPr>
      </w:pPr>
      <w:r>
        <w:rPr>
          <w:rFonts w:ascii="Times New Roman;serif" w:hAnsi="Times New Roman;serif"/>
          <w:b/>
          <w:color w:val="000000"/>
          <w:sz w:val="20"/>
        </w:rPr>
        <w:t xml:space="preserve">6. Specific Terms of Awards.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General.</w:t>
      </w:r>
      <w:r>
        <w:rPr>
          <w:color w:val="000000"/>
        </w:rPr>
        <w:t xml:space="preserve"> </w:t>
      </w:r>
      <w:r>
        <w:rPr>
          <w:rFonts w:ascii="Times New Roman;serif" w:hAnsi="Times New Roman;serif"/>
          <w:b w:val="false"/>
          <w:color w:val="000000"/>
          <w:sz w:val="20"/>
        </w:rPr>
        <w:t xml:space="preserve">Awards may be granted on the terms and conditions set forth in this Section 6. In addition, the Committee may impose on any Award or the exercise thereof such additional terms and conditions, not inconsistent with the provisions of the Plan, as the Committee shall determine, including terms requiring forfeiture of Awards in the event of termination of employment or service of the Participant. Except as expressly provided by the Committee (including for purposes of complying with the requirements of the Delaware General Corporation Law relating to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lawful consideration for the issuance of shares), no consideration other than services will be required as consideration for the grant (but not the exercise) of any Award.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Options.</w:t>
      </w:r>
      <w:r>
        <w:rPr>
          <w:color w:val="000000"/>
        </w:rPr>
        <w:t xml:space="preserve"> </w:t>
      </w:r>
      <w:r>
        <w:rPr>
          <w:rFonts w:ascii="Times New Roman;serif" w:hAnsi="Times New Roman;serif"/>
          <w:b w:val="false"/>
          <w:color w:val="000000"/>
          <w:sz w:val="20"/>
        </w:rPr>
        <w:t xml:space="preserve">The Committee is authorized to grant options to purchase Stock on the following terms and conditions (“Options”):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 </w:t>
      </w:r>
      <w:r>
        <w:rPr>
          <w:rFonts w:ascii="Times New Roman;serif" w:hAnsi="Times New Roman;serif"/>
          <w:b w:val="false"/>
          <w:i/>
          <w:color w:val="000000"/>
          <w:sz w:val="20"/>
        </w:rPr>
        <w:t>Exercise Price.</w:t>
      </w:r>
      <w:r>
        <w:rPr>
          <w:color w:val="000000"/>
        </w:rPr>
        <w:t xml:space="preserve"> </w:t>
      </w:r>
      <w:r>
        <w:rPr>
          <w:rFonts w:ascii="Times New Roman;serif" w:hAnsi="Times New Roman;serif"/>
          <w:b w:val="false"/>
          <w:color w:val="000000"/>
          <w:sz w:val="20"/>
        </w:rPr>
        <w:t xml:space="preserve">The exercise price per share of Stock purchasable under an Option shall be determined by the Committee; provided, however, such exercise price may not be less than 100% of the Fair Market Value of such Stock on the date of grant of such Option.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 </w:t>
      </w:r>
      <w:r>
        <w:rPr>
          <w:rFonts w:ascii="Times New Roman;serif" w:hAnsi="Times New Roman;serif"/>
          <w:b w:val="false"/>
          <w:i/>
          <w:color w:val="000000"/>
          <w:sz w:val="20"/>
        </w:rPr>
        <w:t>Time and Method of Exercise.</w:t>
      </w:r>
      <w:r>
        <w:rPr>
          <w:color w:val="000000"/>
        </w:rPr>
        <w:t xml:space="preserve"> </w:t>
      </w:r>
      <w:r>
        <w:rPr>
          <w:rFonts w:ascii="Times New Roman;serif" w:hAnsi="Times New Roman;serif"/>
          <w:b w:val="false"/>
          <w:color w:val="000000"/>
          <w:sz w:val="20"/>
        </w:rPr>
        <w:t xml:space="preserve">The Committee shall determine the time or times at which an Option may be exercised in whole or in part (subject to the limitations of Section 7(f)), the methods by which such exercise price may be paid or deemed to be paid, the form of such payment, including, without limitation, cash, Stock, other Awards or awards granted under other Company plans or other property (including notes or other contractual obligations of Participants to make payment on a deferred basis, such as through “cashless exercise” arrangements, to the extent permitted by applicable law), and the methods by which Stock will be delivered or deemed to be delivered to Participants.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iii. </w:t>
      </w:r>
      <w:r>
        <w:rPr>
          <w:rFonts w:ascii="Times New Roman;serif" w:hAnsi="Times New Roman;serif"/>
          <w:b w:val="false"/>
          <w:i/>
          <w:color w:val="000000"/>
          <w:sz w:val="20"/>
        </w:rPr>
        <w:t>Termination of Employment or Service.</w:t>
      </w:r>
      <w:r>
        <w:rPr>
          <w:color w:val="000000"/>
        </w:rPr>
        <w:t xml:space="preserve"> </w:t>
      </w:r>
      <w:r>
        <w:rPr>
          <w:rFonts w:ascii="Times New Roman;serif" w:hAnsi="Times New Roman;serif"/>
          <w:b w:val="false"/>
          <w:color w:val="000000"/>
          <w:sz w:val="20"/>
        </w:rPr>
        <w:t xml:space="preserve">The Committee shall determine the period, if any, during which Options shall be exercisable following termination of a Participant’s employment or service relationship with the Company, its Parent or any Subsidiary. For this purpose, unless otherwise determined by the Committee, any sale of a Subsidiary of the Company pursuant to which it ceases to be a Subsidiary of the Company shall be deemed to be a termination of employment or service by any Participant employed or retained by such Subsidiary. Unless otherwise determined by the Committee, (x) during any period that an Option is exercisable following termination of employment or service, it shall be exercisable only to the extent it was exercisable upon such termination of employment or service, and (y) if such termination of employment or service is for Cause, as determined in the discretion of the Committee, all Options held by the Participant shall immediately terminate.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iv. </w:t>
      </w:r>
      <w:r>
        <w:rPr>
          <w:rFonts w:ascii="Times New Roman;serif" w:hAnsi="Times New Roman;serif"/>
          <w:b w:val="false"/>
          <w:i/>
          <w:color w:val="000000"/>
          <w:sz w:val="20"/>
        </w:rPr>
        <w:t>Options Providing Favorable Tax Treatment.</w:t>
      </w:r>
      <w:r>
        <w:rPr>
          <w:color w:val="000000"/>
        </w:rPr>
        <w:t xml:space="preserve"> </w:t>
      </w:r>
      <w:r>
        <w:rPr>
          <w:rFonts w:ascii="Times New Roman;serif" w:hAnsi="Times New Roman;serif"/>
          <w:b w:val="false"/>
          <w:color w:val="000000"/>
          <w:sz w:val="20"/>
        </w:rPr>
        <w:t xml:space="preserve">The Committee may grant Options that may afford a Participant with favorable treatment under the tax laws applicable to such Participant, including, but not limited to ISOs. If Stock acquired by exercise of an ISO is sold or otherwise disposed of within two years after the date of grant of the ISO or within one year after the transfer of such Stock to the Participant, the holder of the Stock immediately prior to the disposition shall promptly notify the Company in writing of the date and terms of the disposition and shall provide such other information regarding the disposition as the Company may reasonably require in order to secure any deduction then available against the Company’s or any other corporation’s taxable income. The Company may impose such procedures as it determines may be necessary to ensure that such notification is made. Each Option granted as an ISO shall be designated as such in the Award Agreement relating to such Option. ISOs may only be granted to individuals who are employees of the Company or any parent or subsidiary corporation of the Company (as defined by Section 422 of the Code).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Stock Appreciation Rights.</w:t>
      </w:r>
      <w:r>
        <w:rPr>
          <w:color w:val="000000"/>
        </w:rPr>
        <w:t xml:space="preserve"> </w:t>
      </w:r>
      <w:r>
        <w:rPr>
          <w:rFonts w:ascii="Times New Roman;serif" w:hAnsi="Times New Roman;serif"/>
          <w:b w:val="false"/>
          <w:color w:val="000000"/>
          <w:sz w:val="20"/>
        </w:rPr>
        <w:t xml:space="preserve">The Committee is authorized to grant stock appreciation rights (“SARs”) on the following terms and conditions: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 </w:t>
      </w:r>
      <w:r>
        <w:rPr>
          <w:rFonts w:ascii="Times New Roman;serif" w:hAnsi="Times New Roman;serif"/>
          <w:b w:val="false"/>
          <w:i/>
          <w:color w:val="000000"/>
          <w:sz w:val="20"/>
        </w:rPr>
        <w:t>Right to Payment</w:t>
      </w:r>
      <w:r>
        <w:rPr>
          <w:rFonts w:ascii="Times New Roman;serif" w:hAnsi="Times New Roman;serif"/>
          <w:b w:val="false"/>
          <w:color w:val="000000"/>
          <w:sz w:val="20"/>
        </w:rPr>
        <w:t xml:space="preserve">. An SAR shall confer on the Participant to whom it is granted a right to receive, upon exercise thereof, the excess of (A) the Fair Market Value of one share of Stock on the date of exercise, over (B) the exercise price of the SAR as determined by the Committee as of the date of grant of the SAR, which, except as provided in Section 7(a), shall be not less than the Fair Market Value of one share of Stock on the date of grant.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 </w:t>
      </w:r>
      <w:r>
        <w:rPr>
          <w:rFonts w:ascii="Times New Roman;serif" w:hAnsi="Times New Roman;serif"/>
          <w:b w:val="false"/>
          <w:i/>
          <w:color w:val="000000"/>
          <w:sz w:val="20"/>
        </w:rPr>
        <w:t>Other Terms.</w:t>
      </w:r>
      <w:r>
        <w:rPr>
          <w:color w:val="000000"/>
        </w:rPr>
        <w:t xml:space="preserve"> </w:t>
      </w:r>
      <w:r>
        <w:rPr>
          <w:rFonts w:ascii="Times New Roman;serif" w:hAnsi="Times New Roman;serif"/>
          <w:b w:val="false"/>
          <w:color w:val="000000"/>
          <w:sz w:val="20"/>
        </w:rPr>
        <w:t xml:space="preserve">The Committee shall determine the time or times at which a SAR may be exercised in whole or in part (subject to the limitations of Section 7(f)), the method of exercise, method of settlement, form of consideration payable in settlement, method by which Stock will be delivered or deemed to be delivered to Participants, whether or not a SAR shall be in tandem with any other Award, and any other terms and conditions of any SAR. “Limited SARs,” which may only be exercised upon the occurrence of a Change in Control of the Company, may be granted on such terms not inconsistent with this Section 6(c), as the Committee may determine. Limited SARs may be either freestanding or in tandem with other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Restricted Stock.</w:t>
      </w:r>
      <w:r>
        <w:rPr>
          <w:color w:val="000000"/>
        </w:rPr>
        <w:t xml:space="preserve"> </w:t>
      </w:r>
      <w:r>
        <w:rPr>
          <w:rFonts w:ascii="Times New Roman;serif" w:hAnsi="Times New Roman;serif"/>
          <w:b w:val="false"/>
          <w:color w:val="000000"/>
          <w:sz w:val="20"/>
        </w:rPr>
        <w:t xml:space="preserve">The Committee is authorized to grant Stock that is subject to restrictions based on continued employment on the following terms and conditions (“Restricted Stock”):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 </w:t>
      </w:r>
      <w:r>
        <w:rPr>
          <w:rFonts w:ascii="Times New Roman;serif" w:hAnsi="Times New Roman;serif"/>
          <w:b w:val="false"/>
          <w:i/>
          <w:color w:val="000000"/>
          <w:sz w:val="20"/>
        </w:rPr>
        <w:t>Grant and Restrictions.</w:t>
      </w:r>
      <w:r>
        <w:rPr>
          <w:color w:val="000000"/>
        </w:rPr>
        <w:t xml:space="preserve"> </w:t>
      </w:r>
      <w:r>
        <w:rPr>
          <w:rFonts w:ascii="Times New Roman;serif" w:hAnsi="Times New Roman;serif"/>
          <w:b w:val="false"/>
          <w:color w:val="000000"/>
          <w:sz w:val="20"/>
        </w:rPr>
        <w:t xml:space="preserve">Restricted Stock shall be subject to such restrictions on transferability and other restrictions, if any, as the Committee may impose, which restrictions may lapse separately or in combination at such times, under such circumstances, in such installments, or otherwise, as the Committee may determine (subject to the limitations of Section 7(f)). Except to the extent restricted under the terms of the Plan (including subsection (iv) below) and any Award Agreement relating to the Restricted Stock, a Participant granted Restricted Stock shall have all of the rights of a stockholder including, without limitation, the right to vote Restricted Stock or the right to receive dividends thereon.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 </w:t>
      </w:r>
      <w:r>
        <w:rPr>
          <w:rFonts w:ascii="Times New Roman;serif" w:hAnsi="Times New Roman;serif"/>
          <w:b w:val="false"/>
          <w:i/>
          <w:color w:val="000000"/>
          <w:sz w:val="20"/>
        </w:rPr>
        <w:t>Forfeiture.</w:t>
      </w:r>
      <w:r>
        <w:rPr>
          <w:color w:val="000000"/>
        </w:rPr>
        <w:t xml:space="preserve"> </w:t>
      </w:r>
      <w:r>
        <w:rPr>
          <w:rFonts w:ascii="Times New Roman;serif" w:hAnsi="Times New Roman;serif"/>
          <w:b w:val="false"/>
          <w:color w:val="000000"/>
          <w:sz w:val="20"/>
        </w:rPr>
        <w:t xml:space="preserve">Except as otherwise determined by the Committee, upon termination of employment or service (as determined under criteria established by the Committee) during the applicable restriction period, Restricted Stock that is at that time subject to restrictions shall be forfeited and reacquired by the Company; provided, however, that the Committee may provide, by rule or regulation or in any Award Agreement, or may determine in any individual case, that restrictions or forfeiture conditions relating to Restricted Stock will be waived in whole or in part in the event of termination resulting from specified causes.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iii. </w:t>
      </w:r>
      <w:r>
        <w:rPr>
          <w:rFonts w:ascii="Times New Roman;serif" w:hAnsi="Times New Roman;serif"/>
          <w:b w:val="false"/>
          <w:i/>
          <w:color w:val="000000"/>
          <w:sz w:val="20"/>
        </w:rPr>
        <w:t>Certificates for Stock.</w:t>
      </w:r>
      <w:r>
        <w:rPr>
          <w:color w:val="000000"/>
        </w:rPr>
        <w:t xml:space="preserve"> </w:t>
      </w:r>
      <w:r>
        <w:rPr>
          <w:rFonts w:ascii="Times New Roman;serif" w:hAnsi="Times New Roman;serif"/>
          <w:b w:val="false"/>
          <w:color w:val="000000"/>
          <w:sz w:val="20"/>
        </w:rPr>
        <w:t xml:space="preserve">Restricted Stock granted under the Plan may be evidenced in such manner as the Committee shall determine. If certificates representing Restricted Stock are registered in the name of the Participant, such certificates may bear an appropriate legend referring to the terms, conditions, and restrictions applicable to such Restricted Stock and the Company may retain physical possession of the certificate, in which case the Participant shall be required to have delivered a stock power to the Company, endorsed in blank, relating to the Restricted Stock.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iv. </w:t>
      </w:r>
      <w:r>
        <w:rPr>
          <w:rFonts w:ascii="Times New Roman;serif" w:hAnsi="Times New Roman;serif"/>
          <w:b w:val="false"/>
          <w:i/>
          <w:color w:val="000000"/>
          <w:sz w:val="20"/>
        </w:rPr>
        <w:t>Dividends.</w:t>
      </w:r>
      <w:r>
        <w:rPr>
          <w:color w:val="000000"/>
        </w:rPr>
        <w:t xml:space="preserve"> </w:t>
      </w:r>
      <w:r>
        <w:rPr>
          <w:rFonts w:ascii="Times New Roman;serif" w:hAnsi="Times New Roman;serif"/>
          <w:b w:val="false"/>
          <w:color w:val="000000"/>
          <w:sz w:val="20"/>
        </w:rPr>
        <w:t xml:space="preserve">Dividends paid on Restricted Stock shall be either paid in cash or in shares of unrestricted Stock having a Fair Market Value equal to the amount of such dividends, or the payment of such dividends shall be deferred and/or the amount or value thereof automatically reinvested in additional Restricted Stock, other Awards, or other investment vehicles, as the Committee shall determine or permit the Participant to elect consistent with Section 409A of the Code; provided that, dividends with respect to Restricted Stock shall vest and be paid only if and to the extent the underlying shares of Restricted Stock vest and are paid.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Deferred Stock.</w:t>
      </w:r>
      <w:r>
        <w:rPr>
          <w:color w:val="000000"/>
        </w:rPr>
        <w:t xml:space="preserve"> </w:t>
      </w:r>
      <w:r>
        <w:rPr>
          <w:rFonts w:ascii="Times New Roman;serif" w:hAnsi="Times New Roman;serif"/>
          <w:b w:val="false"/>
          <w:color w:val="000000"/>
          <w:sz w:val="20"/>
        </w:rPr>
        <w:t xml:space="preserve">The Committee is authorized to grant units representing the right to receive Stock at a future date subject to the following terms and conditions (“Deferred Stock”):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 </w:t>
      </w:r>
      <w:r>
        <w:rPr>
          <w:rFonts w:ascii="Times New Roman;serif" w:hAnsi="Times New Roman;serif"/>
          <w:b w:val="false"/>
          <w:i/>
          <w:color w:val="000000"/>
          <w:sz w:val="20"/>
        </w:rPr>
        <w:t>Award and Restrictions.</w:t>
      </w:r>
      <w:r>
        <w:rPr>
          <w:color w:val="000000"/>
        </w:rPr>
        <w:t xml:space="preserve"> </w:t>
      </w:r>
      <w:r>
        <w:rPr>
          <w:rFonts w:ascii="Times New Roman;serif" w:hAnsi="Times New Roman;serif"/>
          <w:b w:val="false"/>
          <w:color w:val="000000"/>
          <w:sz w:val="20"/>
        </w:rPr>
        <w:t xml:space="preserve">Delivery of Stock will occur upon expiration of the deferral period specified for an Award of Deferred Stock by the Committee (or, if permitted by the Committee, as elected by the Participant, consistent with Section 409A of the Code). In addition, Deferred Stock shall be subject to such restrictions as the Committee may impose, which restrictions may lapse at the expiration of the deferral period or at earlier specified times, separately or in combination, in installments or otherwise, as the Committee may determine (subject to the limitations of Section 7(f)).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 </w:t>
      </w:r>
      <w:r>
        <w:rPr>
          <w:rFonts w:ascii="Times New Roman;serif" w:hAnsi="Times New Roman;serif"/>
          <w:b w:val="false"/>
          <w:i/>
          <w:color w:val="000000"/>
          <w:sz w:val="20"/>
        </w:rPr>
        <w:t>Forfeiture.</w:t>
      </w:r>
      <w:r>
        <w:rPr>
          <w:color w:val="000000"/>
        </w:rPr>
        <w:t xml:space="preserve"> </w:t>
      </w:r>
      <w:r>
        <w:rPr>
          <w:rFonts w:ascii="Times New Roman;serif" w:hAnsi="Times New Roman;serif"/>
          <w:b w:val="false"/>
          <w:color w:val="000000"/>
          <w:sz w:val="20"/>
        </w:rPr>
        <w:t xml:space="preserve">Except as otherwise determined by the Committee, upon termination of employment or service (as determined under criteria established by the Committee) during the applicable deferral period or portion thereof to which forfeiture conditions apply (as provided in the Award Agreement evidencing the Deferred Stock), all Deferred Stock that is at that time subject to such forfeiture conditions shall be forfeited; provided, however, that the Committee may provide, by rule or regulation or in any Award Agreement, or may determine in any individual case, that restrictions or forfeiture conditions relating to Deferred Stock will be waived in whole or in part in the event of termination resulting from specified causes.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Bonus Stock and Awards in Lieu of Cash Obligations.</w:t>
      </w:r>
      <w:r>
        <w:rPr>
          <w:color w:val="000000"/>
        </w:rPr>
        <w:t xml:space="preserve"> </w:t>
      </w:r>
      <w:r>
        <w:rPr>
          <w:rFonts w:ascii="Times New Roman;serif" w:hAnsi="Times New Roman;serif"/>
          <w:b w:val="false"/>
          <w:color w:val="000000"/>
          <w:sz w:val="20"/>
        </w:rPr>
        <w:t xml:space="preserve">The Committee is authorized to grant Stock as a bonus, or to grant Stock or other Awards in lieu of Company obligations to pay cash under other plans or compensatory arrangements (subject to the limitations of Section 7(f)).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Dividend Equivalents</w:t>
      </w:r>
      <w:r>
        <w:rPr>
          <w:rFonts w:ascii="Times New Roman;serif" w:hAnsi="Times New Roman;serif"/>
          <w:b w:val="false"/>
          <w:color w:val="000000"/>
          <w:sz w:val="20"/>
        </w:rPr>
        <w:t xml:space="preserve">. The Committee is authorized to grant awards entitling the Participant to receive cash, Stock, other Awards or other property equal in value to dividends paid with respect to a specified number of shares of Stock (“Dividend Equivalents”). Dividend Equivalents may be awarded on a free-standing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basis or in connection with another Award; provided that, in no event shall dividend rights or Dividend Equivalents accrue or be paid with respect to shares of Stock subject to Options or SARs. The Committee may provide that Dividend Equivalents shall be paid or distributed when accrued or shall be deemed to have been reinvested in additional Stock, Awards or other investment vehicles, and subject to such restrictions on transferability and risks of forfeiture, as the Committee may specify; provided that, Dividend Equivalents granted in connection with an Award shall vest and be paid only if and to the extent the underlying shares subject to the Award vest and are paid.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Other Stock-Based Awards.</w:t>
      </w:r>
      <w:r>
        <w:rPr>
          <w:color w:val="000000"/>
        </w:rPr>
        <w:t xml:space="preserve"> </w:t>
      </w:r>
      <w:r>
        <w:rPr>
          <w:rFonts w:ascii="Times New Roman;serif" w:hAnsi="Times New Roman;serif"/>
          <w:b w:val="false"/>
          <w:color w:val="000000"/>
          <w:sz w:val="20"/>
        </w:rPr>
        <w:t xml:space="preserve">The Committee is authorized, subject to limitations under applicable law, to grant such other Awards that may be denominated or payable in, valued in whole or in part by reference to, or otherwise based on, or related to, Stock and factors that may influence the value of Stock, as deemed by the Committee to be consistent with the purposes of the Plan, including, without limitation, convertible or exchangeable debt securities, other rights convertible or exchangeable into Stock, purchase rights for Stock, Awards with value and payment contingent upon performance of the Company or any other factors designated by the Committee and Awards valued by reference to the book value of Stock or the value of securities of or the performance of specified Subsidiaries (“Other Stock-Based Awards”). The Committee shall determine the terms and conditions of such Awards (subject to the limitations of Section 7(f)). Stock issued pursuant to an Award in the nature of a purchase right granted under this Section 6(h) shall be purchased for such consideration, paid for at such times, by such methods, and in such forms, including, without limitation, cash, Stock, other Awards, or other property, as the Committee shall determine. Cash awards, as an element of or supplement to any other Award under the Plan, may be granted pursuant to this Section 6(h). </w:t>
      </w:r>
    </w:p>
    <w:p>
      <w:pPr>
        <w:pStyle w:val="TextBody"/>
        <w:bidi w:val="0"/>
        <w:spacing w:lineRule="auto" w:line="288" w:before="240" w:after="283"/>
        <w:ind w:left="0" w:right="0" w:firstLine="490"/>
        <w:jc w:val="both"/>
        <w:rPr/>
      </w:pPr>
      <w:r>
        <w:rPr>
          <w:rFonts w:ascii="Times New Roman;serif" w:hAnsi="Times New Roman;serif"/>
          <w:b w:val="false"/>
          <w:color w:val="000000"/>
          <w:sz w:val="20"/>
        </w:rPr>
        <w:t>7. </w:t>
      </w:r>
      <w:r>
        <w:rPr>
          <w:rFonts w:ascii="Times New Roman;serif" w:hAnsi="Times New Roman;serif"/>
          <w:b/>
          <w:color w:val="000000"/>
          <w:sz w:val="20"/>
        </w:rPr>
        <w:t xml:space="preserve">Certain Provisions Applicable to Awards.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Stand-Alone, Additional, Tandem, and Substitute Awards</w:t>
      </w:r>
      <w:r>
        <w:rPr>
          <w:rFonts w:ascii="Times New Roman;serif" w:hAnsi="Times New Roman;serif"/>
          <w:b w:val="false"/>
          <w:color w:val="000000"/>
          <w:sz w:val="20"/>
        </w:rPr>
        <w:t xml:space="preserve">. Subject to Section 9(f)(ii), Awards granted under the Plan may, in the discretion of the Committee, be granted either alone or in addition to, in tandem with or in substitution for any other Award granted under the Plan or any award granted under any other plan of the Company, its Parent or Subsidiaries or any business entity to be acquired by the Company or a Subsidiary, or any other right of a Participant to receive payment from the Company its Parent or Subsidiaries. Awards granted in addition to or in tandem with other Awards or awards may be granted either as of the same time as or a different time from the grant of such other Awards or awards.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Term of Awards</w:t>
      </w:r>
      <w:r>
        <w:rPr>
          <w:rFonts w:ascii="Times New Roman;serif" w:hAnsi="Times New Roman;serif"/>
          <w:b w:val="false"/>
          <w:color w:val="000000"/>
          <w:sz w:val="20"/>
        </w:rPr>
        <w:t xml:space="preserve">. The term of each Award shall be for such period as may be determined by the Committee; provided, however, that in no event shall the term of any Option or an SAR exceed a period of ten years from the date of its grant (or such shorter period as may be applicable under Section 422 of the Code).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Form of Payment Under Awards</w:t>
      </w:r>
      <w:r>
        <w:rPr>
          <w:rFonts w:ascii="Times New Roman;serif" w:hAnsi="Times New Roman;serif"/>
          <w:b w:val="false"/>
          <w:color w:val="000000"/>
          <w:sz w:val="20"/>
        </w:rPr>
        <w:t xml:space="preserve">. Subject to the terms of the Plan and any applicable Award Agreement, payments to be made by the Company, its Parent or Subsidiaries upon the grant, exercise or settlement of an Award may be made in such forms as the Committee shall determine, including, without limitation, cash, Stock, other Awards or other property, and may be made in a single payment or transfer, in installments or on a deferred basis. Such payments may include, without limitation, provisions for the payment or crediting of reasonable interest on installment or deferred payments or the grant or crediting of Dividend Equivalents in respect of installment or deferred payments denominated in Stock.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Loan Provisions</w:t>
      </w:r>
      <w:r>
        <w:rPr>
          <w:rFonts w:ascii="Times New Roman;serif" w:hAnsi="Times New Roman;serif"/>
          <w:b w:val="false"/>
          <w:color w:val="000000"/>
          <w:sz w:val="20"/>
        </w:rPr>
        <w:t xml:space="preserve">. With the consent of the Committee, and subject at all times to, and only to the extent, if any, permitted under and in accordance with, laws and regulations and other binding obligations or provisions applicable to the Company, the Company may make, guarantee or arrange for a loan or loans to a Participant with respect to the exercise of any Option or other payment in connection with any Award, including the payment by a Participant of any or all federal, state or local income or other taxes due in connection with any Award. Subject to such limitations, the Committee shall have full authority to decide whether to make a loan or loans hereunder and to determine the amount, terms and provisions of any such loan or loans, including the interest rate to be charged in respect of any such loan or loans, whether the loan or loans are to be with or without recourse against the borrower, the terms on which the loan is to be repaid and conditions, if any, under which the loan or loans may be forgiven. For the avoidance of doubt, no such loans shall be made to a Participant who is an executive officer of the Company or a member of the Board.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Performance-Based Awards</w:t>
      </w:r>
      <w:r>
        <w:rPr>
          <w:rFonts w:ascii="Times New Roman;serif" w:hAnsi="Times New Roman;serif"/>
          <w:b w:val="false"/>
          <w:color w:val="000000"/>
          <w:sz w:val="20"/>
        </w:rPr>
        <w:t xml:space="preserve">. The Committee may, in its discretion, determine that an Award granted to an employee shall be contingent upon the achievement of pre-established performance objectives and other terms set forth in this Section 7(e) (“Performance Award”).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 </w:t>
      </w:r>
      <w:r>
        <w:rPr>
          <w:rFonts w:ascii="Times New Roman;serif" w:hAnsi="Times New Roman;serif"/>
          <w:b w:val="false"/>
          <w:i/>
          <w:color w:val="000000"/>
          <w:sz w:val="20"/>
        </w:rPr>
        <w:t>Performance Objectives.</w:t>
      </w:r>
      <w:r>
        <w:rPr>
          <w:color w:val="000000"/>
        </w:rPr>
        <w:t xml:space="preserve"> </w:t>
      </w:r>
      <w:r>
        <w:rPr>
          <w:rFonts w:ascii="Times New Roman;serif" w:hAnsi="Times New Roman;serif"/>
          <w:b w:val="false"/>
          <w:color w:val="000000"/>
          <w:sz w:val="20"/>
        </w:rPr>
        <w:t xml:space="preserve">The performance objectives for an Award subject to this Section 7(e) shall consist of one or more business criteria and a targeted level or levels of performance with respect to such criteria, as specified by the Committee consistent with this Section 7(e). The Committee may determine that such Performance Awards shall be granted, exercised, and/or settled upon achievement of any one performance objective or that two or more of the performance objectives must be achieved as a condition to grant, exercise, and/or settlement of such Performance Awards. Business criteria used by the Committee in establishing performance objectives for Awards subject to this Section 7(e) shall be selected from among the following criteria, or any such other criteria determined by the Committee in its sole discretion, which in either case may be applied to the Company, on a consolidated basis, and/or for specified Subsidiaries, divisions, or other business units of the Company (where the criteria are applicable):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Return on capital;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Earnings or earnings per share (which earnings may include equity in earnings of investees, and may be determined without regard to interest, taxes, depreciation, and/or amortization);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 Cash flow provided by operations;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Increase in stock price;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 Changes in annual revenues;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 Net sales;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(G) Total shareholder return;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(H) Inventory control measures;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Internet sales, including as it relates to total or net sales; and/or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(J) Strategic business criteria, consisting of one or more objectives based on meeting specified revenue, market penetration, geographic business expansion goals, cost targets, and goals relating to acquisitions or divestitures.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levels of performance required with respect to such business criteria may be expressed in absolute or relative levels. Performance objectives may differ for such Awards to different Participants. The Committee shall specify the weighting to be given to each performance objective for purposes of determining the final amount payable with respect to any such Award.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 </w:t>
      </w:r>
      <w:r>
        <w:rPr>
          <w:rFonts w:ascii="Times New Roman;serif" w:hAnsi="Times New Roman;serif"/>
          <w:b w:val="false"/>
          <w:i/>
          <w:color w:val="000000"/>
          <w:sz w:val="20"/>
        </w:rPr>
        <w:t>Performance Award Terms.</w:t>
      </w:r>
      <w:r>
        <w:rPr>
          <w:color w:val="000000"/>
        </w:rPr>
        <w:t xml:space="preserve"> </w:t>
      </w:r>
      <w:r>
        <w:rPr>
          <w:rFonts w:ascii="Times New Roman;serif" w:hAnsi="Times New Roman;serif"/>
          <w:b w:val="false"/>
          <w:color w:val="000000"/>
          <w:sz w:val="20"/>
        </w:rPr>
        <w:t xml:space="preserve">Performance objectives, amounts payable upon achievement of such objectives, the applicable performance period and other material terms of Performance Awards shall be established by the Committee. In addition, the Committee shall specify the circumstances in which such Performance Awards shall be paid or forfeited in the event of termination of employment by the Participant prior to the end of a performance period or settlement of Performance Awards.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iii. </w:t>
      </w:r>
      <w:r>
        <w:rPr>
          <w:rFonts w:ascii="Times New Roman;serif" w:hAnsi="Times New Roman;serif"/>
          <w:b w:val="false"/>
          <w:i/>
          <w:color w:val="000000"/>
          <w:sz w:val="20"/>
        </w:rPr>
        <w:t>Certain Adjustments.</w:t>
      </w:r>
      <w:r>
        <w:rPr>
          <w:color w:val="000000"/>
        </w:rPr>
        <w:t xml:space="preserve"> </w:t>
      </w:r>
      <w:r>
        <w:rPr>
          <w:rFonts w:ascii="Times New Roman;serif" w:hAnsi="Times New Roman;serif"/>
          <w:b w:val="false"/>
          <w:color w:val="000000"/>
          <w:sz w:val="20"/>
        </w:rPr>
        <w:t xml:space="preserve">To the extent applicable, unless the Committee decides otherwise, the determination of achievement of performance objectives for Performance Awards shall be made in accordance with U.S. generally accepted accounting principles (“GAAP”) and a manner consistent with the methods used in the Company’s audited financial statements. Unless the Committee decides otherwise, the determination of achievement of performance objectives for Performance Awards shall be made without regard to (A) changes in accounting methods, (B) non-recurring acquisition expenses and restructuring charges; or (C) other costs or charges associated with refinancings, write-downs, impairments, closures, consolidations, divestitures, strategic initiatives, and items associated with acquisitions, including but not limited to, earn-outs and bargain purchase gains. In calculating earnings or earnings per share, the Committee may provide that such calculation shall be made on the same basis as reflected in a release of the Company’s earnings for a previously completed period as specified by the Committee. In setting the performance objectives for Performance Awards, the Committee may provide for adjustments in respect of unusual or infrequently occurring items determined in accordance with applicable accounting standards, adjustments for equity compensation expenses, and such other adjustments as it deems appropriate. In addition, the Committee, in its sole discretion, may make adjustments to the performance objectives, the amounts payable in respect of the applicable performance objectives, and performance results, to the extent consistent with the terms of the applicable Award Agreement.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iii. </w:t>
      </w:r>
      <w:r>
        <w:rPr>
          <w:rFonts w:ascii="Times New Roman;serif" w:hAnsi="Times New Roman;serif"/>
          <w:b w:val="false"/>
          <w:i/>
          <w:color w:val="000000"/>
          <w:sz w:val="20"/>
        </w:rPr>
        <w:t>Committee Determinations.</w:t>
      </w:r>
      <w:r>
        <w:rPr>
          <w:color w:val="000000"/>
        </w:rPr>
        <w:t xml:space="preserve"> </w:t>
      </w:r>
      <w:r>
        <w:rPr>
          <w:rFonts w:ascii="Times New Roman;serif" w:hAnsi="Times New Roman;serif"/>
          <w:b w:val="false"/>
          <w:color w:val="000000"/>
          <w:sz w:val="20"/>
        </w:rPr>
        <w:t xml:space="preserve">The Committee shall determine the achievement of performance objectives relating to Performance Awards, and the amount of any payment in respect of Performance Awards.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Minimum Vesting Requirement</w:t>
      </w:r>
      <w:r>
        <w:rPr>
          <w:rFonts w:ascii="Times New Roman;serif" w:hAnsi="Times New Roman;serif"/>
          <w:b w:val="false"/>
          <w:color w:val="000000"/>
          <w:sz w:val="20"/>
        </w:rPr>
        <w:t xml:space="preserve">. At the time of grant, the terms of Awards granted under the Plan shall provide that the Awards shall not vest prior to the one-year anniversary of the date of grant, except as may be provided in the event of a Participant’s death or disability, or in the event of a Change in Control; provided that, (i) Awards granted to non-employee directors will be deemed to satisfy this minimum vesting requirement if they are granted on the date of our annual meeting of stockholders and vest on the date of our next annual meeting of stockholders immediately following the date of grant (but not less than 50 weeks following the date of grant) and (ii) subject to any adjustments made in accordance with Section 4(c), Awards covering up to 5% of the shares subject to the share reserve set forth in Section 4(a) as of the 2026 Plan Effective Date may be granted without regard to the minimum vesting requirement. </w:t>
      </w:r>
    </w:p>
    <w:p>
      <w:pPr>
        <w:pStyle w:val="TextBody"/>
        <w:bidi w:val="0"/>
        <w:spacing w:lineRule="auto" w:line="288" w:before="240" w:after="283"/>
        <w:ind w:left="0" w:right="0" w:firstLine="450"/>
        <w:jc w:val="both"/>
        <w:rPr/>
      </w:pPr>
      <w:r>
        <w:rPr>
          <w:rFonts w:ascii="Times New Roman;serif" w:hAnsi="Times New Roman;serif"/>
          <w:b w:val="false"/>
          <w:color w:val="000000"/>
          <w:sz w:val="20"/>
        </w:rPr>
        <w:t>8. </w:t>
      </w:r>
      <w:r>
        <w:rPr>
          <w:rFonts w:ascii="Times New Roman;serif" w:hAnsi="Times New Roman;serif"/>
          <w:b/>
          <w:color w:val="000000"/>
          <w:sz w:val="20"/>
        </w:rPr>
        <w:t>Change in Control.</w:t>
      </w:r>
      <w:r>
        <w:rPr>
          <w:color w:val="000000"/>
        </w:rPr>
        <w:t xml:space="preserve"> </w:t>
      </w:r>
      <w:r>
        <w:rPr>
          <w:rFonts w:ascii="Times New Roman;serif" w:hAnsi="Times New Roman;serif"/>
          <w:b w:val="false"/>
          <w:color w:val="000000"/>
          <w:sz w:val="20"/>
        </w:rPr>
        <w:t xml:space="preserve">Notwithstanding anything contained in the Plan to the contrary, the provisions of this Section 8 shall apply in the event of a Change in Control. </w:t>
      </w:r>
    </w:p>
    <w:p>
      <w:pPr>
        <w:pStyle w:val="TextBody"/>
        <w:bidi w:val="0"/>
        <w:spacing w:lineRule="auto" w:line="288" w:before="240" w:after="283"/>
        <w:ind w:left="0" w:right="0" w:firstLine="1267"/>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Replacement Awards; No Immediate Vesting</w:t>
      </w:r>
      <w:r>
        <w:rPr>
          <w:rFonts w:ascii="Times New Roman;serif" w:hAnsi="Times New Roman;serif"/>
          <w:b w:val="false"/>
          <w:color w:val="000000"/>
          <w:sz w:val="20"/>
        </w:rPr>
        <w:t xml:space="preserve">.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An Award shall not vest upon the occurrence of a Change in Control and shall continue to the extent qualifying as a Replacement Award.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A “Replacement Award” includes an outstanding Award that continues upon and after the occurrence of a Change in Control and an Award provided to a Participant in replacement of an outstanding Award (such replaced Award, a “Replaced Award”) in connection with a Change in Control that satisfies the following conditions: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 It has a value at least equal to the value of the Replaced Award;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It relates to publicly traded equity securities of the Company or its successor in the Change in Control or another entity that is affiliated with the Company or its successor following the Change in Control;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 Its other terms and conditions are not less favorable to the Participant than the terms and conditions of the Replaced Award (including the provisions that would apply in the event of a subsequent change in control); and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Upon an involuntary termination of employment or separation from service of a Participant by the Company other than for Cause (and not due to disability), or a voluntary termination of employment or separation from service by the Participant for Good Reason (if applicable), occurring on or during the period of 24 months after the Change in Control, the Replacement Award, to the extent not vested and unrestricted as of such termination of employment or separation from service, shall become fully vested and (if applicable) exercisable and free of restrictions.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Committee, as constituted immediately before the Change in Control, shall have the discretion to determine whether the conditions of this Section 8(a)(ii) are satisfied.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Vesting if No Replacement Award</w:t>
      </w:r>
      <w:r>
        <w:rPr>
          <w:rFonts w:ascii="Times New Roman;serif" w:hAnsi="Times New Roman;serif"/>
          <w:b w:val="false"/>
          <w:color w:val="000000"/>
          <w:sz w:val="20"/>
        </w:rPr>
        <w:t xml:space="preserve">. To the extent that a Replacement Award is not provided to the Participant, upon the occurrence of a Change in Control: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Any and all Options and SARs granted hereunder shall become immediately exercisable;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Any restrictions imposed on Restricted Stock shall lapse and become freely transferable, and all other Awards shall become fully vested; and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 Except as otherwise provided in an Award Agreement, the payout opportunities attainable at target or, if greater, in the amount determined by the Committee to have been earned thereunder based on performance through the date of the Change in Control, under all outstanding Awards of performance-based Stock, cash Awards and other performance-based Awards shall be deemed to have been earned for the entire performance period(s) as of the effective date of the Change in Control. The vesting of all such earned Awards shall be accelerated as of the effective date of the Change in Control, and in full settlement of such Awards, there shall be paid out in cash, or in the discretion of the Committee, shares of Stock with a Fair Market Value equal to the amount of such cash.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as otherwise determined by the Committee, the foregoing provisions of this Section 8(b) shall apply, and a Participant’s outstanding Awards shall not become Replacement Awards, upon the occurrence of a Change in Control following an involuntary termination of employment or separation from service of the Participant by the Company other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than for Cause (and not due to disability), or a voluntary termination of employment or separation from service for Good Reason by the Participant (if applicable), occurring (x) at the request of a third party who was taking steps reasonably calculated to effect such Change in Control or (y) otherwise in contemplation of and within 180 days before such Change in Control. </w:t>
      </w:r>
    </w:p>
    <w:p>
      <w:pPr>
        <w:pStyle w:val="TextBody"/>
        <w:bidi w:val="0"/>
        <w:spacing w:lineRule="auto" w:line="288" w:before="240" w:after="283"/>
        <w:ind w:left="0" w:right="0" w:firstLine="1267"/>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Change in Control</w:t>
      </w:r>
      <w:r>
        <w:rPr>
          <w:rFonts w:ascii="Times New Roman;serif" w:hAnsi="Times New Roman;serif"/>
          <w:b w:val="false"/>
          <w:color w:val="000000"/>
          <w:sz w:val="20"/>
        </w:rPr>
        <w:t xml:space="preserve">. For purposes of the Plan, “Change in Control” shall mean: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Any person becoming the beneficial owner of securities of the Company representing 30% or more of the combined voting power of the Company’s then outstanding securities;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Individuals who serve on the Board immediately prior to the event, or whose election to the Board or nomination for election to the Board was approved by a vote of at least two-thirds of the directors who either serve on the Board immediately prior to the event, or whose election or nomination for election was previously so approved, ceasing for any reason to constitute a majority of the Board;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 Consummation of a merger or consolidation of the Company or any Subsidiary into any other corporation, other than a merger or consolidation that results in the holders of the voting securities of the Company outstanding immediately prior thereto holding immediately thereafter securities representing more than 60% of the combined voting power of the voting securities of the Company; or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 The stockholders of the Company approving a plan of complete liquidation of the Company or an agreement for the sale or disposition by the Company of all or substantially all of the Company’s assets and such liquidation, sale or disposition is consummated. </w:t>
      </w:r>
    </w:p>
    <w:p>
      <w:pPr>
        <w:pStyle w:val="TextBody"/>
        <w:bidi w:val="0"/>
        <w:spacing w:lineRule="auto" w:line="288" w:before="240" w:after="283"/>
        <w:ind w:left="0" w:right="0" w:firstLine="490"/>
        <w:jc w:val="both"/>
        <w:rPr/>
      </w:pPr>
      <w:r>
        <w:rPr>
          <w:rFonts w:ascii="Times New Roman;serif" w:hAnsi="Times New Roman;serif"/>
          <w:b w:val="false"/>
          <w:color w:val="000000"/>
          <w:sz w:val="20"/>
        </w:rPr>
        <w:t>9. </w:t>
      </w:r>
      <w:r>
        <w:rPr>
          <w:rFonts w:ascii="Times New Roman;serif" w:hAnsi="Times New Roman;serif"/>
          <w:b/>
          <w:color w:val="000000"/>
          <w:sz w:val="20"/>
        </w:rPr>
        <w:t>General Provisions.</w:t>
      </w:r>
      <w:r>
        <w:rPr>
          <w:color w:val="000000"/>
        </w:rPr>
        <w:t xml:space="preserve">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Compliance With Laws and Obligations</w:t>
      </w:r>
      <w:r>
        <w:rPr>
          <w:rFonts w:ascii="Times New Roman;serif" w:hAnsi="Times New Roman;serif"/>
          <w:b w:val="false"/>
          <w:color w:val="000000"/>
          <w:sz w:val="20"/>
        </w:rPr>
        <w:t xml:space="preserve">. The Company shall not be obligated to issue or deliver Stock in connection with any Award or take any other action under the Plan in a transaction subject to the requirements of any applicable securities law, any requirement under any listing agreement between the Company and any national securities exchange or automated quotation system or any other law, regulation or contractual obligation of the Company until the Company is satisfied that such laws, regulations, and other obligations of the Company have been complied with in full. Certificates representing shares of Stock issued under the Plan will be subject to such stop-transfer orders and other restrictions as may be applicable under such laws, regulations and other obligations of the Company, including any requirement that a legend or legends be placed thereon. In addition, the Company may adopt policies that impose restrictions on the timing of exercise of Options, SARs or other Awards (e.g., to enforce compliance with Company-imposed black-out periods).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Limitations on Transferability</w:t>
      </w:r>
      <w:r>
        <w:rPr>
          <w:rFonts w:ascii="Times New Roman;serif" w:hAnsi="Times New Roman;serif"/>
          <w:b w:val="false"/>
          <w:color w:val="000000"/>
          <w:sz w:val="20"/>
        </w:rPr>
        <w:t xml:space="preserve">. Awards and other rights under the Plan will not be transferable by a Participant except by will or the laws of descent and distribution or to a Beneficiary in the event of the Participant’s death, shall not be pledged, mortgaged, hypothecated or otherwise encumbered, or otherwise subject to the claims of creditors, and, in the case of ISOs and SARs in tandem therewith, shall be exercisable during the lifetime of a Participant only by such Participant or the Participant’s guardian or legal representative; provided, however, that such Awards and other rights (other than ISOs and SARs in tandem therewith) may be transferred to one or more of the following transferees (each transferee a “Permitted Assignee”) during the lifetime of the Participant to the extent and on such terms as then may be permitted by the Committee: (i) to the Participant’s spouse, children or grandchildren (including any adopted and step children or grandchildren), parents, grandparents or siblings; (ii) to a trust for the benefit of one or more of the Participant or the persons referred to in clause (i); (iii) to a partnership, limited liability company or corporation in which the Participant or the persons referred to in clause (i) are the only partners, members or stockholders; or (iv) for charitable donations to a charitable organization; provided that such Permitted Assignee shall be bound by and subject to all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No Right to Continued Employment or Service</w:t>
      </w:r>
      <w:r>
        <w:rPr>
          <w:rFonts w:ascii="Times New Roman;serif" w:hAnsi="Times New Roman;serif"/>
          <w:b w:val="false"/>
          <w:color w:val="000000"/>
          <w:sz w:val="20"/>
        </w:rPr>
        <w:t xml:space="preserve">. Neither the Plan nor any action taken hereunder shall be construed as giving any employee, director or other person the right to be retained in the employ or service of the Company, its Parent or any Subsidiary, nor shall it interfere in any way with the right of the Company, its Parent or any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terminate any employee’s employment or other person’s service at any time or with the right of the Board or stockholders to remove any director.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Taxes</w:t>
      </w:r>
      <w:r>
        <w:rPr>
          <w:rFonts w:ascii="Times New Roman;serif" w:hAnsi="Times New Roman;serif"/>
          <w:b w:val="false"/>
          <w:color w:val="000000"/>
          <w:sz w:val="20"/>
        </w:rPr>
        <w:t xml:space="preserve">. The Company, its Parent and Subsidiaries are authorized to withhold from any Award granted or to be settled, any delivery of Stock in connection with an Award, any other payment relating to an Award or any payroll or other payment to a Participant amounts of withholding and other taxes due or potentially payable in connection with any transaction involving an Award, and to take such other action as the Committee may deem advisable to enable the Company, its Parent and Subsidiaries and Participants to satisfy obligations for the payment of withholding taxes and other tax obligations relating to any Award. This authority shall include authority to withhold or receive Stock or other property and to make cash payments in respect thereof in satisfaction of a Participant’s tax obligations.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Section 409A</w:t>
      </w:r>
      <w:r>
        <w:rPr>
          <w:rFonts w:ascii="Times New Roman;serif" w:hAnsi="Times New Roman;serif"/>
          <w:b w:val="false"/>
          <w:color w:val="000000"/>
          <w:sz w:val="20"/>
        </w:rPr>
        <w:t xml:space="preserve">. Notwithstanding the other provisions hereof, the Plan and the Awards are intended to comply with the requirements of Section 409A of the Code, to the extent applicable. Accordingly, all provisions herein and with respect to any Awards shall be construed and interpreted such that the Award either (i) qualifies for an exemption from the requirements of Section 409A of the Code or (ii) satisfies the requirements of Section 409A of the Code to the maximum extent possible; provided, however, that in no event shall the Company be obligated to reimburse a Participant or Beneficiary for any additional tax (or related penalties and interest) incurred by reason of application of Section 409A, and the Company makes no representations that Awards are exempt from or comply with Section 409A and makes no undertakings to ensure or preclude that Section 409A will apply to any Awards. If an Award is subject to Section 409A, (A) distributions shall only be made in a manner and upon an event permitted under Section 409A, (B) payments to be made upon a termination of employment shall only be made upon a “separation from service” under Section 409A, (C) payments to be made upon or in connection with a Change in Control shall only be made upon or in connection with a “change of control event” under Section 409A, to the extent required by Section 409A, (D) unless the Award Agreement specifies otherwise, each installment payment shall be treated as a separate payment for purposes of Section 409A, and (E) in no event shall a Participant, directly or indirectly, designate the calendar year in which a distribution is made except in accordance with Section 409A. Notwithstanding anything herein to the contrary, in the event that any Awards constitute nonqualified deferred compensation under Section 409A of the Code, if (x) the Participant is a “specified employee” of the Company as of the specified employee identification date for purposes of Section 409A (as determined in accordance with the policies and procedures adopted by the Company) and (y) the delivery of any cash or Stock payable pursuant to an Award is required to be delayed for a period of six months after separation from service pursuant to Section 409A, such cash or Stock shall be paid within 15 days after the end of the six-month period. If the Participant dies during such six-month period, the amounts withheld on account of Section 409A shall be paid to the Participant’s Beneficiary within 30 days of the Participant’s death.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Changes to the Plan and Awards</w:t>
      </w:r>
      <w:r>
        <w:rPr>
          <w:rFonts w:ascii="Times New Roman;serif" w:hAnsi="Times New Roman;serif"/>
          <w:b w:val="false"/>
          <w:color w:val="000000"/>
          <w:sz w:val="20"/>
        </w:rPr>
        <w:t xml:space="preserve">.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The Board may amend, alter, suspend, discontinue or terminate the Plan or the Committee’s authority to grant Awards under the Plan without the consent of stockholders or Participants, except that any such action shall be subject to the approval of the Company’s stockholders at or before the next annual meeting of stockholders for which the record date is after such Board action if such stockholder approval is required by any federal or state law or regulation or the rules of any stock exchange or automated quotation system on which the Stock may then be listed or quoted, and the Board may otherwise, in its discretion, determine to submit other such changes to the Plan to stockholders for approval; provided, however, that, without the consent of an affected Participant, no such action may materially impair the rights of such Participant under any Award theretofore granted to the Participant (as such rights are set forth in the Plan and the Award Agreement). The Committee may waive any conditions or rights under, or amend, alter, suspend, discontinue, or terminate, any Award theretofore granted and any Award Agreement relating thereto; provided, however, that, (subject to Section 4(c)) without the consent of an affected Participant, no such action may materially impair the rights of such Participant under such Award (as such rights are set forth in the Plan and the Award Agreement). The Board or the Committee shall also have the authority to establish separate sub-plans under the Plan with respect to Participants resident in a particular jurisdiction (the terms of which shall not be inconsistent with those of the Plan) if necessary or desirable to comply with the applicable laws of such jurisdiction.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Notwithstanding any provision herein, except in connection with a corporate transaction involving the Company (including, without limitation, any stock dividend, distribution (whether in the form of cash, Stock, other securities or other property), stock split, extraordinary cash dividend, recapitalization, Change in Control, reorganization, merger, consolidation, split-up, spin-off, combination, repurchase or exchange of Stock or other securities, or similar transactions), the Company may not, without obtaining stockholder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approval, (A) amend the terms of outstanding Options or SARs to reduce the exercise price of such outstanding Options or SARs, (B) cancel outstanding Options or SARs in exchange for Options or SARs with an exercise price that is less than the exercise price of the original Options or SARs or (C) cancel outstanding Options or SARs with an exercise price above the current Stock price in exchange for cash or other securities.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No Rights to Awards; No Stockholder Rights</w:t>
      </w:r>
      <w:r>
        <w:rPr>
          <w:rFonts w:ascii="Times New Roman;serif" w:hAnsi="Times New Roman;serif"/>
          <w:b w:val="false"/>
          <w:color w:val="000000"/>
          <w:sz w:val="20"/>
        </w:rPr>
        <w:t xml:space="preserve">. No person shall have any claim to be granted any Award under the Plan, and there is no obligation for uniformity of treatment of Participants and employees. No Award shall confer on any Participant any of the rights of a stockholder of the Company unless and until Stock is duly issued or transferred and delivered to the Participant in accordance with the terms of the Award or, in the case of an Option, the Option is duly exercised.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Company Policies</w:t>
      </w:r>
      <w:r>
        <w:rPr>
          <w:rFonts w:ascii="Times New Roman;serif" w:hAnsi="Times New Roman;serif"/>
          <w:b w:val="false"/>
          <w:color w:val="000000"/>
          <w:sz w:val="20"/>
        </w:rPr>
        <w:t xml:space="preserve">. All Awards made under the Plan shall be subject to any applicable clawback or recoupment policies, share trading policies and other policies that may be implemented by the Board from time to time. In furtherance of the foregoing, to the extent permitted by applicable law, including without limitation Section 409A of the Code, all amounts payable under the Plan are subject to offset in the event that a Participant has an outstanding clawback, recoupment or forfeiture obligation to the Company under the terms of any applicable Clawback Policy. In the event of a clawback, recoupment or forfeiture event under an applicable Clawback Policy, the amount required to be clawed back, recouped or forfeited pursuant to such policy shall be deemed not to have been earned under the terms of the Plan, and the Company shall be entitled to recover from the Participant the amount specified under the Clawback Policy to be clawed back, recouped or forfeited.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i. </w:t>
      </w:r>
      <w:r>
        <w:rPr>
          <w:rFonts w:ascii="Times New Roman;serif" w:hAnsi="Times New Roman;serif"/>
          <w:b w:val="false"/>
          <w:color w:val="000000"/>
          <w:sz w:val="20"/>
          <w:u w:val="single"/>
        </w:rPr>
        <w:t>Unfunded Status of Awards; Creation of Trusts</w:t>
      </w:r>
      <w:r>
        <w:rPr>
          <w:rFonts w:ascii="Times New Roman;serif" w:hAnsi="Times New Roman;serif"/>
          <w:b w:val="false"/>
          <w:color w:val="000000"/>
          <w:sz w:val="20"/>
        </w:rPr>
        <w:t xml:space="preserve">. The Plan is intended to constitute an “unfunded” plan for incentive and deferred compensation. With respect to any payments not yet made to a Participant pursuant to an Award, nothing contained in the Plan or any Award shall give any such Participant any rights that are greater than those of a general creditor of the Company; provided, however, that the Committee may authorize the creation of trusts or make other arrangements to meet the Company’s obligations under the Plan to deliver cash, Stock, other Awards, or other property pursuant to any Award, which trusts or other arrangements shall be consistent with the “unfunded” status of the Plan unless the Committee otherwise determines with the consent of each affected Participant.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j. </w:t>
      </w:r>
      <w:r>
        <w:rPr>
          <w:rFonts w:ascii="Times New Roman;serif" w:hAnsi="Times New Roman;serif"/>
          <w:b w:val="false"/>
          <w:color w:val="000000"/>
          <w:sz w:val="20"/>
          <w:u w:val="single"/>
        </w:rPr>
        <w:t>Nonexclusivity of the Plan</w:t>
      </w:r>
      <w:r>
        <w:rPr>
          <w:rFonts w:ascii="Times New Roman;serif" w:hAnsi="Times New Roman;serif"/>
          <w:b w:val="false"/>
          <w:color w:val="000000"/>
          <w:sz w:val="20"/>
        </w:rPr>
        <w:t xml:space="preserve">. Neither the adoption of the Plan by the Board nor any submission of the Plan or amendments thereto to the stockholders of the Company for approval shall be construed as creating any limitations on the power of the Board to adopt such other compensatory arrangements as it may deem desirable, including, without limitation, the granting of stock options otherwise than under the Plan, and such arrangements may be either applicable generally or only in specific cases.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k. </w:t>
      </w:r>
      <w:r>
        <w:rPr>
          <w:rFonts w:ascii="Times New Roman;serif" w:hAnsi="Times New Roman;serif"/>
          <w:b w:val="false"/>
          <w:color w:val="000000"/>
          <w:sz w:val="20"/>
          <w:u w:val="single"/>
        </w:rPr>
        <w:t>No Fractional Shares</w:t>
      </w:r>
      <w:r>
        <w:rPr>
          <w:rFonts w:ascii="Times New Roman;serif" w:hAnsi="Times New Roman;serif"/>
          <w:b w:val="false"/>
          <w:color w:val="000000"/>
          <w:sz w:val="20"/>
        </w:rPr>
        <w:t xml:space="preserve">. No fractional shares of Stock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l. </w:t>
      </w:r>
      <w:r>
        <w:rPr>
          <w:rFonts w:ascii="Times New Roman;serif" w:hAnsi="Times New Roman;serif"/>
          <w:b w:val="false"/>
          <w:color w:val="000000"/>
          <w:sz w:val="20"/>
          <w:u w:val="single"/>
        </w:rPr>
        <w:t>Governing Law</w:t>
      </w:r>
      <w:r>
        <w:rPr>
          <w:rFonts w:ascii="Times New Roman;serif" w:hAnsi="Times New Roman;serif"/>
          <w:b w:val="false"/>
          <w:color w:val="000000"/>
          <w:sz w:val="20"/>
        </w:rPr>
        <w:t xml:space="preserve">. The validity, construction and effect of the Plan, any rules and regulations relating to the Plan and any Award Agreement shall be determined in accordance with the laws of the State of Delaware, without giving effect to principles of conflicts of laws, and applicable federal law.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m. </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If any provision of the Plan shall be held invalid or unenforceable, such invalidity or unenforceability shall not affect any other provisions hereof, and the Plan shall be construed and enforced as if such provisions had not been included.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n.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The Plan and Award Agreements may be assigned by the Company to any successor to the Company’s business. The Plan and any applicable Award Agreement shall be binding on all successors and assigns of the Company and a Participant, including any permitted transferee of a Participant, the Beneficiary or estate of such Participant and the executor, administrator or trustee of such estate, or any receiver or trustee in bankruptcy or representative of the Participant’s creditors.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o. </w:t>
      </w:r>
      <w:r>
        <w:rPr>
          <w:rFonts w:ascii="Times New Roman;serif" w:hAnsi="Times New Roman;serif"/>
          <w:b w:val="false"/>
          <w:color w:val="000000"/>
          <w:sz w:val="20"/>
          <w:u w:val="single"/>
        </w:rPr>
        <w:t>Plan Provisions</w:t>
      </w:r>
      <w:r>
        <w:rPr>
          <w:rFonts w:ascii="Times New Roman;serif" w:hAnsi="Times New Roman;serif"/>
          <w:b w:val="false"/>
          <w:color w:val="000000"/>
          <w:sz w:val="20"/>
        </w:rPr>
        <w:t xml:space="preserve">. In the event there is any express conflict between the terms of the Plan and any Award agreement or other agreement setting forth the terms of an Award, the terms of the Plan shall govern.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p. </w:t>
      </w:r>
      <w:r>
        <w:rPr>
          <w:rFonts w:ascii="Times New Roman;serif" w:hAnsi="Times New Roman;serif"/>
          <w:b w:val="false"/>
          <w:color w:val="000000"/>
          <w:sz w:val="20"/>
          <w:u w:val="single"/>
        </w:rPr>
        <w:t>Effective Date</w:t>
      </w:r>
      <w:r>
        <w:rPr>
          <w:rFonts w:ascii="Times New Roman;serif" w:hAnsi="Times New Roman;serif"/>
          <w:b w:val="false"/>
          <w:color w:val="000000"/>
          <w:sz w:val="20"/>
        </w:rPr>
        <w:t xml:space="preserve">. The amended and restated Plan shall be effective as of the 2026 Amendment Effective Date. </w:t>
      </w:r>
    </w:p>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107</w:t>
      </w:r>
    </w:p>
    <w:p>
      <w:pPr>
        <w:pStyle w:val="TextBody"/>
        <w:bidi w:val="0"/>
        <w:spacing w:lineRule="auto" w:line="268" w:before="240" w:after="283"/>
        <w:jc w:val="center"/>
        <w:rPr>
          <w:rFonts w:ascii="Times New Roman;serif" w:hAnsi="Times New Roman;serif"/>
          <w:b/>
          <w:color w:val="000000"/>
          <w:sz w:val="20"/>
        </w:rPr>
      </w:pPr>
      <w:r>
        <w:rPr>
          <w:rFonts w:ascii="Times New Roman;serif" w:hAnsi="Times New Roman;serif"/>
          <w:b/>
          <w:color w:val="000000"/>
          <w:sz w:val="20"/>
        </w:rPr>
        <w:t>Calculation of Filing Fee Tables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Form S-8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1: Newly Registered Securities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7"/>
        <w:gridCol w:w="297"/>
        <w:gridCol w:w="298"/>
        <w:gridCol w:w="454"/>
        <w:gridCol w:w="416"/>
        <w:gridCol w:w="418"/>
        <w:gridCol w:w="409"/>
        <w:gridCol w:w="409"/>
        <w:gridCol w:w="410"/>
        <w:gridCol w:w="376"/>
        <w:gridCol w:w="376"/>
        <w:gridCol w:w="377"/>
        <w:gridCol w:w="500"/>
        <w:gridCol w:w="500"/>
        <w:gridCol w:w="502"/>
        <w:gridCol w:w="492"/>
        <w:gridCol w:w="455"/>
        <w:gridCol w:w="456"/>
        <w:gridCol w:w="329"/>
        <w:gridCol w:w="329"/>
        <w:gridCol w:w="333"/>
        <w:gridCol w:w="415"/>
        <w:gridCol w:w="415"/>
        <w:gridCol w:w="6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left w:val="single" w:sz="4" w:space="0" w:color="242424"/>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Security Type</w:t>
            </w:r>
          </w:p>
        </w:tc>
        <w:tc>
          <w:tcPr>
            <w:tcW w:w="128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12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Fee Calculation Rule</w:t>
            </w:r>
          </w:p>
        </w:tc>
        <w:tc>
          <w:tcPr>
            <w:tcW w:w="11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Amount Registered</w:t>
            </w:r>
          </w:p>
        </w:tc>
        <w:tc>
          <w:tcPr>
            <w:tcW w:w="150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Proposed Maximum Offering Price Per Share</w:t>
            </w:r>
          </w:p>
        </w:tc>
        <w:tc>
          <w:tcPr>
            <w:tcW w:w="14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Fee Rate</w:t>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Amount of Registration Fee</w:t>
            </w:r>
          </w:p>
        </w:tc>
      </w:tr>
      <w:tr>
        <w:trPr/>
        <w:tc>
          <w:tcPr>
            <w:tcW w:w="342"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92" w:type="dxa"/>
            <w:gridSpan w:val="3"/>
            <w:tcBorders>
              <w:top w:val="single" w:sz="4" w:space="0" w:color="000000"/>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88" w:type="dxa"/>
            <w:gridSpan w:val="3"/>
            <w:tcBorders>
              <w:top w:val="single" w:sz="4" w:space="0" w:color="000000"/>
              <w:left w:val="single" w:sz="4" w:space="0" w:color="000000"/>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 per share</w:t>
            </w:r>
          </w:p>
        </w:tc>
        <w:tc>
          <w:tcPr>
            <w:tcW w:w="1228" w:type="dxa"/>
            <w:gridSpan w:val="3"/>
            <w:tcBorders>
              <w:top w:val="single" w:sz="4" w:space="0" w:color="000000"/>
              <w:left w:val="single" w:sz="4" w:space="0" w:color="000000"/>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129" w:type="dxa"/>
            <w:gridSpan w:val="3"/>
            <w:tcBorders>
              <w:top w:val="single" w:sz="4" w:space="0" w:color="000000"/>
              <w:left w:val="single" w:sz="4" w:space="0" w:color="000000"/>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w:t>
            </w:r>
          </w:p>
        </w:tc>
        <w:tc>
          <w:tcPr>
            <w:tcW w:w="150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8.08</w:t>
            </w:r>
          </w:p>
        </w:tc>
        <w:tc>
          <w:tcPr>
            <w:tcW w:w="14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$8,080,000</w:t>
            </w:r>
          </w:p>
        </w:tc>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$1,115.85</w:t>
            </w:r>
          </w:p>
        </w:tc>
      </w:tr>
      <w:tr>
        <w:trPr/>
        <w:tc>
          <w:tcPr>
            <w:tcW w:w="4879" w:type="dxa"/>
            <w:gridSpan w:val="15"/>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Total Offering Amounts</w:t>
            </w:r>
          </w:p>
        </w:tc>
        <w:tc>
          <w:tcPr>
            <w:tcW w:w="1502" w:type="dxa"/>
            <w:gridSpan w:val="3"/>
            <w:tcBorders>
              <w:top w:val="single" w:sz="4" w:space="0" w:color="000000"/>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$8,080,000</w:t>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$1,115.85</w:t>
            </w:r>
          </w:p>
        </w:tc>
      </w:tr>
      <w:tr>
        <w:trPr/>
        <w:tc>
          <w:tcPr>
            <w:tcW w:w="4879" w:type="dxa"/>
            <w:gridSpan w:val="15"/>
            <w:tcBorders>
              <w:top w:val="single" w:sz="4" w:space="0" w:color="242424"/>
              <w:left w:val="single" w:sz="4" w:space="0" w:color="242424"/>
              <w:bottom w:val="single" w:sz="4" w:space="0" w:color="000000"/>
            </w:tcBorders>
            <w:tcMar>
              <w:top w:w="3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Total Fee Offsets</w:t>
            </w:r>
          </w:p>
        </w:tc>
        <w:tc>
          <w:tcPr>
            <w:tcW w:w="15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879" w:type="dxa"/>
            <w:gridSpan w:val="15"/>
            <w:tcBorders>
              <w:top w:val="single" w:sz="4" w:space="0" w:color="242424"/>
              <w:left w:val="single" w:sz="4" w:space="0" w:color="242424"/>
              <w:bottom w:val="single" w:sz="4" w:space="0" w:color="000000"/>
            </w:tcBorders>
            <w:tcMar>
              <w:top w:w="30" w:type="dxa"/>
              <w:bottom w:w="3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Net Fee Due</w:t>
            </w:r>
          </w:p>
        </w:tc>
        <w:tc>
          <w:tcPr>
            <w:tcW w:w="150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$1,115.85</w:t>
            </w:r>
          </w:p>
        </w:tc>
      </w:tr>
    </w:tbl>
    <w:p>
      <w:pPr>
        <w:pStyle w:val="TextBody"/>
        <w:bidi w:val="0"/>
        <w:spacing w:before="0" w:after="0"/>
        <w:jc w:val="left"/>
        <w:rPr/>
      </w:pPr>
      <w:r>
        <w:rPr/>
      </w:r>
    </w:p>
    <w:p>
      <w:pPr>
        <w:pStyle w:val="TextBody"/>
        <w:bidi w:val="0"/>
        <w:spacing w:lineRule="auto" w:line="268" w:before="120" w:after="283"/>
        <w:ind w:left="0" w:right="0" w:hanging="270"/>
        <w:jc w:val="left"/>
        <w:rPr/>
      </w:pPr>
      <w:r>
        <w:rPr>
          <w:rFonts w:ascii="Times New Roman;serif" w:hAnsi="Times New Roman;serif"/>
          <w:b w:val="false"/>
          <w:color w:val="000000"/>
          <w:sz w:val="20"/>
        </w:rPr>
        <w:t>1 Pursuant to Rule 416(c) of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the number of shares being registered shall include an indeterminate number of additional shares of common stock, $.01 par value per share (the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which may become issuable as a result of stock splits, stock dividends, or similar transactions in accordance with anti-dilution provisions of the Lifetime Brands, Inc. Amended and Restated 2000 Long-Term Incentive Plan. Calculated pursuant to paragraphs (c) and (h) of Rule 457 of the Securities Act, based upon the average of the reported high and low sales prices for the Registrant’s Common Stock as reported on the Nasdaq Global Select Market on June 26, 2026. The foregoing calculation is solely for the purpose of determining the registration fee.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Table 2: Fee Offset Claims and Sources</w:t>
      </w:r>
    </w:p>
    <w:p>
      <w:pPr>
        <w:pStyle w:val="TextBody"/>
        <w:bidi w:val="0"/>
        <w:spacing w:lineRule="auto" w:line="276" w:before="0" w:after="0"/>
        <w:jc w:val="right"/>
        <w:rPr>
          <w:color w:val="000000"/>
        </w:rPr>
      </w:pPr>
      <w:r>
        <w:rPr>
          <w:color w:val="000000"/>
        </w:rPr>
        <w:t>☑</w:t>
      </w:r>
      <w:r>
        <w:rPr>
          <w:rFonts w:ascii="Times New Roman;serif" w:hAnsi="Times New Roman;serif"/>
          <w:b/>
          <w:color w:val="000000"/>
          <w:sz w:val="20"/>
        </w:rPr>
        <w:t>Not Applicable</w:t>
      </w:r>
    </w:p>
    <w:p>
      <w:pPr>
        <w:pStyle w:val="TextBody"/>
        <w:bidi w:val="0"/>
        <w:spacing w:before="0" w:after="0"/>
        <w:jc w:val="left"/>
        <w:rPr/>
      </w:pPr>
      <w:r>
        <w:rPr/>
      </w:r>
    </w:p>
    <w:tbl>
      <w:tblPr>
        <w:tblW w:w="10404" w:type="dxa"/>
        <w:jc w:val="left"/>
        <w:tblInd w:w="0" w:type="dxa"/>
        <w:tblLayout w:type="fixed"/>
        <w:tblCellMar>
          <w:top w:w="28" w:type="dxa"/>
          <w:left w:w="28" w:type="dxa"/>
          <w:bottom w:w="28" w:type="dxa"/>
          <w:right w:w="28" w:type="dxa"/>
        </w:tblCellMar>
      </w:tblPr>
      <w:tblGrid>
        <w:gridCol w:w="381"/>
        <w:gridCol w:w="229"/>
        <w:gridCol w:w="231"/>
        <w:gridCol w:w="109"/>
        <w:gridCol w:w="109"/>
        <w:gridCol w:w="109"/>
        <w:gridCol w:w="330"/>
        <w:gridCol w:w="330"/>
        <w:gridCol w:w="331"/>
        <w:gridCol w:w="205"/>
        <w:gridCol w:w="205"/>
        <w:gridCol w:w="206"/>
        <w:gridCol w:w="265"/>
        <w:gridCol w:w="265"/>
        <w:gridCol w:w="266"/>
        <w:gridCol w:w="210"/>
        <w:gridCol w:w="210"/>
        <w:gridCol w:w="211"/>
        <w:gridCol w:w="205"/>
        <w:gridCol w:w="205"/>
        <w:gridCol w:w="206"/>
        <w:gridCol w:w="275"/>
        <w:gridCol w:w="275"/>
        <w:gridCol w:w="276"/>
        <w:gridCol w:w="335"/>
        <w:gridCol w:w="335"/>
        <w:gridCol w:w="336"/>
        <w:gridCol w:w="335"/>
        <w:gridCol w:w="335"/>
        <w:gridCol w:w="336"/>
        <w:gridCol w:w="335"/>
        <w:gridCol w:w="335"/>
        <w:gridCol w:w="336"/>
        <w:gridCol w:w="335"/>
        <w:gridCol w:w="335"/>
        <w:gridCol w:w="336"/>
        <w:gridCol w:w="215"/>
        <w:gridCol w:w="215"/>
        <w:gridCol w:w="306"/>
      </w:tblGrid>
      <w:tr>
        <w:trPr/>
        <w:tc>
          <w:tcPr>
            <w:tcW w:w="3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Registrant or Filer Name</w:t>
            </w:r>
          </w:p>
        </w:tc>
        <w:tc>
          <w:tcPr>
            <w:tcW w:w="616"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Form or Filing Type</w:t>
            </w:r>
          </w:p>
        </w:tc>
        <w:tc>
          <w:tcPr>
            <w:tcW w:w="796"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631"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Initial Filing Date</w:t>
            </w:r>
          </w:p>
        </w:tc>
        <w:tc>
          <w:tcPr>
            <w:tcW w:w="616"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826"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Fee Offset Claimed</w:t>
            </w:r>
          </w:p>
        </w:tc>
        <w:tc>
          <w:tcPr>
            <w:tcW w:w="1006"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Security Type Associated with Fee Offset Claimed</w:t>
            </w:r>
          </w:p>
        </w:tc>
        <w:tc>
          <w:tcPr>
            <w:tcW w:w="1006"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Security Title Associated with Fee Offset Claimed</w:t>
            </w:r>
          </w:p>
        </w:tc>
        <w:tc>
          <w:tcPr>
            <w:tcW w:w="1006"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Unsold Securities Associated with Fee Offset Claimed</w:t>
            </w:r>
          </w:p>
        </w:tc>
        <w:tc>
          <w:tcPr>
            <w:tcW w:w="1006"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Unsold Aggregate Offering Amount Associated with Fee Offset Claimed</w:t>
            </w:r>
          </w:p>
        </w:tc>
        <w:tc>
          <w:tcPr>
            <w:tcW w:w="736" w:type="dxa"/>
            <w:gridSpan w:val="3"/>
            <w:tcBorders>
              <w:top w:val="single" w:sz="4" w:space="0" w:color="242424"/>
              <w:left w:val="single" w:sz="4" w:space="0" w:color="242424"/>
              <w:bottom w:val="single" w:sz="4" w:space="0" w:color="242424"/>
              <w:right w:val="single" w:sz="4" w:space="0" w:color="242424"/>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Fee Paid with Fee Offset Source</w:t>
            </w:r>
          </w:p>
        </w:tc>
      </w:tr>
      <w:tr>
        <w:trPr/>
        <w:tc>
          <w:tcPr>
            <w:tcW w:w="10404" w:type="dxa"/>
            <w:gridSpan w:val="39"/>
            <w:tcBorders>
              <w:top w:val="single" w:sz="4" w:space="0" w:color="242424"/>
              <w:left w:val="single" w:sz="4" w:space="0" w:color="242424"/>
              <w:right w:val="single" w:sz="4" w:space="0" w:color="242424"/>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Rule 457(p)</w:t>
            </w:r>
          </w:p>
        </w:tc>
      </w:tr>
      <w:tr>
        <w:trPr/>
        <w:tc>
          <w:tcPr>
            <w:tcW w:w="841" w:type="dxa"/>
            <w:gridSpan w:val="3"/>
            <w:tcBorders>
              <w:top w:val="single" w:sz="4" w:space="0" w:color="242424"/>
              <w:left w:val="single" w:sz="4" w:space="0" w:color="24242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Offset Claims</w:t>
            </w:r>
          </w:p>
        </w:tc>
        <w:tc>
          <w:tcPr>
            <w:tcW w:w="327"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242424"/>
              <w:left w:val="single" w:sz="4" w:space="0" w:color="24242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242424"/>
              <w:left w:val="single" w:sz="4" w:space="0" w:color="242424"/>
              <w:right w:val="single" w:sz="4" w:space="0" w:color="242424"/>
            </w:tcBorders>
            <w:tcMar>
              <w:bottom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4" w:space="0" w:color="242424"/>
              <w:left w:val="single" w:sz="4" w:space="0" w:color="242424"/>
              <w:bottom w:val="single" w:sz="4" w:space="0" w:color="242424"/>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Fee Offset Sources</w:t>
            </w:r>
          </w:p>
        </w:tc>
        <w:tc>
          <w:tcPr>
            <w:tcW w:w="327"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242424"/>
              <w:left w:val="single" w:sz="4" w:space="0" w:color="242424"/>
              <w:bottom w:val="single" w:sz="4" w:space="0" w:color="242424"/>
            </w:tcBorders>
            <w:tcMar>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242424"/>
              <w:left w:val="single" w:sz="4" w:space="0" w:color="242424"/>
              <w:bottom w:val="single" w:sz="4" w:space="0" w:color="242424"/>
              <w:right w:val="single" w:sz="4" w:space="0" w:color="242424"/>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74396/000087439626000008/lcut-20251231.htm" TargetMode="External"/><Relationship Id="rId3" Type="http://schemas.openxmlformats.org/officeDocument/2006/relationships/hyperlink" Target="https://www.sec.gov/ix?doc=/Archives/edgar/data/0000874396/000119312526177145/d27361ddef14a.htm" TargetMode="External"/><Relationship Id="rId4" Type="http://schemas.openxmlformats.org/officeDocument/2006/relationships/hyperlink" Target="https://www.sec.gov/ix?doc=/Archives/edgar/data/0000874396/000087439626000020/lcut-20260331.htm" TargetMode="External"/><Relationship Id="rId5" Type="http://schemas.openxmlformats.org/officeDocument/2006/relationships/hyperlink" Target="https://www.sec.gov/ix?doc=/Archives/edgar/data/0000874396/000087439626000026/lcut-20260618.htm" TargetMode="External"/><Relationship Id="rId6" Type="http://schemas.openxmlformats.org/officeDocument/2006/relationships/hyperlink" Target="https://www.sec.gov/Archives/edgar/data/874396/000162828020003560/lcutex4110k12312019.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12946</Words>
  <Characters>67552</Characters>
  <CharactersWithSpaces>80390</CharactersWithSpaces>
  <Paragraphs>421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