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right="100" w:hanging="436"/>
        <w:spacing w:after="0" w:line="237"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10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0-19254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LIFETIME BRANDS,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236220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20" w:type="dxa"/>
        <w:tblCellMar>
          <w:top w:w="0" w:type="dxa"/>
          <w:left w:w="0" w:type="dxa"/>
          <w:bottom w:w="0" w:type="dxa"/>
          <w:right w:w="0" w:type="dxa"/>
        </w:tblCellMar>
      </w:tblPr>
      <w:tr>
        <w:trPr>
          <w:trHeight w:val="212"/>
        </w:trPr>
        <w:tc>
          <w:tcPr>
            <w:tcW w:w="3220" w:type="dxa"/>
            <w:vAlign w:val="bottom"/>
          </w:tcPr>
          <w:p>
            <w:pPr>
              <w:jc w:val="center"/>
              <w:ind w:left="2221"/>
              <w:spacing w:after="0"/>
              <w:rPr>
                <w:sz w:val="20"/>
                <w:szCs w:val="20"/>
                <w:color w:val="auto"/>
              </w:rPr>
            </w:pPr>
            <w:r>
              <w:rPr>
                <w:rFonts w:ascii="Arial" w:cs="Arial" w:eastAsia="Arial" w:hAnsi="Arial"/>
                <w:sz w:val="18"/>
                <w:szCs w:val="18"/>
                <w:b w:val="1"/>
                <w:bCs w:val="1"/>
                <w:color w:val="auto"/>
                <w:w w:val="91"/>
              </w:rPr>
              <w:t>Delaware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80" w:type="dxa"/>
            <w:vAlign w:val="bottom"/>
          </w:tcPr>
          <w:p>
            <w:pPr>
              <w:jc w:val="center"/>
              <w:ind w:right="2022"/>
              <w:spacing w:after="0"/>
              <w:rPr>
                <w:sz w:val="20"/>
                <w:szCs w:val="20"/>
                <w:color w:val="auto"/>
              </w:rPr>
            </w:pPr>
            <w:r>
              <w:rPr>
                <w:rFonts w:ascii="Arial" w:cs="Arial" w:eastAsia="Arial" w:hAnsi="Arial"/>
                <w:sz w:val="18"/>
                <w:szCs w:val="18"/>
                <w:b w:val="1"/>
                <w:bCs w:val="1"/>
                <w:color w:val="auto"/>
                <w:w w:val="89"/>
              </w:rPr>
              <w:t>11-2682486</w:t>
            </w:r>
          </w:p>
        </w:tc>
        <w:tc>
          <w:tcPr>
            <w:tcW w:w="0" w:type="dxa"/>
            <w:vAlign w:val="bottom"/>
          </w:tcPr>
          <w:p>
            <w:pPr>
              <w:spacing w:after="0"/>
              <w:rPr>
                <w:sz w:val="1"/>
                <w:szCs w:val="1"/>
                <w:color w:val="auto"/>
              </w:rPr>
            </w:pPr>
          </w:p>
        </w:tc>
      </w:tr>
      <w:tr>
        <w:trPr>
          <w:trHeight w:val="149"/>
        </w:trPr>
        <w:tc>
          <w:tcPr>
            <w:tcW w:w="7740" w:type="dxa"/>
            <w:vAlign w:val="bottom"/>
            <w:gridSpan w:val="8"/>
          </w:tcPr>
          <w:p>
            <w:pPr>
              <w:jc w:val="center"/>
              <w:ind w:right="22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80" w:type="dxa"/>
            <w:vAlign w:val="bottom"/>
          </w:tcPr>
          <w:p>
            <w:pPr>
              <w:jc w:val="center"/>
              <w:ind w:right="2022"/>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7740" w:type="dxa"/>
            <w:vAlign w:val="bottom"/>
            <w:gridSpan w:val="8"/>
          </w:tcPr>
          <w:p>
            <w:pPr>
              <w:jc w:val="center"/>
              <w:ind w:right="2220"/>
              <w:spacing w:after="0"/>
              <w:rPr>
                <w:sz w:val="20"/>
                <w:szCs w:val="20"/>
                <w:color w:val="auto"/>
              </w:rPr>
            </w:pPr>
            <w:r>
              <w:rPr>
                <w:rFonts w:ascii="Arial" w:cs="Arial" w:eastAsia="Arial" w:hAnsi="Arial"/>
                <w:sz w:val="14"/>
                <w:szCs w:val="14"/>
                <w:b w:val="1"/>
                <w:bCs w:val="1"/>
                <w:color w:val="auto"/>
                <w:w w:val="94"/>
              </w:rPr>
              <w:t>incorporation or organization)</w:t>
            </w:r>
          </w:p>
        </w:tc>
        <w:tc>
          <w:tcPr>
            <w:tcW w:w="3280" w:type="dxa"/>
            <w:vAlign w:val="bottom"/>
          </w:tcPr>
          <w:p>
            <w:pPr>
              <w:jc w:val="center"/>
              <w:ind w:right="2022"/>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408"/>
        </w:trPr>
        <w:tc>
          <w:tcPr>
            <w:tcW w:w="3220" w:type="dxa"/>
            <w:vAlign w:val="bottom"/>
          </w:tcPr>
          <w:p>
            <w:pPr>
              <w:spacing w:after="0"/>
              <w:rPr>
                <w:sz w:val="24"/>
                <w:szCs w:val="24"/>
                <w:color w:val="auto"/>
              </w:rPr>
            </w:pPr>
          </w:p>
        </w:tc>
        <w:tc>
          <w:tcPr>
            <w:tcW w:w="45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1000 Stewart Avenue, Garden City, New York, 11530</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3220" w:type="dxa"/>
            <w:vAlign w:val="bottom"/>
          </w:tcPr>
          <w:p>
            <w:pPr>
              <w:spacing w:after="0"/>
              <w:rPr>
                <w:sz w:val="24"/>
                <w:szCs w:val="24"/>
                <w:color w:val="auto"/>
              </w:rPr>
            </w:pPr>
          </w:p>
        </w:tc>
        <w:tc>
          <w:tcPr>
            <w:tcW w:w="3420" w:type="dxa"/>
            <w:vAlign w:val="bottom"/>
            <w:gridSpan w:val="4"/>
          </w:tcPr>
          <w:p>
            <w:pPr>
              <w:jc w:val="center"/>
              <w:ind w:left="1050"/>
              <w:spacing w:after="0"/>
              <w:rPr>
                <w:sz w:val="20"/>
                <w:szCs w:val="20"/>
                <w:color w:val="auto"/>
              </w:rPr>
            </w:pPr>
            <w:r>
              <w:rPr>
                <w:rFonts w:ascii="Arial" w:cs="Arial" w:eastAsia="Arial" w:hAnsi="Arial"/>
                <w:sz w:val="18"/>
                <w:szCs w:val="18"/>
                <w:b w:val="1"/>
                <w:bCs w:val="1"/>
                <w:color w:val="auto"/>
                <w:w w:val="90"/>
              </w:rPr>
              <w:t>(516) 683-6000</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3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220" w:type="dxa"/>
            <w:vAlign w:val="bottom"/>
          </w:tcPr>
          <w:p>
            <w:pPr>
              <w:spacing w:after="0"/>
              <w:rPr>
                <w:sz w:val="24"/>
                <w:szCs w:val="24"/>
                <w:color w:val="auto"/>
              </w:rPr>
            </w:pPr>
          </w:p>
        </w:tc>
        <w:tc>
          <w:tcPr>
            <w:tcW w:w="452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220" w:type="dxa"/>
            <w:vAlign w:val="bottom"/>
            <w:vMerge w:val="restart"/>
          </w:tcPr>
          <w:p>
            <w:pPr>
              <w:jc w:val="center"/>
              <w:ind w:left="421"/>
              <w:spacing w:after="0"/>
              <w:rPr>
                <w:sz w:val="20"/>
                <w:szCs w:val="20"/>
                <w:color w:val="auto"/>
              </w:rPr>
            </w:pPr>
            <w:r>
              <w:rPr>
                <w:rFonts w:ascii="Arial" w:cs="Arial" w:eastAsia="Arial" w:hAnsi="Arial"/>
                <w:sz w:val="14"/>
                <w:szCs w:val="14"/>
                <w:b w:val="1"/>
                <w:bCs w:val="1"/>
                <w:color w:val="auto"/>
                <w:w w:val="89"/>
              </w:rPr>
              <w:t>Title of each class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7"/>
              </w:rPr>
              <w:t>Trading</w:t>
            </w:r>
          </w:p>
        </w:tc>
        <w:tc>
          <w:tcPr>
            <w:tcW w:w="3280" w:type="dxa"/>
            <w:vAlign w:val="bottom"/>
          </w:tcPr>
          <w:p>
            <w:pPr>
              <w:jc w:val="center"/>
              <w:ind w:right="202"/>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2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1"/>
              </w:rPr>
              <w:t>Symbol(s)</w:t>
            </w:r>
          </w:p>
        </w:tc>
        <w:tc>
          <w:tcPr>
            <w:tcW w:w="3280" w:type="dxa"/>
            <w:vAlign w:val="bottom"/>
          </w:tcPr>
          <w:p>
            <w:pPr>
              <w:jc w:val="center"/>
              <w:ind w:right="202"/>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220" w:type="dxa"/>
            <w:vAlign w:val="bottom"/>
            <w:tcBorders>
              <w:top w:val="single" w:sz="8" w:color="auto"/>
            </w:tcBorders>
          </w:tcPr>
          <w:p>
            <w:pPr>
              <w:jc w:val="center"/>
              <w:ind w:left="421"/>
              <w:spacing w:after="0"/>
              <w:rPr>
                <w:sz w:val="20"/>
                <w:szCs w:val="20"/>
                <w:color w:val="auto"/>
              </w:rPr>
            </w:pPr>
            <w:r>
              <w:rPr>
                <w:rFonts w:ascii="Arial" w:cs="Arial" w:eastAsia="Arial" w:hAnsi="Arial"/>
                <w:sz w:val="18"/>
                <w:szCs w:val="18"/>
                <w:b w:val="1"/>
                <w:bCs w:val="1"/>
                <w:color w:val="auto"/>
                <w:w w:val="90"/>
              </w:rPr>
              <w:t>Common Stock, $.01 par value</w:t>
            </w: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8"/>
                <w:szCs w:val="18"/>
                <w:b w:val="1"/>
                <w:bCs w:val="1"/>
                <w:color w:val="auto"/>
              </w:rPr>
              <w:t>LCUT</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280" w:type="dxa"/>
            <w:vAlign w:val="bottom"/>
            <w:tcBorders>
              <w:top w:val="single" w:sz="8" w:color="auto"/>
            </w:tcBorders>
          </w:tcPr>
          <w:p>
            <w:pPr>
              <w:jc w:val="center"/>
              <w:ind w:right="202"/>
              <w:spacing w:after="0"/>
              <w:rPr>
                <w:sz w:val="20"/>
                <w:szCs w:val="20"/>
                <w:color w:val="auto"/>
              </w:rPr>
            </w:pPr>
            <w:r>
              <w:rPr>
                <w:rFonts w:ascii="Arial" w:cs="Arial" w:eastAsia="Arial" w:hAnsi="Arial"/>
                <w:sz w:val="18"/>
                <w:szCs w:val="18"/>
                <w:b w:val="1"/>
                <w:bCs w:val="1"/>
                <w:color w:val="auto"/>
                <w:w w:val="94"/>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200"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20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200" w:right="1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0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20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00"/>
        <w:spacing w:after="0" w:line="207" w:lineRule="exact"/>
        <w:tabs>
          <w:tab w:leader="none" w:pos="91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ectPr>
          <w:pgSz w:w="11900" w:h="16838" w:orient="portrait"/>
          <w:cols w:equalWidth="0" w:num="1">
            <w:col w:w="11240"/>
          </w:cols>
          <w:pgMar w:left="240" w:top="230" w:right="41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The number of shares of the registrant’s common stock outstanding as of July 31, 2019 was 21,255,218.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218440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LIFETIME BRANDS, INC.</w:t>
      </w:r>
    </w:p>
    <w:p>
      <w:pPr>
        <w:spacing w:after="0" w:line="19"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FORM 10-Q</w:t>
      </w:r>
    </w:p>
    <w:p>
      <w:pPr>
        <w:jc w:val="center"/>
        <w:ind w:right="-239"/>
        <w:spacing w:after="0"/>
        <w:rPr>
          <w:sz w:val="20"/>
          <w:szCs w:val="20"/>
          <w:color w:val="auto"/>
        </w:rPr>
      </w:pPr>
      <w:r>
        <w:rPr>
          <w:rFonts w:ascii="Arial" w:cs="Arial" w:eastAsia="Arial" w:hAnsi="Arial"/>
          <w:sz w:val="18"/>
          <w:szCs w:val="18"/>
          <w:b w:val="1"/>
          <w:bCs w:val="1"/>
          <w:color w:val="auto"/>
        </w:rPr>
        <w:t>FOR THE QUARTER ENDED JUNE 30, 2019</w:t>
      </w:r>
    </w:p>
    <w:p>
      <w:pPr>
        <w:spacing w:after="0" w:line="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1720" w:type="dxa"/>
            <w:vAlign w:val="bottom"/>
            <w:gridSpan w:val="6"/>
            <w:vMerge w:val="restart"/>
          </w:tcPr>
          <w:p>
            <w:pPr>
              <w:spacing w:after="0"/>
              <w:rPr>
                <w:rFonts w:ascii="Arial" w:cs="Arial" w:eastAsia="Arial" w:hAnsi="Arial"/>
                <w:sz w:val="18"/>
                <w:szCs w:val="18"/>
                <w:b w:val="1"/>
                <w:bCs w:val="1"/>
                <w:color w:val="0000EE"/>
                <w:w w:val="93"/>
              </w:rPr>
            </w:pPr>
            <w:hyperlink w:anchor="page4">
              <w:r>
                <w:rPr>
                  <w:rFonts w:ascii="Arial" w:cs="Arial" w:eastAsia="Arial" w:hAnsi="Arial"/>
                  <w:sz w:val="18"/>
                  <w:szCs w:val="18"/>
                  <w:b w:val="1"/>
                  <w:bCs w:val="1"/>
                  <w:color w:val="0000EE"/>
                  <w:w w:val="93"/>
                </w:rPr>
                <w:t>Financial Information</w:t>
              </w:r>
            </w:hyperlink>
          </w:p>
        </w:tc>
        <w:tc>
          <w:tcPr>
            <w:tcW w:w="7720" w:type="dxa"/>
            <w:vAlign w:val="bottom"/>
            <w:gridSpan w:val="11"/>
            <w:vMerge w:val="restart"/>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6"/>
        </w:trPr>
        <w:tc>
          <w:tcPr>
            <w:tcW w:w="860" w:type="dxa"/>
            <w:vAlign w:val="bottom"/>
            <w:gridSpan w:val="2"/>
            <w:vMerge w:val="continue"/>
          </w:tcPr>
          <w:p>
            <w:pPr>
              <w:spacing w:after="0"/>
              <w:rPr>
                <w:sz w:val="13"/>
                <w:szCs w:val="13"/>
                <w:color w:val="auto"/>
              </w:rPr>
            </w:pPr>
          </w:p>
        </w:tc>
        <w:tc>
          <w:tcPr>
            <w:tcW w:w="1720" w:type="dxa"/>
            <w:vAlign w:val="bottom"/>
            <w:tcBorders>
              <w:bottom w:val="single" w:sz="8" w:color="0000EE"/>
            </w:tcBorders>
            <w:gridSpan w:val="6"/>
            <w:vMerge w:val="continue"/>
          </w:tcPr>
          <w:p>
            <w:pPr>
              <w:spacing w:after="0"/>
              <w:rPr>
                <w:sz w:val="13"/>
                <w:szCs w:val="13"/>
                <w:color w:val="auto"/>
              </w:rPr>
            </w:pPr>
          </w:p>
        </w:tc>
        <w:tc>
          <w:tcPr>
            <w:tcW w:w="7720" w:type="dxa"/>
            <w:vAlign w:val="bottom"/>
            <w:gridSpan w:val="11"/>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7920" w:type="dxa"/>
            <w:vAlign w:val="bottom"/>
            <w:gridSpan w:val="12"/>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 June 30, 2019 (unaudited) and December 31, 2018</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(unaudited) – Three and Six Months Ended June 30, 2019 and 2018</w:t>
              </w:r>
            </w:hyperlink>
          </w:p>
        </w:tc>
        <w:tc>
          <w:tcPr>
            <w:tcW w:w="84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(unaudited) – Three and Six Months Ended June 30, 2019 and 2018</w:t>
              </w:r>
            </w:hyperlink>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17"/>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Statements of Stockholders’ Equity (unaudited) –Three and Six Months Ended June 30, 2019 and 2018</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(unaudited) – Six Months Ended June 30, 2019 and 2018</w:t>
              </w:r>
            </w:hyperlink>
          </w:p>
        </w:tc>
        <w:tc>
          <w:tcPr>
            <w:tcW w:w="1400" w:type="dxa"/>
            <w:vAlign w:val="bottom"/>
            <w:tcBorders>
              <w:top w:val="single" w:sz="8" w:color="0000EE"/>
            </w:tcBorders>
            <w:gridSpan w:val="2"/>
          </w:tcPr>
          <w:p>
            <w:pPr>
              <w:spacing w:after="0"/>
              <w:rPr>
                <w:sz w:val="24"/>
                <w:szCs w:val="24"/>
                <w:color w:val="auto"/>
              </w:rPr>
            </w:pPr>
          </w:p>
        </w:tc>
        <w:tc>
          <w:tcPr>
            <w:tcW w:w="16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Condensed Consolidated Financial Statements (unaudited)</w:t>
              </w:r>
            </w:hyperlink>
          </w:p>
        </w:tc>
        <w:tc>
          <w:tcPr>
            <w:tcW w:w="456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4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98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Controls and Procedures</w:t>
              </w:r>
            </w:hyperlink>
          </w:p>
        </w:tc>
        <w:tc>
          <w:tcPr>
            <w:tcW w:w="766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60" w:type="dxa"/>
            <w:vAlign w:val="bottom"/>
            <w:tcBorders>
              <w:bottom w:val="single" w:sz="8" w:color="0000EE"/>
            </w:tcBorders>
            <w:gridSpan w:val="4"/>
          </w:tcPr>
          <w:p>
            <w:pPr>
              <w:spacing w:after="0"/>
              <w:rPr>
                <w:rFonts w:ascii="Arial" w:cs="Arial" w:eastAsia="Arial" w:hAnsi="Arial"/>
                <w:sz w:val="18"/>
                <w:szCs w:val="18"/>
                <w:b w:val="1"/>
                <w:bCs w:val="1"/>
                <w:color w:val="0000EE"/>
                <w:w w:val="94"/>
              </w:rPr>
            </w:pPr>
            <w:hyperlink w:anchor="page44">
              <w:r>
                <w:rPr>
                  <w:rFonts w:ascii="Arial" w:cs="Arial" w:eastAsia="Arial" w:hAnsi="Arial"/>
                  <w:sz w:val="18"/>
                  <w:szCs w:val="18"/>
                  <w:b w:val="1"/>
                  <w:bCs w:val="1"/>
                  <w:color w:val="0000EE"/>
                  <w:w w:val="94"/>
                </w:rPr>
                <w:t>Other Information</w:t>
              </w:r>
            </w:hyperlink>
          </w:p>
        </w:tc>
        <w:tc>
          <w:tcPr>
            <w:tcW w:w="7980" w:type="dxa"/>
            <w:vAlign w:val="bottom"/>
            <w:gridSpan w:val="13"/>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4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24"/>
                <w:szCs w:val="24"/>
                <w:color w:val="auto"/>
              </w:rPr>
            </w:pPr>
          </w:p>
        </w:tc>
        <w:tc>
          <w:tcPr>
            <w:tcW w:w="810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Unregistered Sales of Equity Securities and Use of Proceeds</w:t>
              </w:r>
            </w:hyperlink>
          </w:p>
        </w:tc>
        <w:tc>
          <w:tcPr>
            <w:tcW w:w="508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44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rFonts w:ascii="Arial" w:cs="Arial" w:eastAsia="Arial" w:hAnsi="Arial"/>
                <w:sz w:val="18"/>
                <w:szCs w:val="18"/>
                <w:color w:val="0000EE"/>
                <w:w w:val="97"/>
              </w:rPr>
            </w:pPr>
            <w:hyperlink w:anchor="page47">
              <w:r>
                <w:rPr>
                  <w:rFonts w:ascii="Arial" w:cs="Arial" w:eastAsia="Arial" w:hAnsi="Arial"/>
                  <w:sz w:val="18"/>
                  <w:szCs w:val="18"/>
                  <w:color w:val="0000EE"/>
                  <w:w w:val="97"/>
                </w:rPr>
                <w:t>Signatures</w:t>
              </w:r>
            </w:hyperlink>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 FINANCIAL INFORMATION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1100" w:type="dxa"/>
            <w:vAlign w:val="bottom"/>
            <w:gridSpan w:val="4"/>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3"/>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10,535</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Accounts receivable, less allowances of $7,473 at June 30, 2019 and $7,855 at December 31, 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91,109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125,292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205,607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173,601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330,665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318,804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109,757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331,314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338,847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822,701</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708,572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Current maturity of term loan</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13,261</w:t>
            </w:r>
          </w:p>
        </w:tc>
        <w:tc>
          <w:tcPr>
            <w:tcW w:w="180" w:type="dxa"/>
            <w:vAlign w:val="bottom"/>
          </w:tcPr>
          <w:p>
            <w:pPr>
              <w:spacing w:after="0"/>
              <w:rPr>
                <w:sz w:val="18"/>
                <w:szCs w:val="18"/>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50,966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45,456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operating lease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123,885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DEFERRED RENT &amp; 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114,630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INCOME TAXES PAYABLE, LONG-TERM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TERM LOAN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250,062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262,694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tcPr>
          <w:p>
            <w:pPr>
              <w:ind w:left="340"/>
              <w:spacing w:after="0" w:line="201" w:lineRule="exact"/>
              <w:rPr>
                <w:sz w:val="20"/>
                <w:szCs w:val="20"/>
                <w:color w:val="auto"/>
              </w:rPr>
            </w:pPr>
            <w:r>
              <w:rPr>
                <w:rFonts w:ascii="Arial" w:cs="Arial" w:eastAsia="Arial" w:hAnsi="Arial"/>
                <w:sz w:val="18"/>
                <w:szCs w:val="18"/>
                <w:color w:val="auto"/>
                <w:w w:val="93"/>
              </w:rPr>
              <w:t>Preferred stock, $1.00 par value, shares authorized: 100 shares of Series A and 2,000,000 shares of Series B; none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tcPr>
          <w:p>
            <w:pPr>
              <w:ind w:left="520"/>
              <w:spacing w:after="0"/>
              <w:rPr>
                <w:sz w:val="20"/>
                <w:szCs w:val="20"/>
                <w:color w:val="auto"/>
              </w:rPr>
            </w:pPr>
            <w:r>
              <w:rPr>
                <w:rFonts w:ascii="Arial" w:cs="Arial" w:eastAsia="Arial" w:hAnsi="Arial"/>
                <w:sz w:val="18"/>
                <w:szCs w:val="18"/>
                <w:color w:val="auto"/>
              </w:rPr>
              <w:t>issued and outstanding</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Common stock, $.01 par value, shares authorized: 50,000,000 at June 30, 2019 and December 31, 2018;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issued and outstanding: 21,255,218 at June 30, 2019 and 20,764,143 at December 31, 2018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260,461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258,637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(34,660)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263,104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279,493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1060"/>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822,701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708,572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7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7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$142,536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148,651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$292,462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266,820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Cost of sales</w:t>
            </w:r>
          </w:p>
        </w:tc>
        <w:tc>
          <w:tcPr>
            <w:tcW w:w="1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169,655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Distribution expenses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15,541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14,942</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31,401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32,764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(12,545)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(3,301)</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(14,832)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Interest expense</w:t>
            </w:r>
          </w:p>
        </w:tc>
        <w:tc>
          <w:tcPr>
            <w:tcW w:w="2540" w:type="dxa"/>
            <w:vAlign w:val="bottom"/>
            <w:gridSpan w:val="3"/>
          </w:tcPr>
          <w:p>
            <w:pPr>
              <w:jc w:val="right"/>
              <w:ind w:right="80"/>
              <w:spacing w:after="0"/>
              <w:rPr>
                <w:sz w:val="20"/>
                <w:szCs w:val="20"/>
                <w:color w:val="auto"/>
              </w:rPr>
            </w:pPr>
            <w:r>
              <w:rPr>
                <w:rFonts w:ascii="Arial" w:cs="Arial" w:eastAsia="Arial" w:hAnsi="Arial"/>
                <w:sz w:val="18"/>
                <w:szCs w:val="18"/>
                <w:color w:val="auto"/>
              </w:rPr>
              <w:t>(4,694)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(4,676)</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(9,616)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Loss on early retirement of debt</w:t>
            </w:r>
          </w:p>
        </w:tc>
        <w:tc>
          <w:tcPr>
            <w:tcW w:w="17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Loss before income taxes and equity in (losses) earnings</w:t>
            </w:r>
          </w:p>
        </w:tc>
        <w:tc>
          <w:tcPr>
            <w:tcW w:w="17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(17,239)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(23,462)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Equity in (losses) earnings, net of taxes</w:t>
            </w:r>
          </w:p>
        </w:tc>
        <w:tc>
          <w:tcPr>
            <w:tcW w:w="17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(11,513)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(6,057)</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 (16,380)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(17,655)</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LOSS PER COMMON SHARE</w:t>
            </w:r>
          </w:p>
        </w:tc>
        <w:tc>
          <w:tcPr>
            <w:tcW w:w="1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LOSS PER COMMON SHARE</w:t>
            </w:r>
          </w:p>
        </w:tc>
        <w:tc>
          <w:tcPr>
            <w:tcW w:w="2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6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6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(11,513)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$(16,380)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$(17,655)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comprehensive loss, net of taxes:</w:t>
            </w:r>
          </w:p>
        </w:tc>
        <w:tc>
          <w:tcPr>
            <w:tcW w:w="2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3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(5,489)</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(1,647)</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(2,109)</w:t>
            </w: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Net change in cash flow hedges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982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(263)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1,578</w:t>
            </w:r>
          </w:p>
        </w:tc>
        <w:tc>
          <w:tcPr>
            <w:tcW w:w="1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(277)</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Other comprehensive loss, net of taxes</w:t>
            </w:r>
          </w:p>
        </w:tc>
        <w:tc>
          <w:tcPr>
            <w:tcW w:w="2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(5,735)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(13,472)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(11,792)</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(16,424)</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(20,006)</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 2018</w:t>
            </w:r>
          </w:p>
        </w:tc>
        <w:tc>
          <w:tcPr>
            <w:tcW w:w="1240" w:type="dxa"/>
            <w:vAlign w:val="bottom"/>
            <w:gridSpan w:val="4"/>
          </w:tcPr>
          <w:p>
            <w:pPr>
              <w:ind w:left="16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Paid-in</w:t>
            </w: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Retained</w:t>
            </w: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760" w:type="dxa"/>
            <w:vAlign w:val="bottom"/>
            <w:gridSpan w:val="3"/>
            <w:vMerge w:val="continue"/>
          </w:tcPr>
          <w:p>
            <w:pPr>
              <w:spacing w:after="0"/>
              <w:rPr>
                <w:sz w:val="13"/>
                <w:szCs w:val="13"/>
                <w:color w:val="auto"/>
              </w:rPr>
            </w:pPr>
          </w:p>
        </w:tc>
        <w:tc>
          <w:tcPr>
            <w:tcW w:w="6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70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700" w:type="dxa"/>
            <w:vAlign w:val="bottom"/>
            <w:gridSpan w:val="2"/>
          </w:tcPr>
          <w:p>
            <w:pPr>
              <w:jc w:val="right"/>
              <w:ind w:right="180"/>
              <w:spacing w:after="0" w:line="158" w:lineRule="exact"/>
              <w:rPr>
                <w:sz w:val="20"/>
                <w:szCs w:val="20"/>
                <w:color w:val="auto"/>
              </w:rPr>
            </w:pPr>
            <w:r>
              <w:rPr>
                <w:rFonts w:ascii="Arial" w:cs="Arial" w:eastAsia="Arial" w:hAnsi="Arial"/>
                <w:sz w:val="14"/>
                <w:szCs w:val="14"/>
                <w:b w:val="1"/>
                <w:bCs w:val="1"/>
                <w:color w:val="auto"/>
                <w:w w:val="85"/>
              </w:rPr>
              <w:t>earnings</w:t>
            </w:r>
          </w:p>
        </w:tc>
        <w:tc>
          <w:tcPr>
            <w:tcW w:w="1480" w:type="dxa"/>
            <w:vAlign w:val="bottom"/>
            <w:gridSpan w:val="4"/>
          </w:tcPr>
          <w:p>
            <w:pPr>
              <w:ind w:left="120"/>
              <w:spacing w:after="0" w:line="158" w:lineRule="exact"/>
              <w:rPr>
                <w:sz w:val="20"/>
                <w:szCs w:val="20"/>
                <w:color w:val="auto"/>
              </w:rPr>
            </w:pPr>
            <w:r>
              <w:rPr>
                <w:rFonts w:ascii="Arial" w:cs="Arial" w:eastAsia="Arial" w:hAnsi="Arial"/>
                <w:sz w:val="14"/>
                <w:szCs w:val="14"/>
                <w:b w:val="1"/>
                <w:bCs w:val="1"/>
                <w:color w:val="auto"/>
                <w:w w:val="99"/>
              </w:rPr>
              <w:t>comprehensive loss</w:t>
            </w:r>
          </w:p>
        </w:tc>
        <w:tc>
          <w:tcPr>
            <w:tcW w:w="12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57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BALANCE AT DECEMBER 31, 2017</w:t>
            </w: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7"/>
              </w:rPr>
              <w:t>14,903</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   149</w:t>
            </w: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8"/>
              </w:rPr>
              <w:t>$178,909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5"/>
              </w:rPr>
              <w:t>$ 60,546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(29,325)</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8"/>
              </w:rPr>
              <w:t>$210,279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tcPr>
          <w:p>
            <w:pPr>
              <w:spacing w:after="0" w:line="149" w:lineRule="exact"/>
              <w:rPr>
                <w:sz w:val="20"/>
                <w:szCs w:val="20"/>
                <w:color w:val="auto"/>
              </w:rPr>
            </w:pPr>
            <w:r>
              <w:rPr>
                <w:rFonts w:ascii="Arial" w:cs="Arial" w:eastAsia="Arial" w:hAnsi="Arial"/>
                <w:sz w:val="14"/>
                <w:szCs w:val="14"/>
                <w:color w:val="auto"/>
              </w:rPr>
              <w:t>Comprehensive loss: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(11,598)</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Translation adjustment</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3,380</w:t>
            </w: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Derivative fair value adjustment</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Effect of retirement benefit obligations</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comprehensive loss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(8,214)</w:t>
            </w:r>
          </w:p>
        </w:tc>
        <w:tc>
          <w:tcPr>
            <w:tcW w:w="0" w:type="dxa"/>
            <w:vAlign w:val="bottom"/>
          </w:tcPr>
          <w:p>
            <w:pPr>
              <w:spacing w:after="0"/>
              <w:rPr>
                <w:sz w:val="1"/>
                <w:szCs w:val="1"/>
                <w:color w:val="auto"/>
              </w:rPr>
            </w:pPr>
          </w:p>
        </w:tc>
      </w:tr>
      <w:tr>
        <w:trPr>
          <w:trHeight w:val="137"/>
        </w:trPr>
        <w:tc>
          <w:tcPr>
            <w:tcW w:w="5760" w:type="dxa"/>
            <w:vAlign w:val="bottom"/>
            <w:gridSpan w:val="3"/>
          </w:tcPr>
          <w:p>
            <w:pPr>
              <w:spacing w:after="0" w:line="137" w:lineRule="exact"/>
              <w:rPr>
                <w:sz w:val="20"/>
                <w:szCs w:val="20"/>
                <w:color w:val="auto"/>
              </w:rPr>
            </w:pPr>
            <w:r>
              <w:rPr>
                <w:rFonts w:ascii="Arial" w:cs="Arial" w:eastAsia="Arial" w:hAnsi="Arial"/>
                <w:sz w:val="14"/>
                <w:szCs w:val="14"/>
                <w:color w:val="auto"/>
              </w:rPr>
              <w:t>Issuance of 5,593,116 shares of common stock for acquisition of Filament, net of equity</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40" w:type="dxa"/>
            <w:vAlign w:val="bottom"/>
            <w:gridSpan w:val="2"/>
          </w:tcPr>
          <w:p>
            <w:pPr>
              <w:ind w:left="120"/>
              <w:spacing w:after="0"/>
              <w:rPr>
                <w:sz w:val="20"/>
                <w:szCs w:val="20"/>
                <w:color w:val="auto"/>
              </w:rPr>
            </w:pPr>
            <w:r>
              <w:rPr>
                <w:rFonts w:ascii="Arial" w:cs="Arial" w:eastAsia="Arial" w:hAnsi="Arial"/>
                <w:sz w:val="14"/>
                <w:szCs w:val="14"/>
                <w:color w:val="auto"/>
              </w:rPr>
              <w:t>issuance costs</w:t>
            </w:r>
          </w:p>
        </w:tc>
        <w:tc>
          <w:tcPr>
            <w:tcW w:w="440" w:type="dxa"/>
            <w:vAlign w:val="bottom"/>
          </w:tcPr>
          <w:p>
            <w:pPr>
              <w:jc w:val="right"/>
              <w:spacing w:after="0"/>
              <w:rPr>
                <w:sz w:val="20"/>
                <w:szCs w:val="20"/>
                <w:color w:val="auto"/>
              </w:rPr>
            </w:pPr>
            <w:r>
              <w:rPr>
                <w:rFonts w:ascii="Arial" w:cs="Arial" w:eastAsia="Arial" w:hAnsi="Arial"/>
                <w:sz w:val="14"/>
                <w:szCs w:val="14"/>
                <w:color w:val="auto"/>
              </w:rPr>
              <w:t>5,593</w:t>
            </w:r>
          </w:p>
        </w:tc>
        <w:tc>
          <w:tcPr>
            <w:tcW w:w="1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75,920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75,976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Restricted shares issued to directors</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tcPr>
          <w:p>
            <w:pPr>
              <w:spacing w:after="0" w:line="149" w:lineRule="exact"/>
              <w:rPr>
                <w:sz w:val="20"/>
                <w:szCs w:val="20"/>
                <w:color w:val="auto"/>
              </w:rPr>
            </w:pPr>
            <w:r>
              <w:rPr>
                <w:rFonts w:ascii="Arial" w:cs="Arial" w:eastAsia="Arial" w:hAnsi="Arial"/>
                <w:sz w:val="14"/>
                <w:szCs w:val="14"/>
                <w:color w:val="auto"/>
              </w:rPr>
              <w:t>Net issuance of restricted shares to employees</w:t>
            </w: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w w:val="85"/>
              </w:rPr>
              <w:t>126</w:t>
            </w:r>
          </w:p>
        </w:tc>
        <w:tc>
          <w:tcPr>
            <w:tcW w:w="1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compensation expense</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85"/>
              </w:rPr>
              <w:t>838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tcPr>
          <w:p>
            <w:pPr>
              <w:spacing w:after="0" w:line="149" w:lineRule="exact"/>
              <w:rPr>
                <w:sz w:val="20"/>
                <w:szCs w:val="20"/>
                <w:color w:val="auto"/>
              </w:rPr>
            </w:pPr>
            <w:r>
              <w:rPr>
                <w:rFonts w:ascii="Arial" w:cs="Arial" w:eastAsia="Arial" w:hAnsi="Arial"/>
                <w:sz w:val="14"/>
                <w:szCs w:val="14"/>
                <w:color w:val="auto"/>
              </w:rPr>
              <w:t>Shares effectively repurchased for required employee withholding taxes</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14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(258)</w:t>
            </w:r>
          </w:p>
        </w:tc>
        <w:tc>
          <w:tcPr>
            <w:tcW w:w="14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2"/>
                <w:szCs w:val="12"/>
                <w:color w:val="auto"/>
              </w:rPr>
              <w:t>(1)</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(880)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156"/>
        </w:trPr>
        <w:tc>
          <w:tcPr>
            <w:tcW w:w="5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BALANCE AT MARCH 31, 2018</w:t>
            </w: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20,606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top w:val="single" w:sz="8" w:color="auto"/>
            </w:tcBorders>
          </w:tcPr>
          <w:p>
            <w:pPr>
              <w:ind w:left="280"/>
              <w:spacing w:after="0" w:line="155" w:lineRule="exact"/>
              <w:rPr>
                <w:sz w:val="20"/>
                <w:szCs w:val="20"/>
                <w:color w:val="auto"/>
              </w:rPr>
            </w:pPr>
            <w:r>
              <w:rPr>
                <w:rFonts w:ascii="Arial" w:cs="Arial" w:eastAsia="Arial" w:hAnsi="Arial"/>
                <w:sz w:val="14"/>
                <w:szCs w:val="14"/>
                <w:color w:val="auto"/>
                <w:w w:val="85"/>
              </w:rPr>
              <w:t>206</w:t>
            </w:r>
          </w:p>
        </w:tc>
        <w:tc>
          <w:tcPr>
            <w:tcW w:w="24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255,408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48,068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(25,941)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277,741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Net loss</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(6,057)</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(6,057)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Translation adjustment</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(5,489)</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Derivative fair value adjustment</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(263)</w:t>
            </w: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Effect of retirement benefit obligations</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4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Total comprehensive loss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Filament net equity issuance costs adjustment</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tcPr>
          <w:p>
            <w:pPr>
              <w:spacing w:after="0" w:line="149" w:lineRule="exact"/>
              <w:rPr>
                <w:sz w:val="20"/>
                <w:szCs w:val="20"/>
                <w:color w:val="auto"/>
              </w:rPr>
            </w:pPr>
            <w:r>
              <w:rPr>
                <w:rFonts w:ascii="Arial" w:cs="Arial" w:eastAsia="Arial" w:hAnsi="Arial"/>
                <w:sz w:val="14"/>
                <w:szCs w:val="14"/>
                <w:color w:val="auto"/>
              </w:rPr>
              <w:t>Restricted shares issued to directors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issuance of restricted shares to employees</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tcPr>
          <w:p>
            <w:pPr>
              <w:spacing w:after="0" w:line="149" w:lineRule="exact"/>
              <w:rPr>
                <w:sz w:val="20"/>
                <w:szCs w:val="20"/>
                <w:color w:val="auto"/>
              </w:rPr>
            </w:pPr>
            <w:r>
              <w:rPr>
                <w:rFonts w:ascii="Arial" w:cs="Arial" w:eastAsia="Arial" w:hAnsi="Arial"/>
                <w:sz w:val="14"/>
                <w:szCs w:val="14"/>
                <w:color w:val="auto"/>
              </w:rPr>
              <w:t>Stock compensation expense</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85"/>
              </w:rPr>
              <w:t>921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Shares effectively repurchased for required employee withholding taxes</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(140)</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2"/>
                <w:szCs w:val="12"/>
                <w:color w:val="auto"/>
              </w:rPr>
              <w:t>(1)</w:t>
            </w: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(885)</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JUNE 30, 2018</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20,741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5"/>
              </w:rPr>
              <w:t>207</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256,182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41,126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(31,676)</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265,839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 2019</w:t>
            </w:r>
          </w:p>
        </w:tc>
        <w:tc>
          <w:tcPr>
            <w:tcW w:w="1240" w:type="dxa"/>
            <w:vAlign w:val="bottom"/>
            <w:gridSpan w:val="5"/>
          </w:tcPr>
          <w:p>
            <w:pPr>
              <w:ind w:left="16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Paid-in</w:t>
            </w:r>
          </w:p>
        </w:tc>
        <w:tc>
          <w:tcPr>
            <w:tcW w:w="8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Retained</w:t>
            </w:r>
          </w:p>
        </w:tc>
        <w:tc>
          <w:tcPr>
            <w:tcW w:w="14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760" w:type="dxa"/>
            <w:vAlign w:val="bottom"/>
            <w:gridSpan w:val="3"/>
            <w:vMerge w:val="continue"/>
          </w:tcPr>
          <w:p>
            <w:pPr>
              <w:spacing w:after="0"/>
              <w:rPr>
                <w:sz w:val="13"/>
                <w:szCs w:val="13"/>
                <w:color w:val="auto"/>
              </w:rPr>
            </w:pPr>
          </w:p>
        </w:tc>
        <w:tc>
          <w:tcPr>
            <w:tcW w:w="6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70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700" w:type="dxa"/>
            <w:vAlign w:val="bottom"/>
            <w:gridSpan w:val="3"/>
          </w:tcPr>
          <w:p>
            <w:pPr>
              <w:jc w:val="right"/>
              <w:ind w:right="180"/>
              <w:spacing w:after="0" w:line="158" w:lineRule="exact"/>
              <w:rPr>
                <w:sz w:val="20"/>
                <w:szCs w:val="20"/>
                <w:color w:val="auto"/>
              </w:rPr>
            </w:pPr>
            <w:r>
              <w:rPr>
                <w:rFonts w:ascii="Arial" w:cs="Arial" w:eastAsia="Arial" w:hAnsi="Arial"/>
                <w:sz w:val="14"/>
                <w:szCs w:val="14"/>
                <w:b w:val="1"/>
                <w:bCs w:val="1"/>
                <w:color w:val="auto"/>
                <w:w w:val="85"/>
              </w:rPr>
              <w:t>earnings</w:t>
            </w:r>
          </w:p>
        </w:tc>
        <w:tc>
          <w:tcPr>
            <w:tcW w:w="1480" w:type="dxa"/>
            <w:vAlign w:val="bottom"/>
            <w:gridSpan w:val="4"/>
          </w:tcPr>
          <w:p>
            <w:pPr>
              <w:jc w:val="right"/>
              <w:ind w:right="180"/>
              <w:spacing w:after="0" w:line="158" w:lineRule="exact"/>
              <w:rPr>
                <w:sz w:val="20"/>
                <w:szCs w:val="20"/>
                <w:color w:val="auto"/>
              </w:rPr>
            </w:pPr>
            <w:r>
              <w:rPr>
                <w:rFonts w:ascii="Arial" w:cs="Arial" w:eastAsia="Arial" w:hAnsi="Arial"/>
                <w:sz w:val="14"/>
                <w:szCs w:val="14"/>
                <w:b w:val="1"/>
                <w:bCs w:val="1"/>
                <w:color w:val="auto"/>
                <w:w w:val="95"/>
              </w:rPr>
              <w:t>comprehensive loss</w:t>
            </w:r>
          </w:p>
        </w:tc>
        <w:tc>
          <w:tcPr>
            <w:tcW w:w="12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57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BALANCE AT DECEMBER 31, 2018</w:t>
            </w: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7"/>
              </w:rPr>
              <w:t>20,764</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ind w:left="100"/>
              <w:spacing w:after="0" w:line="136" w:lineRule="exact"/>
              <w:rPr>
                <w:sz w:val="20"/>
                <w:szCs w:val="20"/>
                <w:color w:val="auto"/>
              </w:rPr>
            </w:pPr>
            <w:r>
              <w:rPr>
                <w:rFonts w:ascii="Arial" w:cs="Arial" w:eastAsia="Arial" w:hAnsi="Arial"/>
                <w:sz w:val="14"/>
                <w:szCs w:val="14"/>
                <w:color w:val="auto"/>
                <w:w w:val="85"/>
              </w:rPr>
              <w:t>208</w:t>
            </w: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8"/>
              </w:rPr>
              <w:t>$258,637</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55,264</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(34,616)</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8"/>
              </w:rPr>
              <w:t>$279,493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tcPr>
          <w:p>
            <w:pPr>
              <w:spacing w:after="0" w:line="149" w:lineRule="exact"/>
              <w:rPr>
                <w:sz w:val="20"/>
                <w:szCs w:val="20"/>
                <w:color w:val="auto"/>
              </w:rPr>
            </w:pPr>
            <w:r>
              <w:rPr>
                <w:rFonts w:ascii="Arial" w:cs="Arial" w:eastAsia="Arial" w:hAnsi="Arial"/>
                <w:sz w:val="14"/>
                <w:szCs w:val="14"/>
                <w:color w:val="auto"/>
              </w:rPr>
              <w:t>Comprehensive loss: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(4,867)</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Translation adjustment</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1,306</w:t>
            </w: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Net change in cash flow hedges</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85"/>
              </w:rPr>
              <w:t>596</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Effect of retirement benefit obligations</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comprehensive loss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(2,952)</w:t>
            </w:r>
          </w:p>
        </w:tc>
        <w:tc>
          <w:tcPr>
            <w:tcW w:w="0" w:type="dxa"/>
            <w:vAlign w:val="bottom"/>
          </w:tcPr>
          <w:p>
            <w:pPr>
              <w:spacing w:after="0"/>
              <w:rPr>
                <w:sz w:val="1"/>
                <w:szCs w:val="1"/>
                <w:color w:val="auto"/>
              </w:rPr>
            </w:pPr>
          </w:p>
        </w:tc>
      </w:tr>
      <w:tr>
        <w:trPr>
          <w:trHeight w:val="156"/>
        </w:trPr>
        <w:tc>
          <w:tcPr>
            <w:tcW w:w="5760" w:type="dxa"/>
            <w:vAlign w:val="bottom"/>
            <w:gridSpan w:val="3"/>
          </w:tcPr>
          <w:p>
            <w:pPr>
              <w:spacing w:after="0" w:line="155" w:lineRule="exact"/>
              <w:rPr>
                <w:sz w:val="20"/>
                <w:szCs w:val="20"/>
                <w:color w:val="auto"/>
              </w:rPr>
            </w:pPr>
            <w:r>
              <w:rPr>
                <w:rFonts w:ascii="Arial" w:cs="Arial" w:eastAsia="Arial" w:hAnsi="Arial"/>
                <w:sz w:val="14"/>
                <w:szCs w:val="14"/>
                <w:color w:val="auto"/>
              </w:rPr>
              <w:t>Net issuance of restricted shares to employees</w:t>
            </w:r>
          </w:p>
        </w:tc>
        <w:tc>
          <w:tcPr>
            <w:tcW w:w="440" w:type="dxa"/>
            <w:vAlign w:val="bottom"/>
          </w:tcPr>
          <w:p>
            <w:pPr>
              <w:ind w:left="220"/>
              <w:spacing w:after="0" w:line="155" w:lineRule="exact"/>
              <w:rPr>
                <w:sz w:val="20"/>
                <w:szCs w:val="20"/>
                <w:color w:val="auto"/>
              </w:rPr>
            </w:pPr>
            <w:r>
              <w:rPr>
                <w:rFonts w:ascii="Arial" w:cs="Arial" w:eastAsia="Arial" w:hAnsi="Arial"/>
                <w:sz w:val="14"/>
                <w:szCs w:val="14"/>
                <w:color w:val="auto"/>
                <w:w w:val="85"/>
              </w:rPr>
              <w:t>169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94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compensation expense</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85"/>
              </w:rPr>
              <w:t>900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tcPr>
          <w:p>
            <w:pPr>
              <w:spacing w:after="0" w:line="149" w:lineRule="exact"/>
              <w:rPr>
                <w:sz w:val="20"/>
                <w:szCs w:val="20"/>
                <w:color w:val="auto"/>
              </w:rPr>
            </w:pPr>
            <w:r>
              <w:rPr>
                <w:rFonts w:ascii="Arial" w:cs="Arial" w:eastAsia="Arial" w:hAnsi="Arial"/>
                <w:sz w:val="14"/>
                <w:szCs w:val="14"/>
                <w:color w:val="auto"/>
              </w:rPr>
              <w:t>Net exercise of stock options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Shares effectively repurchased for required employee withholding taxes</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2"/>
                <w:szCs w:val="12"/>
                <w:color w:val="auto"/>
              </w:rPr>
              <w:t>(1)</w:t>
            </w: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(898)</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MARCH 31, 2019</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20,927</w:t>
            </w: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5"/>
              </w:rPr>
              <w:t>209</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$259,304</w:t>
            </w: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49,499</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89"/>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(32,701)</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$ 276,311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tcPr>
          <w:p>
            <w:pPr>
              <w:spacing w:after="0" w:line="149" w:lineRule="exact"/>
              <w:rPr>
                <w:sz w:val="20"/>
                <w:szCs w:val="20"/>
                <w:color w:val="auto"/>
              </w:rPr>
            </w:pPr>
            <w:r>
              <w:rPr>
                <w:rFonts w:ascii="Arial" w:cs="Arial" w:eastAsia="Arial" w:hAnsi="Arial"/>
                <w:sz w:val="14"/>
                <w:szCs w:val="14"/>
                <w:color w:val="auto"/>
              </w:rPr>
              <w:t>Comprehensive loss: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(11,513)</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Translation adjustment</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(2,953)</w:t>
            </w: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Net change in cash flow hedges</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85"/>
              </w:rPr>
              <w:t>982</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Effect of retirement benefit obligations</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comprehensive loss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(13,472)</w:t>
            </w:r>
          </w:p>
        </w:tc>
        <w:tc>
          <w:tcPr>
            <w:tcW w:w="0" w:type="dxa"/>
            <w:vAlign w:val="bottom"/>
          </w:tcPr>
          <w:p>
            <w:pPr>
              <w:spacing w:after="0"/>
              <w:rPr>
                <w:sz w:val="1"/>
                <w:szCs w:val="1"/>
                <w:color w:val="auto"/>
              </w:rPr>
            </w:pPr>
          </w:p>
        </w:tc>
      </w:tr>
      <w:tr>
        <w:trPr>
          <w:trHeight w:val="156"/>
        </w:trPr>
        <w:tc>
          <w:tcPr>
            <w:tcW w:w="5760" w:type="dxa"/>
            <w:vAlign w:val="bottom"/>
            <w:gridSpan w:val="3"/>
          </w:tcPr>
          <w:p>
            <w:pPr>
              <w:spacing w:after="0" w:line="155" w:lineRule="exact"/>
              <w:rPr>
                <w:sz w:val="20"/>
                <w:szCs w:val="20"/>
                <w:color w:val="auto"/>
              </w:rPr>
            </w:pPr>
            <w:r>
              <w:rPr>
                <w:rFonts w:ascii="Arial" w:cs="Arial" w:eastAsia="Arial" w:hAnsi="Arial"/>
                <w:sz w:val="14"/>
                <w:szCs w:val="14"/>
                <w:color w:val="auto"/>
              </w:rPr>
              <w:t>Restricted shares issued to directors</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61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94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issuance of restricted shares to employees</w:t>
            </w:r>
          </w:p>
        </w:tc>
        <w:tc>
          <w:tcPr>
            <w:tcW w:w="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250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tcPr>
          <w:p>
            <w:pPr>
              <w:spacing w:after="0" w:line="149" w:lineRule="exact"/>
              <w:rPr>
                <w:sz w:val="20"/>
                <w:szCs w:val="20"/>
                <w:color w:val="auto"/>
              </w:rPr>
            </w:pPr>
            <w:r>
              <w:rPr>
                <w:rFonts w:ascii="Arial" w:cs="Arial" w:eastAsia="Arial" w:hAnsi="Arial"/>
                <w:sz w:val="14"/>
                <w:szCs w:val="14"/>
                <w:color w:val="auto"/>
              </w:rPr>
              <w:t>Stock compensation expense</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exercise of stock options</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85"/>
              </w:rPr>
              <w:t>133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tcPr>
          <w:p>
            <w:pPr>
              <w:spacing w:after="0" w:line="149" w:lineRule="exact"/>
              <w:rPr>
                <w:sz w:val="20"/>
                <w:szCs w:val="20"/>
                <w:color w:val="auto"/>
              </w:rPr>
            </w:pPr>
            <w:r>
              <w:rPr>
                <w:rFonts w:ascii="Arial" w:cs="Arial" w:eastAsia="Arial" w:hAnsi="Arial"/>
                <w:sz w:val="14"/>
                <w:szCs w:val="14"/>
                <w:color w:val="auto"/>
              </w:rPr>
              <w:t>Shares effectively repurchased for required employee withholding taxes</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2"/>
                <w:szCs w:val="12"/>
                <w:color w:val="auto"/>
              </w:rPr>
              <w:t>(1)</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(896)</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156"/>
        </w:trPr>
        <w:tc>
          <w:tcPr>
            <w:tcW w:w="5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BALANCE AT JUNE 30, 2019</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21,255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85"/>
              </w:rPr>
              <w:t>213</w:t>
            </w:r>
          </w:p>
        </w:tc>
        <w:tc>
          <w:tcPr>
            <w:tcW w:w="24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260,461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37,090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(34,660)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263,104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hanging="43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4"/>
          <w:szCs w:val="14"/>
          <w:color w:val="auto"/>
        </w:rPr>
        <w:t>Cash dividends declared per share of common stock were $0.085 and $0.085 in the six months ended June 30, 2018 and 2019, respectively.</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Six Months Ended</w:t>
      </w:r>
    </w:p>
    <w:p>
      <w:pPr>
        <w:jc w:val="center"/>
        <w:ind w:left="90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9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(16,380)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(17,655)</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financing costs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Deferred rent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Non-cash lease expense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Stock compensation expense</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Undistributed equity in losses (earnings), net of taxes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r>
      <w:tr>
        <w:trPr>
          <w:trHeight w:val="216"/>
        </w:trPr>
        <w:tc>
          <w:tcPr>
            <w:tcW w:w="2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Loss on early retirement of debt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SKU Rationalization</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 (excluding the effects of business acquisitions):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Inventory</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(40,900)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(39,555)</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other current assets and other assets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r>
      <w:tr>
        <w:trPr>
          <w:trHeight w:val="216"/>
        </w:trPr>
        <w:tc>
          <w:tcPr>
            <w:tcW w:w="2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Accounts payable, accrued expenses and other liabilities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5,170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 receivable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(4,095)</w:t>
            </w:r>
          </w:p>
        </w:tc>
      </w:tr>
      <w:tr>
        <w:trPr>
          <w:trHeight w:val="216"/>
        </w:trPr>
        <w:tc>
          <w:tcPr>
            <w:tcW w:w="2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(4,242)</w:t>
            </w: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(5,766)</w:t>
            </w: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(3,168)</w:t>
            </w: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Filament acquisition, net of cash acquired</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(217,932)</w:t>
            </w: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USED IN INVESTING ACTIVITIES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(221,100)</w:t>
            </w: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revolving credit facility</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136,455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126,283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Repayments of revolving credit facility</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(133,497)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(161,173)</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term loan</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Repayments of term loan</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(688)</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short term loan</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Payments on short term loan</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financing costs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(11,154)</w:t>
            </w: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Payment of equity issuance costs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(936)</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for capital leases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Payments of tax withholding for stock based compensation</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(398)</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Cash dividends paid</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(1,535)</w:t>
            </w: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225,383</w:t>
            </w:r>
          </w:p>
        </w:tc>
        <w:tc>
          <w:tcPr>
            <w:tcW w:w="120" w:type="dxa"/>
            <w:vAlign w:val="bottom"/>
            <w:shd w:val="clear" w:color="auto" w:fill="CCEEFF"/>
          </w:tcPr>
          <w:p>
            <w:pPr>
              <w:spacing w:after="0"/>
              <w:rPr>
                <w:sz w:val="18"/>
                <w:szCs w:val="18"/>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Effect of foreign exchange on cash</w:t>
            </w:r>
          </w:p>
        </w:tc>
        <w:tc>
          <w:tcPr>
            <w:tcW w:w="1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(1,601)</w:t>
            </w: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200" w:right="3820"/>
        <w:spacing w:after="0" w:line="378" w:lineRule="auto"/>
        <w:rPr>
          <w:sz w:val="20"/>
          <w:szCs w:val="20"/>
          <w:color w:val="auto"/>
        </w:rPr>
      </w:pPr>
      <w:r>
        <w:rPr>
          <w:rFonts w:ascii="Arial" w:cs="Arial" w:eastAsia="Arial" w:hAnsi="Arial"/>
          <w:sz w:val="18"/>
          <w:szCs w:val="18"/>
          <w:b w:val="1"/>
          <w:bCs w:val="1"/>
          <w:color w:val="auto"/>
        </w:rPr>
        <w:t>NOTE A — BASIS OF PRESENTATION AND SUMMARY OF ACCOUNTING POLICIES Organization and business</w:t>
      </w:r>
    </w:p>
    <w:p>
      <w:pPr>
        <w:ind w:left="200" w:right="120"/>
        <w:spacing w:after="0" w:line="259" w:lineRule="auto"/>
        <w:rPr>
          <w:sz w:val="20"/>
          <w:szCs w:val="20"/>
          <w:color w:val="auto"/>
        </w:rPr>
      </w:pPr>
      <w:r>
        <w:rPr>
          <w:rFonts w:ascii="Arial" w:cs="Arial" w:eastAsia="Arial" w:hAnsi="Arial"/>
          <w:sz w:val="18"/>
          <w:szCs w:val="18"/>
          <w:color w:val="auto"/>
        </w:rPr>
        <w:t>Lifetime Brands, Inc. (the “Company”) designs, sources and sells branded kitchenware, tableware and other products used in the home and markets its products under a number of brand names and trademarks, which are either owned or licensed by the Company, or through retailers’ private labels. The Company markets and sells its products principally on a wholesale basis to retailers. The Company also markets and sells a limited selection of its products directly to consumers through third parties and its own internet websites.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(“U.S. GAAP”) for interim financial information and with the instructions to Form 10-Q and Article 10 of Regulation S-X. Accordingly, they do not include all of the information and footnotes required by U.S. GAAP for complete financial statements. In the opinion of management, all adjustments, which consist only of normal recurring accruals, considered necessary for a fair presentation have been included. These condensed consolidated financial statements should be read in conjunction with the consolidated financial statements and footnotes thereto included in the Company’s Annual Report on Form 10-K for the fiscal year ended December 31, 2018 (the “2018 Annual Report on Form 10-K”).</w:t>
      </w:r>
    </w:p>
    <w:p>
      <w:pPr>
        <w:spacing w:after="0" w:line="165"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Operating results for the three and six months ended June 30, 2019 are not necessarily indicative of the results that may be expected for the year ending December 31, 2019.</w:t>
      </w:r>
    </w:p>
    <w:p>
      <w:pPr>
        <w:spacing w:after="0" w:line="17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The Company’s business and working capital needs are highly seasonal, with a majority of sales occurring in the third and fourth quarters. In 2018 and 2017, net sales for the third and fourth quarters accounted for 62% and 60% of total annual net sales, respectively. In anticipation of the pre-holiday shipping season, inventory levels increase primarily in the June through October time period.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The Company sells products wholesale, to retailers and distributors, and retail, directly to the consumer. Wholesale sales and retail sales are recognized at the point in time the customer obtains control of the products, in an amount that reflects the consideration the Company expects to be entitled to in exchange for those products.</w:t>
      </w:r>
    </w:p>
    <w:p>
      <w:pPr>
        <w:spacing w:after="0" w:line="181" w:lineRule="exact"/>
        <w:rPr>
          <w:sz w:val="20"/>
          <w:szCs w:val="20"/>
          <w:color w:val="auto"/>
        </w:rPr>
      </w:pPr>
    </w:p>
    <w:p>
      <w:pPr>
        <w:ind w:left="200" w:right="140"/>
        <w:spacing w:after="0" w:line="286" w:lineRule="auto"/>
        <w:rPr>
          <w:sz w:val="20"/>
          <w:szCs w:val="20"/>
          <w:color w:val="auto"/>
        </w:rPr>
      </w:pPr>
      <w:r>
        <w:rPr>
          <w:rFonts w:ascii="Arial" w:cs="Arial" w:eastAsia="Arial" w:hAnsi="Arial"/>
          <w:sz w:val="17"/>
          <w:szCs w:val="17"/>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returns are reflected as reductions of revenue at the time of sale. See Note B – Revenue for additional information.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Cost of sales consists primarily of costs associated with the production and procurement of products, inbound freight costs, purchasing costs, royalties, tooling, and other product procurement related charges.</w:t>
      </w:r>
    </w:p>
    <w:p>
      <w:pPr>
        <w:spacing w:after="0" w:line="170"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Prior to January 1, 2019, depreciation associated with certain tooling used to produce products was classified as selling, general and administrative expenses. The amount recorded in cost of sales for the three and six months ended June 30, 2019 was $0.4 million and $0.7 million, respectively. The impact on the comparative periods presented is de minimis and therefore, the comparative periods have not been adjusted to reflect this change in accounting policy.</w:t>
      </w:r>
    </w:p>
    <w:p>
      <w:pPr>
        <w:spacing w:after="0" w:line="18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The Company implemented programs to improve the productivity of its inventory and simplify its U.S. business. In connection therewith, it initiated a stock keeping unit rationalization (“SKU Rationalization”) initiative to identify inventory to discontinue from active status, consistent with the objectives of these programs.</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160"/>
          </w:cols>
          <w:pgMar w:left="24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June 30, 2019</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During the three months ended June 30, 2019, the Company recorded an $8.5 million charge to cost of sales associated with the SKU Rationalization initiative. The inventory affected represents approximately 8% of its consolidated inventory.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Distribution expenses consist primarily of warehousing expenses and freight-out expenses.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The Company periodically reviews the collectability of its accounts receivable and establishes allowances for estimated losses that could result from the inability of its customers to make required payments. A considerable amount of judgment is required to assess the ultimate potential realization of these receivables including assessing the initial and on-going creditworthiness of the Company’s customers.</w:t>
      </w:r>
    </w:p>
    <w:p>
      <w:pPr>
        <w:spacing w:after="0" w:line="181"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Receivable purchase agreement</w:t>
      </w:r>
    </w:p>
    <w:p>
      <w:pPr>
        <w:spacing w:after="0" w:line="121"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The Company has an uncommitted Receivables Purchase Agreement with HSBC Bank USA, National Association (“HSBC”) as Purchaser (the “Receivables Purchase Agreement”). The sale of accounts receivable, under the Company’s Receivable Purchase Agreement with HSBC, is reflected as a reduction of accounts receivable in the Company’s condensed consolidated balance sheets at the time of sale and any related expense is included in selling, general and administrative expenses in the Company’s condensed consolidated statements of operations. Pursuant to this agreement, the Company sold to HSBC $24.1 million and $49.2 million of receivables during the three and six months ended June 30, 2019, respectively, and $19.1 million and $38.7 million of receivables during the three and six months ended June 30, 2018, respectively. Charges of $138,500 and $286,000 related to the sale of the receivables are included in selling, general and administrative expenses in the condensed consolidated statements of operations for the three and six months ended June 30, 2019, respectively. Charges of $99,000 and $189,000 related to the sale of receivables are included in selling, general and administrative expenses in the condensed consolidated statements of operations for the three and six months ended June 30, 2018, respectively.</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costs of completion, disposal and transportation.</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June 30, 2019</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components of inventory were as follows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4"/>
                <w:szCs w:val="14"/>
                <w:b w:val="1"/>
                <w:bCs w:val="1"/>
                <w:color w:val="auto"/>
                <w:w w:val="99"/>
              </w:rPr>
              <w:t>June 30,</w:t>
            </w:r>
          </w:p>
        </w:tc>
        <w:tc>
          <w:tcPr>
            <w:tcW w:w="1260" w:type="dxa"/>
            <w:vAlign w:val="bottom"/>
            <w:gridSpan w:val="4"/>
          </w:tcPr>
          <w:p>
            <w:pPr>
              <w:ind w:left="36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70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$197,310</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165,969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Work in process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40" w:type="dxa"/>
            <w:vAlign w:val="bottom"/>
            <w:shd w:val="clear" w:color="auto" w:fill="CCEEFF"/>
          </w:tcPr>
          <w:p>
            <w:pPr>
              <w:spacing w:after="0"/>
              <w:rPr>
                <w:sz w:val="18"/>
                <w:szCs w:val="18"/>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205,607</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173,601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revolving credit facility, term loan and short term loan approximate fair value since such borrowings bear interest at variable market rates.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 xml:space="preserve">The Company accounts for derivative instruments in accordance with Accounting Standard Codification (“ASC”) Topic No.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 ASC Topic No. 815 requires that all derivative instruments be recognized on the balance sheet at fair value as either an asset or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the fair value of derivatives that qualify as hedges and have been designated as part of a hedging relationship for accounting purposes have no net impact on earnings until the hedged item is recognized in earnings. The change in the fair value of hedges is included in accumulated other comprehensive loss and subsequently recognized in the Company’s condensed consolidated statements of operations to mirror the location of the hedged items impacting earnings. Changes in the fair value of derivatives that do not qualify as hedging instruments for accounting purposes are recorded in the Company’s condensed statements of operations.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 xml:space="preserve">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 As it relates to the goodwill assessment, the Company first assesses qualitative factors to determine whether it is more likely than not that the fair value of a reporting unit is less than its carrying amount as a basis for determining whether it is necessary to perform the goodwill impairment testing described in Accounting Standards Update (“ASU”) Topic No. 350, </w:t>
      </w:r>
      <w:r>
        <w:rPr>
          <w:rFonts w:ascii="Arial" w:cs="Arial" w:eastAsia="Arial" w:hAnsi="Arial"/>
          <w:sz w:val="16"/>
          <w:szCs w:val="16"/>
          <w:i w:val="1"/>
          <w:iCs w:val="1"/>
          <w:color w:val="auto"/>
        </w:rPr>
        <w:t>Intangibles – 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w:t>
      </w:r>
      <w:r>
        <w:rPr>
          <w:rFonts w:ascii="Arial" w:cs="Arial" w:eastAsia="Arial" w:hAnsi="Arial"/>
          <w:sz w:val="16"/>
          <w:szCs w:val="16"/>
          <w:color w:val="auto"/>
        </w:rPr>
        <w:t>. If, after assessing qualitative factors, the Company determines that it is not more likely than not that the fair value of a reporting unit is less than</w:t>
      </w:r>
      <w:r>
        <w:rPr>
          <w:rFonts w:ascii="Arial" w:cs="Arial" w:eastAsia="Arial" w:hAnsi="Arial"/>
          <w:sz w:val="16"/>
          <w:szCs w:val="16"/>
          <w:i w:val="1"/>
          <w:iCs w:val="1"/>
          <w:color w:val="auto"/>
        </w:rPr>
        <w:t xml:space="preserve"> </w:t>
      </w:r>
      <w:r>
        <w:rPr>
          <w:rFonts w:ascii="Arial" w:cs="Arial" w:eastAsia="Arial" w:hAnsi="Arial"/>
          <w:sz w:val="16"/>
          <w:szCs w:val="16"/>
          <w:color w:val="auto"/>
        </w:rPr>
        <w:t>its carrying amount, then performing the impairment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 The quantitative impairment test compares the carrying value of each reporting unit that has goodwill with the estimated fair value of the respective reporting unit. Should the carrying value of a reporting unit be in excess of the estimated fair value of that reporting unit, an impairment charge will be recorded to reduce the reporting unit to fair value. The Company also evaluates qualitative factors to determine whether or not its indefinite lived intangibles have been impaired and then performs quantitative tests if required. These tests can include the relief from royalty model or other valuation models.</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June 30, 2019</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asset is considered to be impaired, the impairment to be recognized is measured by the amount by which the carrying amount of the asset exceeds the fair value of the asset.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were not material to the Company’s condensed consolidated balance sheets.</w:t>
      </w:r>
    </w:p>
    <w:p>
      <w:pPr>
        <w:spacing w:after="0" w:line="187"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spacing w:after="0" w:line="158"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For certain equipment leases, the Company applies a portfolio approach to effectively account for any ROU assets and liabilities. Leases with an initial term of twelve months or less are not recorded on the balance sheet.</w:t>
      </w:r>
    </w:p>
    <w:p>
      <w:pPr>
        <w:spacing w:after="0" w:line="17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Company has elected the practical expedient to account for each separate lease component of a contract and its associated non-lease components as a single lease component, thus causing all fixed payments to be capitalized.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color w:val="auto"/>
        </w:rPr>
        <w:t>The Company self-insures certain portions of its health insurance plans. The Company maintains an accrual for unpaid claims and estimated claims incurred but not yet reported (“IBNR”). Although management believes that it uses the best information available to estimate claims IBNR, actual claims may vary significantly from estimated claims.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A liability has been incurred at the point of closure for any remaining operating lease obligations and at the communication date for severance.</w:t>
      </w:r>
    </w:p>
    <w:p>
      <w:pPr>
        <w:spacing w:after="0" w:line="170"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In connection with the Company’s March 2018 acquisition of Filament, the Company commenced a restructuring plan to integrate the operations of Filament with the Company’s operations and realize the savings expected from the synergies of the acquisition. During the three and six months ended June 30, 2019, the Company incurred $0.1 million and $0.4 million, respectively, of Filament restructuring charges, primarily related to severance, of which $0.1 million was accrued at June 30, 2019. During the three and six months ended June 30, 2018, the Company incurred $0.4 million and $0.8 million, respectively, of Filament restructuring charges, primarily related to severance, of which $0.4 million was accrued at June 30, 2018.</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June 30, 2019</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During the three and six months ended June 30, 2019, the Company incurred $0.1 million and $0.4 million of restructuring expense, primarily related to severance, for the integration of its legal entities operating in Europe. In 2018, the Company finalized its integration plans for its European operations and took further steps to consolidate its operations. The Company will combine its physical locations in the U.K. in 2019 and expects to incur approximately $1.1 million of additional restructuring and integration charges in 2019. At June 30, 2019, $0.6 million of restructuring charges related to the European restructuring plan were accrued.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jc w:val="both"/>
        <w:ind w:left="200" w:right="240"/>
        <w:spacing w:after="0" w:line="288" w:lineRule="auto"/>
        <w:rPr>
          <w:sz w:val="20"/>
          <w:szCs w:val="20"/>
          <w:color w:val="auto"/>
        </w:rPr>
      </w:pPr>
      <w:r>
        <w:rPr>
          <w:rFonts w:ascii="Arial" w:cs="Arial" w:eastAsia="Arial" w:hAnsi="Arial"/>
          <w:sz w:val="16"/>
          <w:szCs w:val="16"/>
          <w:color w:val="auto"/>
        </w:rPr>
        <w:t xml:space="preserve">Effective January 1, 2019, the Company adopted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(“ASC 842”)</w:t>
      </w:r>
      <w:r>
        <w:rPr>
          <w:rFonts w:ascii="Arial" w:cs="Arial" w:eastAsia="Arial" w:hAnsi="Arial"/>
          <w:sz w:val="16"/>
          <w:szCs w:val="16"/>
          <w:i w:val="1"/>
          <w:iCs w:val="1"/>
          <w:color w:val="auto"/>
        </w:rPr>
        <w:t>,</w:t>
      </w:r>
      <w:r>
        <w:rPr>
          <w:rFonts w:ascii="Arial" w:cs="Arial" w:eastAsia="Arial" w:hAnsi="Arial"/>
          <w:sz w:val="16"/>
          <w:szCs w:val="16"/>
          <w:color w:val="auto"/>
        </w:rPr>
        <w:t xml:space="preserve"> which requires a lessee, in most leases, to initially recognize a lease liability for the obligation to make lease payments and an ROU asset for the right to use the underlying asset for the lease term. The Company adopted this standard using the cumulative-effect adjustment method and elected certain practical expedients allowed under the standard.</w:t>
      </w:r>
    </w:p>
    <w:p>
      <w:pPr>
        <w:ind w:left="200" w:right="300"/>
        <w:spacing w:after="0" w:line="261" w:lineRule="auto"/>
        <w:rPr>
          <w:sz w:val="20"/>
          <w:szCs w:val="20"/>
          <w:color w:val="auto"/>
        </w:rPr>
      </w:pPr>
      <w:r>
        <w:rPr>
          <w:rFonts w:ascii="Arial" w:cs="Arial" w:eastAsia="Arial" w:hAnsi="Arial"/>
          <w:sz w:val="18"/>
          <w:szCs w:val="18"/>
          <w:color w:val="auto"/>
        </w:rPr>
        <w:t>Upon adoption, the Company recognized ROU assets and a lease liability of $90.9 million and $104.4 million, respectively. See Note D – Leases for additional information on the Company’s adoption of this standard.</w:t>
      </w:r>
    </w:p>
    <w:p>
      <w:pPr>
        <w:spacing w:after="0" w:line="184"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 xml:space="preserve">Effective January 1, 2019, the Company adopted ASU 2018-02, </w:t>
      </w:r>
      <w:r>
        <w:rPr>
          <w:rFonts w:ascii="Arial" w:cs="Arial" w:eastAsia="Arial" w:hAnsi="Arial"/>
          <w:sz w:val="18"/>
          <w:szCs w:val="18"/>
          <w:i w:val="1"/>
          <w:iCs w:val="1"/>
          <w:color w:val="auto"/>
        </w:rPr>
        <w:t>Income Statement- Reporting Comprehensive Income: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Effects from Accumulated Other Comprehensive Income</w:t>
      </w:r>
      <w:r>
        <w:rPr>
          <w:rFonts w:ascii="Arial" w:cs="Arial" w:eastAsia="Arial" w:hAnsi="Arial"/>
          <w:sz w:val="18"/>
          <w:szCs w:val="18"/>
          <w:color w:val="auto"/>
        </w:rPr>
        <w:t>, which addresses the effect on items within accumulated other comprehensive income (loss)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change in the U.S. federal corporate tax rate due to the enactment of the Tax Cuts and Jobs Act (the “Tax Act”) on December 22, 2017. Upon adoption, the Company did not elect to reclassify the stranded income tax effects of the Tax Act from accumulated other comprehensive income (loss) to retained earnings.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B —REVENUE</w:t>
      </w:r>
    </w:p>
    <w:p>
      <w:pPr>
        <w:spacing w:after="0" w:line="121"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The Company sells products wholesale, to retailers and distributors, and retail, directly to the consumer.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$0.6 million and $1.3 million for the three and six months ended June 30, 2019, respectively, and $0.8 million and $1.3 million for the three and six months ended June 30, 2018, respectively. Net sales exclude taxes that are collected from customers and remitted to the taxing authorities.</w:t>
      </w:r>
    </w:p>
    <w:p>
      <w:pPr>
        <w:spacing w:after="0" w:line="169" w:lineRule="exact"/>
        <w:rPr>
          <w:sz w:val="20"/>
          <w:szCs w:val="20"/>
          <w:color w:val="auto"/>
        </w:rPr>
      </w:pPr>
    </w:p>
    <w:p>
      <w:pPr>
        <w:ind w:left="200" w:right="140"/>
        <w:spacing w:after="0" w:line="273" w:lineRule="auto"/>
        <w:rPr>
          <w:sz w:val="20"/>
          <w:szCs w:val="20"/>
          <w:color w:val="auto"/>
        </w:rPr>
      </w:pPr>
      <w:r>
        <w:rPr>
          <w:rFonts w:ascii="Arial" w:cs="Arial" w:eastAsia="Arial" w:hAnsi="Arial"/>
          <w:sz w:val="17"/>
          <w:szCs w:val="17"/>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condensed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78"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Payment terms with customers vary by customer, but generally range from 30 to 90 days or at the point of sale for the Company’s retail direct sales. 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condensed consolidated statements of operations. Incidental items that are immaterial in the context of the contract are expensed as incurred.</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June 30, 2019</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following tables present the Company’s net sales disaggregated by segment, product category and geographic region for the three and six months ended June 30, 2019 (in thousands):</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980" w:type="dxa"/>
            <w:vAlign w:val="bottom"/>
            <w:gridSpan w:val="4"/>
          </w:tcPr>
          <w:p>
            <w:pPr>
              <w:ind w:left="780"/>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51"/>
              <w:spacing w:after="0"/>
              <w:rPr>
                <w:sz w:val="20"/>
                <w:szCs w:val="20"/>
                <w:color w:val="auto"/>
              </w:rPr>
            </w:pPr>
            <w:r>
              <w:rPr>
                <w:rFonts w:ascii="Arial" w:cs="Arial" w:eastAsia="Arial" w:hAnsi="Arial"/>
                <w:sz w:val="14"/>
                <w:szCs w:val="14"/>
                <w:b w:val="1"/>
                <w:bCs w:val="1"/>
                <w:color w:val="auto"/>
                <w:w w:val="98"/>
              </w:rPr>
              <w:t>June 30, 2019</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r>
      <w:tr>
        <w:trPr>
          <w:trHeight w:val="196"/>
        </w:trPr>
        <w:tc>
          <w:tcPr>
            <w:tcW w:w="20" w:type="dxa"/>
            <w:vAlign w:val="bottom"/>
          </w:tcPr>
          <w:p>
            <w:pPr>
              <w:spacing w:after="0"/>
              <w:rPr>
                <w:sz w:val="17"/>
                <w:szCs w:val="17"/>
                <w:color w:val="auto"/>
              </w:rPr>
            </w:pPr>
          </w:p>
        </w:tc>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U.S. Segment</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Kitchenware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65,625</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134,892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Tableware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28,759</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55,211</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Home Solutions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28,708</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60,027</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U.S.Segment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123,092</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250,130</w:t>
            </w:r>
          </w:p>
        </w:tc>
        <w:tc>
          <w:tcPr>
            <w:tcW w:w="40" w:type="dxa"/>
            <w:vAlign w:val="bottom"/>
            <w:shd w:val="clear" w:color="auto" w:fill="CCEEFF"/>
          </w:tcPr>
          <w:p>
            <w:pPr>
              <w:spacing w:after="0"/>
              <w:rPr>
                <w:sz w:val="18"/>
                <w:szCs w:val="18"/>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International Segment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Kitchenware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12,376</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Tableware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7,068</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15,820</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International Segment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19,444</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1060"/>
              <w:spacing w:after="0"/>
              <w:rPr>
                <w:sz w:val="20"/>
                <w:szCs w:val="20"/>
                <w:color w:val="auto"/>
              </w:rPr>
            </w:pPr>
            <w:r>
              <w:rPr>
                <w:rFonts w:ascii="Arial" w:cs="Arial" w:eastAsia="Arial" w:hAnsi="Arial"/>
                <w:sz w:val="18"/>
                <w:szCs w:val="18"/>
                <w:color w:val="auto"/>
              </w:rPr>
              <w:t>Total net sales</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142,536</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292,462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116,683</w:t>
            </w: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238,092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14,775</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30,712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23,658</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1060"/>
              <w:spacing w:after="0"/>
              <w:rPr>
                <w:sz w:val="20"/>
                <w:szCs w:val="20"/>
                <w:color w:val="auto"/>
              </w:rPr>
            </w:pPr>
            <w:r>
              <w:rPr>
                <w:rFonts w:ascii="Arial" w:cs="Arial" w:eastAsia="Arial" w:hAnsi="Arial"/>
                <w:sz w:val="18"/>
                <w:szCs w:val="18"/>
                <w:color w:val="auto"/>
              </w:rPr>
              <w:t>Total net sales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142,536</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292,462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C —ACQUISITION</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On December 22, 2017, the Company entered into an agreement providing for the acquisition of Filament by the Company. The acquisition was completed on March 2, 2018. The aggregate consideration for Filament, after taking into account certain adjustments, was $294.4 million, consisting of $217.5 million of cash consideration and 5,593,116 newly issued shares of the Company’s common stock, with a value equal to $76.9 million based on the market value of the Company’s common stock as of March 2, 2018.</w:t>
      </w:r>
    </w:p>
    <w:p>
      <w:pPr>
        <w:spacing w:after="0" w:line="18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The purchase price was allocated based on the Company’s final estimate of the fair value of the assets acquired and liabilities assumed, as follows (in thousands):</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Inventory</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 liabilities</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(13,881)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Goodwill and other intangibles</w:t>
            </w:r>
          </w:p>
        </w:tc>
        <w:tc>
          <w:tcPr>
            <w:tcW w:w="3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270,427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allocated value</w:t>
            </w:r>
          </w:p>
        </w:tc>
        <w:tc>
          <w:tcPr>
            <w:tcW w:w="3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800" w:type="dxa"/>
            <w:vAlign w:val="bottom"/>
            <w:vMerge w:val="restart"/>
          </w:tcPr>
          <w:p>
            <w:pPr>
              <w:jc w:val="right"/>
              <w:ind w:right="2670"/>
              <w:spacing w:after="0"/>
              <w:rPr>
                <w:sz w:val="20"/>
                <w:szCs w:val="20"/>
                <w:color w:val="auto"/>
              </w:rPr>
            </w:pPr>
            <w:r>
              <w:rPr>
                <w:rFonts w:ascii="Arial" w:cs="Arial" w:eastAsia="Arial" w:hAnsi="Arial"/>
                <w:sz w:val="18"/>
                <w:szCs w:val="18"/>
                <w:color w:val="auto"/>
              </w:rPr>
              <w:t>- 12 -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June 30, 2019</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Goodwill results from such factors as an assembled workforce. The total amount of goodwill is not expected to be deductible for tax purposes. The goodwill and other intangible assets are primarily included in the U.S. segment. Customer relationships are amortized on a straight-line basis over their estimated useful lives (see Note F – Intangible Assets).</w:t>
      </w:r>
    </w:p>
    <w:p>
      <w:pPr>
        <w:spacing w:after="0" w:line="181" w:lineRule="exact"/>
        <w:rPr>
          <w:sz w:val="20"/>
          <w:szCs w:val="20"/>
          <w:color w:val="auto"/>
        </w:rPr>
      </w:pPr>
    </w:p>
    <w:p>
      <w:pPr>
        <w:ind w:left="200" w:right="300"/>
        <w:spacing w:after="0" w:line="279" w:lineRule="auto"/>
        <w:rPr>
          <w:sz w:val="20"/>
          <w:szCs w:val="20"/>
          <w:color w:val="auto"/>
        </w:rPr>
      </w:pPr>
      <w:r>
        <w:rPr>
          <w:rFonts w:ascii="Arial" w:cs="Arial" w:eastAsia="Arial" w:hAnsi="Arial"/>
          <w:sz w:val="17"/>
          <w:szCs w:val="17"/>
          <w:color w:val="auto"/>
        </w:rPr>
        <w:t>The three and six months ended June 30, 2018 included the operations of Filament for the period from March 2, 2018, the date of acquisition, to June 30, 2018. The condensed consolidated statements of operations for the three months ended June 30, 2018 include $29.3 million of net sales and $0.4 million of net loss from operations contributed by Filament. The condensed consolidated statements of operations for the six months ended June 30, 2018, include $38.6 million of net sales and $1.5 million of net loss from operations contributed by Filament.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Unaudited Pro forma Results</w:t>
      </w:r>
    </w:p>
    <w:p>
      <w:pPr>
        <w:spacing w:after="0" w:line="117" w:lineRule="exact"/>
        <w:rPr>
          <w:sz w:val="20"/>
          <w:szCs w:val="20"/>
          <w:color w:val="auto"/>
        </w:rPr>
      </w:pPr>
    </w:p>
    <w:p>
      <w:pPr>
        <w:jc w:val="both"/>
        <w:ind w:left="200" w:right="40"/>
        <w:spacing w:after="0" w:line="312" w:lineRule="auto"/>
        <w:rPr>
          <w:sz w:val="20"/>
          <w:szCs w:val="20"/>
          <w:color w:val="auto"/>
        </w:rPr>
      </w:pPr>
      <w:r>
        <w:rPr>
          <w:rFonts w:ascii="Arial" w:cs="Arial" w:eastAsia="Arial" w:hAnsi="Arial"/>
          <w:sz w:val="16"/>
          <w:szCs w:val="16"/>
          <w:color w:val="auto"/>
        </w:rPr>
        <w:t>The following table presents the Company’s pro forma consolidated net sales, loss before income taxes and equity in earnings and net loss for the three and six months ended June 30, 2018. The unaudited pro forma results include the historical statements of operations information of the Company and of Filament, giving effect to the Filament acquisition and related financing as if they had occurred at the beginning of the periods presented.</w:t>
      </w:r>
    </w:p>
    <w:p>
      <w:pPr>
        <w:spacing w:after="0" w:line="15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500" w:type="dxa"/>
            <w:vAlign w:val="bottom"/>
            <w:gridSpan w:val="3"/>
          </w:tcPr>
          <w:p>
            <w:pPr>
              <w:ind w:left="880"/>
              <w:spacing w:after="0"/>
              <w:rPr>
                <w:sz w:val="20"/>
                <w:szCs w:val="20"/>
                <w:color w:val="auto"/>
              </w:rPr>
            </w:pPr>
            <w:r>
              <w:rPr>
                <w:rFonts w:ascii="Arial" w:cs="Arial" w:eastAsia="Arial" w:hAnsi="Arial"/>
                <w:sz w:val="14"/>
                <w:szCs w:val="14"/>
                <w:color w:val="auto"/>
              </w:rPr>
              <w:t>Three Months Ended</w:t>
            </w:r>
          </w:p>
        </w:tc>
        <w:tc>
          <w:tcPr>
            <w:tcW w:w="1520" w:type="dxa"/>
            <w:vAlign w:val="bottom"/>
            <w:gridSpan w:val="3"/>
          </w:tcPr>
          <w:p>
            <w:pPr>
              <w:ind w:left="340"/>
              <w:spacing w:after="0"/>
              <w:rPr>
                <w:sz w:val="20"/>
                <w:szCs w:val="20"/>
                <w:color w:val="auto"/>
              </w:rPr>
            </w:pPr>
            <w:r>
              <w:rPr>
                <w:rFonts w:ascii="Arial" w:cs="Arial" w:eastAsia="Arial" w:hAnsi="Arial"/>
                <w:sz w:val="14"/>
                <w:szCs w:val="14"/>
                <w:color w:val="auto"/>
              </w:rPr>
              <w:t>Six Months Ended</w:t>
            </w:r>
          </w:p>
        </w:tc>
      </w:t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516"/>
              <w:spacing w:after="0"/>
              <w:rPr>
                <w:sz w:val="20"/>
                <w:szCs w:val="20"/>
                <w:color w:val="auto"/>
              </w:rPr>
            </w:pPr>
            <w:r>
              <w:rPr>
                <w:rFonts w:ascii="Arial" w:cs="Arial" w:eastAsia="Arial" w:hAnsi="Arial"/>
                <w:sz w:val="14"/>
                <w:szCs w:val="14"/>
                <w:color w:val="auto"/>
                <w:w w:val="94"/>
              </w:rPr>
              <w:t>June 30, 2018</w:t>
            </w:r>
          </w:p>
        </w:tc>
        <w:tc>
          <w:tcPr>
            <w:tcW w:w="4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w w:val="92"/>
              </w:rPr>
              <w:t>June 30, 2018</w:t>
            </w: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gridSpan w:val="3"/>
          </w:tcPr>
          <w:p>
            <w:pPr>
              <w:jc w:val="right"/>
              <w:ind w:right="374"/>
              <w:spacing w:after="0" w:line="142" w:lineRule="exact"/>
              <w:rPr>
                <w:sz w:val="20"/>
                <w:szCs w:val="20"/>
                <w:color w:val="auto"/>
              </w:rPr>
            </w:pPr>
            <w:r>
              <w:rPr>
                <w:rFonts w:ascii="Arial" w:cs="Arial" w:eastAsia="Arial" w:hAnsi="Arial"/>
                <w:sz w:val="14"/>
                <w:szCs w:val="14"/>
                <w:color w:val="auto"/>
              </w:rPr>
              <w:t>(in thousands, except per share data)</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148,651</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292,631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Loss before income taxes and equity in earnings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256"/>
              <w:spacing w:after="0"/>
              <w:rPr>
                <w:sz w:val="20"/>
                <w:szCs w:val="20"/>
                <w:color w:val="auto"/>
              </w:rPr>
            </w:pPr>
            <w:r>
              <w:rPr>
                <w:rFonts w:ascii="Arial" w:cs="Arial" w:eastAsia="Arial" w:hAnsi="Arial"/>
                <w:sz w:val="18"/>
                <w:szCs w:val="18"/>
                <w:color w:val="auto"/>
              </w:rPr>
              <w:t>(6,694)</w:t>
            </w:r>
          </w:p>
        </w:tc>
        <w:tc>
          <w:tcPr>
            <w:tcW w:w="4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(22,904)</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(5,092)</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(17,235)</w:t>
            </w: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Basic and diluted loss per common share</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256"/>
              <w:spacing w:after="0"/>
              <w:rPr>
                <w:sz w:val="20"/>
                <w:szCs w:val="20"/>
                <w:color w:val="auto"/>
              </w:rPr>
            </w:pPr>
            <w:r>
              <w:rPr>
                <w:rFonts w:ascii="Arial" w:cs="Arial" w:eastAsia="Arial" w:hAnsi="Arial"/>
                <w:sz w:val="18"/>
                <w:szCs w:val="18"/>
                <w:color w:val="auto"/>
              </w:rPr>
              <w:t>(0.25)</w:t>
            </w:r>
          </w:p>
        </w:tc>
        <w:tc>
          <w:tcPr>
            <w:tcW w:w="4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(0.85)</w:t>
            </w:r>
          </w:p>
        </w:tc>
      </w:tr>
    </w:tbl>
    <w:p>
      <w:pPr>
        <w:spacing w:after="0" w:line="187"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unaudited pro forma results do not include any revenue or cost reductions that may be achieved through the business combination or the impact of non-recurring items directly related to the business combination.</w:t>
      </w:r>
    </w:p>
    <w:p>
      <w:pPr>
        <w:spacing w:after="0" w:line="17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unaudited pro forma results are not necessarily indicative of the operating results that would have occurred if the Filament acquisition had been completed as of the date for which the pro forma financial information is presented. In addition, the unaudited pro forma results do not purport to project the future condensed consolidated operating results of the combined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D — LEASES</w:t>
      </w:r>
    </w:p>
    <w:p>
      <w:pPr>
        <w:spacing w:after="0" w:line="121"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 xml:space="preserve">The Company adopted ASC 842 as of January 1, 2019, using the cumulative effective adjustment method wherein the Company applied the new leases standard at the adoption date. Accordingly, all periods prior to January 1, 2019 were presented in accordance with the previous ASC Topic 840 – </w:t>
      </w:r>
      <w:r>
        <w:rPr>
          <w:rFonts w:ascii="Arial" w:cs="Arial" w:eastAsia="Arial" w:hAnsi="Arial"/>
          <w:sz w:val="17"/>
          <w:szCs w:val="17"/>
          <w:i w:val="1"/>
          <w:iCs w:val="1"/>
          <w:color w:val="auto"/>
        </w:rPr>
        <w:t>Leases</w:t>
      </w:r>
      <w:r>
        <w:rPr>
          <w:rFonts w:ascii="Arial" w:cs="Arial" w:eastAsia="Arial" w:hAnsi="Arial"/>
          <w:sz w:val="17"/>
          <w:szCs w:val="17"/>
          <w:color w:val="auto"/>
        </w:rPr>
        <w:t>, and no retrospective adjustments were made to the comparative periods presented. Adoption of ASC 842 resulted in an increase to total assets and liabilities due to the recording of operating lease ROU assets and operating lease liabilities of approximately $90.9 million and $104.4 million, respectively, as of January 1, 2019. Finance leases are not material to the Company and were not impacted by the adoption of ASC 842, as finance lease liabilities and the corresponding assets were already recorded in the balance sheet under the previous guidance, ASC 840. The adoption did not materially impact the Company’s condensed consolidated statements of operations or cash flows.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June 30, 2019</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The Company has operating leases for corporate offices, distribution facilities, manufacturing plants, and certain vehicles. Leases with an initial term of 12 months or less are not recorded on the balance sheet. The Company has elected the practical expedient to account for each separate lease component of a contract and its associated non-lease components as a single lease component, thus causing all fixed payments to be capitalized. The Company also elected the package of practical expedients permitted within the new standard, which among other things, allows the Company to carry forward historical lease classification. Variable lease payment amounts that cannot be determined at the commencement of the lease, such as increases in lease payments based on changes in index rates or usage, are not included in the ROU assets or liabilities. These are expensed as incurred and recorded as variable lease expense.</w:t>
      </w:r>
    </w:p>
    <w:p>
      <w:pPr>
        <w:spacing w:after="0" w:line="18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ROU assets represent the Company’s right to use an underlying asset during the lease term and lease liabilities represent the Company’s obligation to make lease payments arising from the lease. ROU assets and liabilities are recognized at the commencement date based on the net present value of fixed lease payments over the lease term. The Company’s lease term includes options to extend or terminate the lease when it is reasonably certain that the Company will exercise that option. ROU assets also include any advance lease payments. As most of the Company’s operating leases do not provide an implicit rate, the Company uses its incremental borrowing rate based on the information available at commencement date in determining the present value of lease payments.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components of lease costs for the three and six months ended June 30, 2019 were as follows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980" w:type="dxa"/>
            <w:vAlign w:val="bottom"/>
            <w:gridSpan w:val="3"/>
          </w:tcPr>
          <w:p>
            <w:pPr>
              <w:ind w:left="1660"/>
              <w:spacing w:after="0"/>
              <w:rPr>
                <w:sz w:val="20"/>
                <w:szCs w:val="20"/>
                <w:color w:val="auto"/>
              </w:rPr>
            </w:pPr>
            <w:r>
              <w:rPr>
                <w:rFonts w:ascii="Arial" w:cs="Arial" w:eastAsia="Arial" w:hAnsi="Arial"/>
                <w:sz w:val="14"/>
                <w:szCs w:val="14"/>
                <w:b w:val="1"/>
                <w:bCs w:val="1"/>
                <w:color w:val="auto"/>
                <w:w w:val="93"/>
              </w:rPr>
              <w:t>Three Months Ended</w:t>
            </w:r>
          </w:p>
        </w:tc>
        <w:tc>
          <w:tcPr>
            <w:tcW w:w="2140" w:type="dxa"/>
            <w:vAlign w:val="bottom"/>
            <w:gridSpan w:val="4"/>
          </w:tcPr>
          <w:p>
            <w:pPr>
              <w:ind w:left="94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56"/>
              <w:spacing w:after="0"/>
              <w:rPr>
                <w:sz w:val="20"/>
                <w:szCs w:val="20"/>
                <w:color w:val="auto"/>
              </w:rPr>
            </w:pPr>
            <w:r>
              <w:rPr>
                <w:rFonts w:ascii="Arial" w:cs="Arial" w:eastAsia="Arial" w:hAnsi="Arial"/>
                <w:sz w:val="14"/>
                <w:szCs w:val="14"/>
                <w:b w:val="1"/>
                <w:bCs w:val="1"/>
                <w:color w:val="auto"/>
                <w:w w:val="98"/>
              </w:rPr>
              <w:t>June 30, 2019</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costs:</w:t>
            </w:r>
          </w:p>
        </w:tc>
        <w:tc>
          <w:tcPr>
            <w:tcW w:w="1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Fixed</w:t>
            </w:r>
          </w:p>
        </w:tc>
        <w:tc>
          <w:tcPr>
            <w:tcW w:w="18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4,907</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Supplemental cash flow information for the three and six months ended June 30, 2019 was as follows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360" w:type="dxa"/>
            <w:vAlign w:val="bottom"/>
            <w:gridSpan w:val="5"/>
          </w:tcPr>
          <w:p>
            <w:pPr>
              <w:ind w:left="960"/>
              <w:spacing w:after="0"/>
              <w:rPr>
                <w:sz w:val="20"/>
                <w:szCs w:val="20"/>
                <w:color w:val="auto"/>
              </w:rPr>
            </w:pPr>
            <w:r>
              <w:rPr>
                <w:rFonts w:ascii="Arial" w:cs="Arial" w:eastAsia="Arial" w:hAnsi="Arial"/>
                <w:sz w:val="14"/>
                <w:szCs w:val="14"/>
                <w:b w:val="1"/>
                <w:bCs w:val="1"/>
                <w:color w:val="auto"/>
                <w:w w:val="99"/>
              </w:rPr>
              <w:t>Three Months Ended</w:t>
            </w:r>
          </w:p>
        </w:tc>
        <w:tc>
          <w:tcPr>
            <w:tcW w:w="2040" w:type="dxa"/>
            <w:vAlign w:val="bottom"/>
            <w:gridSpan w:val="4"/>
          </w:tcPr>
          <w:p>
            <w:pPr>
              <w:ind w:left="84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0"/>
              </w:rPr>
              <w:t>Cash paid for amounts included in the measurement of</w:t>
            </w:r>
          </w:p>
        </w:tc>
        <w:tc>
          <w:tcPr>
            <w:tcW w:w="9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liabilities:</w:t>
            </w: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Operating cash flows for operating leases</w:t>
            </w:r>
          </w:p>
        </w:tc>
        <w:tc>
          <w:tcPr>
            <w:tcW w:w="116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1120" w:type="dxa"/>
            <w:vAlign w:val="bottom"/>
          </w:tcPr>
          <w:p>
            <w:pPr>
              <w:ind w:left="700"/>
              <w:spacing w:after="0"/>
              <w:rPr>
                <w:sz w:val="20"/>
                <w:szCs w:val="20"/>
                <w:color w:val="auto"/>
              </w:rPr>
            </w:pPr>
            <w:r>
              <w:rPr>
                <w:rFonts w:ascii="Arial" w:cs="Arial" w:eastAsia="Arial" w:hAnsi="Arial"/>
                <w:sz w:val="18"/>
                <w:szCs w:val="18"/>
                <w:color w:val="auto"/>
                <w:w w:val="88"/>
              </w:rPr>
              <w:t>4,295</w:t>
            </w:r>
          </w:p>
        </w:tc>
        <w:tc>
          <w:tcPr>
            <w:tcW w:w="80" w:type="dxa"/>
            <w:vAlign w:val="bottom"/>
          </w:tcPr>
          <w:p>
            <w:pPr>
              <w:spacing w:after="0"/>
              <w:rPr>
                <w:sz w:val="18"/>
                <w:szCs w:val="18"/>
                <w:color w:val="auto"/>
              </w:rPr>
            </w:pPr>
          </w:p>
        </w:tc>
        <w:tc>
          <w:tcPr>
            <w:tcW w:w="960" w:type="dxa"/>
            <w:vAlign w:val="bottom"/>
            <w:gridSpan w:val="2"/>
          </w:tcPr>
          <w:p>
            <w:pPr>
              <w:ind w:left="84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4,295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gridSpan w:val="4"/>
          </w:tcPr>
          <w:p>
            <w:pPr>
              <w:ind w:left="80"/>
              <w:spacing w:after="0"/>
              <w:rPr>
                <w:sz w:val="20"/>
                <w:szCs w:val="20"/>
                <w:color w:val="auto"/>
              </w:rPr>
            </w:pPr>
            <w:r>
              <w:rPr>
                <w:rFonts w:ascii="Arial" w:cs="Arial" w:eastAsia="Arial" w:hAnsi="Arial"/>
                <w:sz w:val="14"/>
                <w:szCs w:val="14"/>
                <w:b w:val="1"/>
                <w:bCs w:val="1"/>
                <w:color w:val="auto"/>
                <w:w w:val="93"/>
              </w:rPr>
              <w:t>Three Months Ended</w:t>
            </w:r>
          </w:p>
        </w:tc>
        <w:tc>
          <w:tcPr>
            <w:tcW w:w="2040" w:type="dxa"/>
            <w:vAlign w:val="bottom"/>
            <w:gridSpan w:val="4"/>
          </w:tcPr>
          <w:p>
            <w:pPr>
              <w:ind w:left="84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88"/>
              </w:rPr>
              <w:t>Right-of-use assets obtained in exchange for new lease</w:t>
            </w:r>
          </w:p>
        </w:tc>
        <w:tc>
          <w:tcPr>
            <w:tcW w:w="9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w:t>
            </w: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Operating leases</w:t>
            </w:r>
          </w:p>
        </w:tc>
        <w:tc>
          <w:tcPr>
            <w:tcW w:w="1160" w:type="dxa"/>
            <w:vAlign w:val="bottom"/>
            <w:gridSpan w:val="3"/>
          </w:tcPr>
          <w:p>
            <w:pPr>
              <w:ind w:left="10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w w:val="87"/>
              </w:rPr>
              <w:t>20,991</w:t>
            </w:r>
          </w:p>
        </w:tc>
        <w:tc>
          <w:tcPr>
            <w:tcW w:w="960" w:type="dxa"/>
            <w:vAlign w:val="bottom"/>
            <w:gridSpan w:val="2"/>
          </w:tcPr>
          <w:p>
            <w:pPr>
              <w:ind w:left="84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115,488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7"/>
              </w:rPr>
              <w:t>20,991</w:t>
            </w: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60" w:type="dxa"/>
            <w:vAlign w:val="bottom"/>
            <w:vMerge w:val="restart"/>
          </w:tcPr>
          <w:p>
            <w:pPr>
              <w:jc w:val="right"/>
              <w:ind w:right="473"/>
              <w:spacing w:after="0"/>
              <w:rPr>
                <w:sz w:val="20"/>
                <w:szCs w:val="20"/>
                <w:color w:val="auto"/>
              </w:rPr>
            </w:pPr>
            <w:r>
              <w:rPr>
                <w:rFonts w:ascii="Arial" w:cs="Arial" w:eastAsia="Arial" w:hAnsi="Arial"/>
                <w:sz w:val="18"/>
                <w:szCs w:val="18"/>
                <w:color w:val="auto"/>
                <w:w w:val="90"/>
              </w:rPr>
              <w:t>- 14 -</w:t>
            </w: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June 30, 2019</w:t>
      </w:r>
    </w:p>
    <w:p>
      <w:pPr>
        <w:spacing w:after="0" w:line="10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aggregate future lease payments for operating leases as of June 30, 2019 were as follows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7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(excluding the six months ending June 30, 2019)</w:t>
            </w:r>
          </w:p>
        </w:tc>
        <w:tc>
          <w:tcPr>
            <w:tcW w:w="1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2020</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2022</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Thereafter</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88,825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167,861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Less: Interest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(42,068)</w:t>
            </w:r>
          </w:p>
        </w:tc>
        <w:tc>
          <w:tcPr>
            <w:tcW w:w="0" w:type="dxa"/>
            <w:vAlign w:val="bottom"/>
          </w:tcPr>
          <w:p>
            <w:pPr>
              <w:spacing w:after="0"/>
              <w:rPr>
                <w:sz w:val="1"/>
                <w:szCs w:val="1"/>
                <w:color w:val="auto"/>
              </w:rPr>
            </w:pPr>
          </w:p>
        </w:tc>
      </w:tr>
      <w:tr>
        <w:trPr>
          <w:trHeight w:val="27"/>
        </w:trPr>
        <w:tc>
          <w:tcPr>
            <w:tcW w:w="178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125,793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Average lease terms and discount rates were as follows:</w:t>
            </w: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6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7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3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Weighted-average remaining lease term (years)</w:t>
            </w:r>
          </w:p>
        </w:tc>
        <w:tc>
          <w:tcPr>
            <w:tcW w:w="1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Operating leases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w w:val="87"/>
              </w:rPr>
              <w:t>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Operating leases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ind w:left="2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E —INVESTMENTS</w:t>
      </w:r>
    </w:p>
    <w:p>
      <w:pPr>
        <w:spacing w:after="0" w:line="121"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The Company owns approximately a 30% interest in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and six months ended June 30, 2019 and 2018 in the accompanying condensed consolidated statements of operations. The value of the Company’s investment balance has been translated from Mexican Pesos (“MXN”) to U.S. Dollars (“USD”) using the spot rates of MXN 19.19 and MXN 19.64 at June 30, 2019 and December 31, 2018, respectively. The Company’s proportionate share of Vasconia’s net income has been translated from MXN to USD using the average exchange rates of MXN 19.11 and MXN 19.38 during the three months ended June 30, 2019 and 2018, respectively, and MXN 19.11 to MXN 19.24 and MXN 18.71 to MXN 19.38 during the six months ended June 30, 2019 and 2018, respectively. The effect of the translation of the Company’s investment resulted in a decrease to the investment of $1.5 million during the six months ended June 30, 2019 and a decrease to the investment of $1.1 million during the six months ended 2018. These translation effects are recorded in accumulated other comprehensive loss. Included within prepaid expenses and other current assets at June 30, 2019 and December 31, 2018 are amounts due from Vasconia of $159,000 and $95,000, respectively. Included within accrued expenses and accounts payable at June 30, 2019 and December 31, 2018 are amounts due to Vasconia of $68,000 and $0, respectively.</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June 30, 2019</w:t>
      </w:r>
    </w:p>
    <w:p>
      <w:pPr>
        <w:spacing w:after="0" w:line="10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Summarized statement of income information for Vasconia in USD and MXN is as follows (in thousands):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4"/>
          </w:tcPr>
          <w:p>
            <w:pPr>
              <w:jc w:val="center"/>
              <w:ind w:left="184"/>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center"/>
              <w:ind w:left="184"/>
              <w:spacing w:after="0"/>
              <w:rPr>
                <w:sz w:val="20"/>
                <w:szCs w:val="20"/>
                <w:color w:val="auto"/>
              </w:rPr>
            </w:pPr>
            <w:r>
              <w:rPr>
                <w:rFonts w:ascii="Arial" w:cs="Arial" w:eastAsia="Arial" w:hAnsi="Arial"/>
                <w:sz w:val="14"/>
                <w:szCs w:val="14"/>
                <w:b w:val="1"/>
                <w:bCs w:val="1"/>
                <w:color w:val="auto"/>
                <w:w w:val="89"/>
              </w:rPr>
              <w:t>June 30,</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644"/>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659"/>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8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USD</w:t>
            </w:r>
          </w:p>
        </w:tc>
        <w:tc>
          <w:tcPr>
            <w:tcW w:w="220" w:type="dxa"/>
            <w:vAlign w:val="bottom"/>
          </w:tcPr>
          <w:p>
            <w:pPr>
              <w:spacing w:after="0"/>
              <w:rPr>
                <w:sz w:val="12"/>
                <w:szCs w:val="12"/>
                <w:color w:val="auto"/>
              </w:rPr>
            </w:pPr>
          </w:p>
        </w:tc>
        <w:tc>
          <w:tcPr>
            <w:tcW w:w="820" w:type="dxa"/>
            <w:vAlign w:val="bottom"/>
          </w:tcPr>
          <w:p>
            <w:pPr>
              <w:jc w:val="right"/>
              <w:ind w:right="164"/>
              <w:spacing w:after="0" w:line="142" w:lineRule="exact"/>
              <w:rPr>
                <w:sz w:val="20"/>
                <w:szCs w:val="20"/>
                <w:color w:val="auto"/>
              </w:rPr>
            </w:pPr>
            <w:r>
              <w:rPr>
                <w:rFonts w:ascii="Arial" w:cs="Arial" w:eastAsia="Arial" w:hAnsi="Arial"/>
                <w:sz w:val="14"/>
                <w:szCs w:val="14"/>
                <w:color w:val="auto"/>
              </w:rPr>
              <w:t>MXN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color w:val="auto"/>
              </w:rPr>
              <w:t>USD</w:t>
            </w:r>
          </w:p>
        </w:tc>
        <w:tc>
          <w:tcPr>
            <w:tcW w:w="340" w:type="dxa"/>
            <w:vAlign w:val="bottom"/>
          </w:tcPr>
          <w:p>
            <w:pPr>
              <w:spacing w:after="0"/>
              <w:rPr>
                <w:sz w:val="12"/>
                <w:szCs w:val="12"/>
                <w:color w:val="auto"/>
              </w:rPr>
            </w:pPr>
          </w:p>
        </w:tc>
        <w:tc>
          <w:tcPr>
            <w:tcW w:w="840" w:type="dxa"/>
            <w:vAlign w:val="bottom"/>
          </w:tcPr>
          <w:p>
            <w:pPr>
              <w:jc w:val="right"/>
              <w:ind w:right="179"/>
              <w:spacing w:after="0" w:line="142" w:lineRule="exact"/>
              <w:rPr>
                <w:sz w:val="20"/>
                <w:szCs w:val="20"/>
                <w:color w:val="auto"/>
              </w:rPr>
            </w:pPr>
            <w:r>
              <w:rPr>
                <w:rFonts w:ascii="Arial" w:cs="Arial" w:eastAsia="Arial" w:hAnsi="Arial"/>
                <w:sz w:val="14"/>
                <w:szCs w:val="14"/>
                <w:color w:val="auto"/>
              </w:rPr>
              <w:t>MXN</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$37,040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707,837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$48,061</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931,329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Gross profit</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9,291</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177,552</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9,986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193,517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53,601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70,827</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(Loss) Income</w:t>
            </w:r>
          </w:p>
        </w:tc>
        <w:tc>
          <w:tcPr>
            <w:tcW w:w="2960" w:type="dxa"/>
            <w:vAlign w:val="bottom"/>
            <w:gridSpan w:val="3"/>
          </w:tcPr>
          <w:p>
            <w:pPr>
              <w:jc w:val="right"/>
              <w:ind w:right="40"/>
              <w:spacing w:after="0"/>
              <w:rPr>
                <w:sz w:val="20"/>
                <w:szCs w:val="20"/>
                <w:color w:val="auto"/>
              </w:rPr>
            </w:pPr>
            <w:r>
              <w:rPr>
                <w:rFonts w:ascii="Arial" w:cs="Arial" w:eastAsia="Arial" w:hAnsi="Arial"/>
                <w:sz w:val="18"/>
                <w:szCs w:val="18"/>
                <w:color w:val="auto"/>
              </w:rPr>
              <w:t>(178)</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(3,407)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2,457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47,621</w:t>
            </w:r>
          </w:p>
        </w:tc>
        <w:tc>
          <w:tcPr>
            <w:tcW w:w="4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4"/>
          </w:tcPr>
          <w:p>
            <w:pPr>
              <w:jc w:val="center"/>
              <w:ind w:left="184"/>
              <w:spacing w:after="0"/>
              <w:rPr>
                <w:sz w:val="20"/>
                <w:szCs w:val="20"/>
                <w:color w:val="auto"/>
              </w:rPr>
            </w:pPr>
            <w:r>
              <w:rPr>
                <w:rFonts w:ascii="Arial" w:cs="Arial" w:eastAsia="Arial" w:hAnsi="Arial"/>
                <w:sz w:val="14"/>
                <w:szCs w:val="14"/>
                <w:b w:val="1"/>
                <w:bCs w:val="1"/>
                <w:color w:val="auto"/>
                <w:w w:val="93"/>
              </w:rPr>
              <w:t>Six Months Ended</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center"/>
              <w:ind w:left="184"/>
              <w:spacing w:after="0"/>
              <w:rPr>
                <w:sz w:val="20"/>
                <w:szCs w:val="20"/>
                <w:color w:val="auto"/>
              </w:rPr>
            </w:pPr>
            <w:r>
              <w:rPr>
                <w:rFonts w:ascii="Arial" w:cs="Arial" w:eastAsia="Arial" w:hAnsi="Arial"/>
                <w:sz w:val="14"/>
                <w:szCs w:val="14"/>
                <w:b w:val="1"/>
                <w:bCs w:val="1"/>
                <w:color w:val="auto"/>
                <w:w w:val="89"/>
              </w:rPr>
              <w:t>June 30,</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644"/>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659"/>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8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USD</w:t>
            </w:r>
          </w:p>
        </w:tc>
        <w:tc>
          <w:tcPr>
            <w:tcW w:w="220" w:type="dxa"/>
            <w:vAlign w:val="bottom"/>
          </w:tcPr>
          <w:p>
            <w:pPr>
              <w:spacing w:after="0"/>
              <w:rPr>
                <w:sz w:val="12"/>
                <w:szCs w:val="12"/>
                <w:color w:val="auto"/>
              </w:rPr>
            </w:pPr>
          </w:p>
        </w:tc>
        <w:tc>
          <w:tcPr>
            <w:tcW w:w="820" w:type="dxa"/>
            <w:vAlign w:val="bottom"/>
          </w:tcPr>
          <w:p>
            <w:pPr>
              <w:jc w:val="right"/>
              <w:ind w:right="164"/>
              <w:spacing w:after="0" w:line="142" w:lineRule="exact"/>
              <w:rPr>
                <w:sz w:val="20"/>
                <w:szCs w:val="20"/>
                <w:color w:val="auto"/>
              </w:rPr>
            </w:pPr>
            <w:r>
              <w:rPr>
                <w:rFonts w:ascii="Arial" w:cs="Arial" w:eastAsia="Arial" w:hAnsi="Arial"/>
                <w:sz w:val="14"/>
                <w:szCs w:val="14"/>
                <w:color w:val="auto"/>
              </w:rPr>
              <w:t>MXN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color w:val="auto"/>
              </w:rPr>
              <w:t>USD</w:t>
            </w:r>
          </w:p>
        </w:tc>
        <w:tc>
          <w:tcPr>
            <w:tcW w:w="340" w:type="dxa"/>
            <w:vAlign w:val="bottom"/>
          </w:tcPr>
          <w:p>
            <w:pPr>
              <w:spacing w:after="0"/>
              <w:rPr>
                <w:sz w:val="12"/>
                <w:szCs w:val="12"/>
                <w:color w:val="auto"/>
              </w:rPr>
            </w:pPr>
          </w:p>
        </w:tc>
        <w:tc>
          <w:tcPr>
            <w:tcW w:w="840" w:type="dxa"/>
            <w:vAlign w:val="bottom"/>
          </w:tcPr>
          <w:p>
            <w:pPr>
              <w:jc w:val="right"/>
              <w:ind w:right="179"/>
              <w:spacing w:after="0" w:line="142" w:lineRule="exact"/>
              <w:rPr>
                <w:sz w:val="20"/>
                <w:szCs w:val="20"/>
                <w:color w:val="auto"/>
              </w:rPr>
            </w:pPr>
            <w:r>
              <w:rPr>
                <w:rFonts w:ascii="Arial" w:cs="Arial" w:eastAsia="Arial" w:hAnsi="Arial"/>
                <w:sz w:val="14"/>
                <w:szCs w:val="14"/>
                <w:color w:val="auto"/>
              </w:rPr>
              <w:t>MXN</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$78,534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$1,506,175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$87,630</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$1,671,735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Gross Profit</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17,229</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330,273</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17,105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326,724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90,027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92,330</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(Loss) Income</w:t>
            </w:r>
          </w:p>
        </w:tc>
        <w:tc>
          <w:tcPr>
            <w:tcW w:w="2960" w:type="dxa"/>
            <w:vAlign w:val="bottom"/>
            <w:gridSpan w:val="3"/>
          </w:tcPr>
          <w:p>
            <w:pPr>
              <w:jc w:val="right"/>
              <w:ind w:right="40"/>
              <w:spacing w:after="0"/>
              <w:rPr>
                <w:sz w:val="20"/>
                <w:szCs w:val="20"/>
                <w:color w:val="auto"/>
              </w:rPr>
            </w:pPr>
            <w:r>
              <w:rPr>
                <w:rFonts w:ascii="Arial" w:cs="Arial" w:eastAsia="Arial" w:hAnsi="Arial"/>
                <w:sz w:val="18"/>
                <w:szCs w:val="18"/>
                <w:color w:val="auto"/>
              </w:rPr>
              <w:t>(511)</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(9,813)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2,095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40,845</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 recorded equity in (losses) earnings of Vasconia, net of taxes, of $(69,000) and $(185,000) for the three and six months ended June 30,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2019, respectively. The Company recorded equity in (losses) earnings of Vasconia, net of taxes, of $155,000 and $232,000 for the three and six months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ended June 30, 2018, respectively. Equity in (losses) earnings for the three and six months ended June 30, 2018 includes deferred tax expense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$(501,000) and $(306,000), respectively, due to the requirement to record tax benefits for foreign currency translation gains and losses through other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comprehensive loss, with a corresponding adjustment to deferred tax liabilities.</w:t>
      </w:r>
    </w:p>
    <w:p>
      <w:pPr>
        <w:spacing w:after="0" w:line="211"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As of June 30, 2019 and December 31, 2018, the fair value (based upon Vasconia’s quoted stock price) of the Company’s investment in Vasconia was $34.2 million and $31.9 million, respectively. The carrying value of the Company’s investment in Vasconia was $20.9 million and $22.6 million as of June 30, 2019 and December 31, 2018, respectively.</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080"/>
          </w:cols>
          <w:pgMar w:left="240" w:top="459" w:right="5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2019</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F — INTANGIBLE ASSETS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Gross</w:t>
            </w:r>
          </w:p>
        </w:tc>
        <w:tc>
          <w:tcPr>
            <w:tcW w:w="1240" w:type="dxa"/>
            <w:vAlign w:val="bottom"/>
            <w:gridSpan w:val="4"/>
          </w:tcPr>
          <w:p>
            <w:pPr>
              <w:ind w:left="240"/>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8"/>
              </w:rPr>
              <w:t>Gross</w:t>
            </w:r>
          </w:p>
        </w:tc>
        <w:tc>
          <w:tcPr>
            <w:tcW w:w="116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Impairment</w:t>
            </w:r>
          </w:p>
        </w:tc>
        <w:tc>
          <w:tcPr>
            <w:tcW w:w="1100" w:type="dxa"/>
            <w:vAlign w:val="bottom"/>
            <w:gridSpan w:val="4"/>
          </w:tcPr>
          <w:p>
            <w:pPr>
              <w:ind w:left="120"/>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40" w:type="dxa"/>
            <w:vAlign w:val="bottom"/>
            <w:gridSpan w:val="4"/>
          </w:tcPr>
          <w:p>
            <w:pPr>
              <w:ind w:left="2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110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92,637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92,637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93,895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0"/>
              </w:rPr>
              <w:t>(2,205)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91,690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names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b w:val="1"/>
                <w:bCs w:val="1"/>
                <w:color w:val="auto"/>
              </w:rPr>
              <w:t>Finite-lived intangible assets: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Trade names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43,559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(15,545)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28,014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43,689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(13,965)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29,724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175,396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141,705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175,482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147,944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392,163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(60,849)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331,314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393,639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(2,205)</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338,847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G — DEBT</w:t>
      </w:r>
    </w:p>
    <w:p>
      <w:pPr>
        <w:spacing w:after="0" w:line="121" w:lineRule="exact"/>
        <w:rPr>
          <w:sz w:val="20"/>
          <w:szCs w:val="20"/>
          <w:color w:val="auto"/>
        </w:rPr>
      </w:pPr>
    </w:p>
    <w:p>
      <w:pPr>
        <w:ind w:left="200" w:right="60"/>
        <w:spacing w:after="0" w:line="268" w:lineRule="auto"/>
        <w:rPr>
          <w:sz w:val="20"/>
          <w:szCs w:val="20"/>
          <w:color w:val="auto"/>
        </w:rPr>
      </w:pPr>
      <w:r>
        <w:rPr>
          <w:rFonts w:ascii="Arial" w:cs="Arial" w:eastAsia="Arial" w:hAnsi="Arial"/>
          <w:sz w:val="17"/>
          <w:szCs w:val="17"/>
          <w:color w:val="auto"/>
        </w:rPr>
        <w:t>The Company’s credit agreement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provides for a senior secured term loan credit facility in the original principal amount of $275.0 million, which will mature on February 28, 2025. The Term Loan facility will be repaid in quarterly payments, which commenced June 30, 2018, of principal equal to 0.25% of the original aggregate principal amount of the Term Loan facility. The Term Loan requires the Company to make an annual prepayment of principal based upon excess cash flow (the “Excess Cash Flow”), if any. Based upon its current estimate of Excess Cash Flow, as defined, to be generated in calendar year 2019, the Company expects to prepay approximately $12.0 million of principal in the first quarter of 2020. Accordingly, this estimated amount is recorded in the current maturity of term loan on the condensed consolidated balance sheets. The maximum borrowing amount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188" w:lineRule="exact"/>
        <w:rPr>
          <w:sz w:val="20"/>
          <w:szCs w:val="20"/>
          <w:color w:val="auto"/>
        </w:rPr>
      </w:pPr>
    </w:p>
    <w:p>
      <w:pPr>
        <w:ind w:left="200" w:right="120"/>
        <w:spacing w:after="0" w:line="273" w:lineRule="auto"/>
        <w:rPr>
          <w:sz w:val="20"/>
          <w:szCs w:val="20"/>
          <w:color w:val="auto"/>
        </w:rPr>
      </w:pPr>
      <w:r>
        <w:rPr>
          <w:rFonts w:ascii="Arial" w:cs="Arial" w:eastAsia="Arial" w:hAnsi="Arial"/>
          <w:sz w:val="17"/>
          <w:szCs w:val="17"/>
          <w:color w:val="auto"/>
        </w:rPr>
        <w:t>At June 30, 2019 and December 31, 2018, borrowings outstanding under the ABL Agreement were $44.9 million and $42.1 million, respectively, and open letters of credit were $3.2 million and $3.4 million, respectively. At June 30, 2019, availability under the ABL Agreement was approximately $101.9 million. Availability under the ABL Agreement depends on the valuation of certain current assets comprising the borrowing base.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w:t>
      </w:r>
    </w:p>
    <w:p>
      <w:pPr>
        <w:spacing w:after="0" w:line="178" w:lineRule="exact"/>
        <w:rPr>
          <w:sz w:val="20"/>
          <w:szCs w:val="20"/>
          <w:color w:val="auto"/>
        </w:rPr>
      </w:pPr>
    </w:p>
    <w:p>
      <w:pPr>
        <w:jc w:val="both"/>
        <w:ind w:left="200" w:right="360"/>
        <w:spacing w:after="0" w:line="264" w:lineRule="auto"/>
        <w:rPr>
          <w:sz w:val="20"/>
          <w:szCs w:val="20"/>
          <w:color w:val="auto"/>
        </w:rPr>
      </w:pPr>
      <w:r>
        <w:rPr>
          <w:rFonts w:ascii="Arial" w:cs="Arial" w:eastAsia="Arial" w:hAnsi="Arial"/>
          <w:sz w:val="18"/>
          <w:szCs w:val="18"/>
          <w:color w:val="auto"/>
        </w:rPr>
        <w:t>At June 30, 2019 and December 31, 2018, $271.6 million and $272.9 million, respectively, was outstanding under the Term Loan. At June 30, 2019, unamortized debt issuance costs of $1.5 million and $6.8 million offset the short-term and long-term outstanding balances, respectively, of the Term Loan.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June 30, 2019</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60"/>
        <w:spacing w:after="0" w:line="269" w:lineRule="auto"/>
        <w:rPr>
          <w:sz w:val="20"/>
          <w:szCs w:val="20"/>
          <w:color w:val="auto"/>
        </w:rPr>
      </w:pPr>
      <w:r>
        <w:rPr>
          <w:rFonts w:ascii="Arial" w:cs="Arial" w:eastAsia="Arial" w:hAnsi="Arial"/>
          <w:sz w:val="17"/>
          <w:szCs w:val="17"/>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8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Borrowings under the revolving credit facility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Interest rates on outstanding borrowings under the ABL Agreement at June 30, 2019 ranged from 2.4% to 6.25%. In addition, the Company paid a commitment fee that ranged from 0.250% to 0.375% on the unused portion of the ABL Agreement during the six months ended June 30, 2019.</w:t>
      </w:r>
    </w:p>
    <w:p>
      <w:pPr>
        <w:spacing w:after="0" w:line="193" w:lineRule="exact"/>
        <w:rPr>
          <w:sz w:val="20"/>
          <w:szCs w:val="20"/>
          <w:color w:val="auto"/>
        </w:rPr>
      </w:pPr>
    </w:p>
    <w:p>
      <w:pPr>
        <w:jc w:val="both"/>
        <w:ind w:left="200" w:right="100"/>
        <w:spacing w:after="0" w:line="286" w:lineRule="auto"/>
        <w:rPr>
          <w:sz w:val="20"/>
          <w:szCs w:val="20"/>
          <w:color w:val="auto"/>
        </w:rPr>
      </w:pPr>
      <w:r>
        <w:rPr>
          <w:rFonts w:ascii="Arial" w:cs="Arial" w:eastAsia="Arial" w:hAnsi="Arial"/>
          <w:sz w:val="17"/>
          <w:szCs w:val="17"/>
          <w:color w:val="auto"/>
        </w:rPr>
        <w:t>The term loan facility bears interest, at the Company’s option, at one of the following rates: (i) alternate base rate, defined, for any day, as the greater of the prime rate, a federal funds and overnight bank funding based rate plus 0.5% or one-month LIBOR plus 1.0%, plus a margin of 2.50% or (ii) LIBOR plus a margin of 3.50%. The interest rate on outstanding borrowings under the Term Loan at June 30, 2019 was 5.9%.</w:t>
      </w:r>
    </w:p>
    <w:p>
      <w:pPr>
        <w:spacing w:after="0" w:line="166"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was in compliance with the covenants of the Debt Agreements at June 30, 2019.</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H </w:t>
      </w:r>
      <w:r>
        <w:rPr>
          <w:rFonts w:ascii="Arial" w:cs="Arial" w:eastAsia="Arial" w:hAnsi="Arial"/>
          <w:sz w:val="18"/>
          <w:szCs w:val="18"/>
          <w:color w:val="auto"/>
        </w:rPr>
        <w:t>—</w:t>
      </w:r>
      <w:r>
        <w:rPr>
          <w:rFonts w:ascii="Arial" w:cs="Arial" w:eastAsia="Arial" w:hAnsi="Arial"/>
          <w:sz w:val="18"/>
          <w:szCs w:val="18"/>
          <w:b w:val="1"/>
          <w:bCs w:val="1"/>
          <w:color w:val="auto"/>
        </w:rPr>
        <w:t xml:space="preserve"> DERIVATIVES</w:t>
      </w:r>
    </w:p>
    <w:p>
      <w:pPr>
        <w:spacing w:after="0" w:line="121"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The Company is a party to interest rate swap agreements with an aggregate notional value of $100.0 million at June 30, 2019. The Company designated the interest rate swaps as cash flow hedges of the Company’s exposure to the variability of the payment of interest on a portion of its Term Loan borrowings. The hedge periods of these agreements commenced in April 2018 and expire in March 2023. The notional amounts are reduced over these periods. In June 2019, the Company entered into new interest rate swap agreements, with an aggregate notional value of $25.0 million at June 30, 2019. These non-designated interest rate swaps serve as cash flow hedges of the Company’s exposure to the variability of the payment of interest on a portion of its Term Loan borrowings and expire in February 2025.</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June 30, 2019</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The Company is exposed to market risks as well as changes in foreign currency exchange rates as measured against the USD and each other, and changes to credit risk of derivative counterparties. The Company attempts to minimize these risks by primarily using foreign currency forward contracts and by maintaining counterparty credit limits. These hedging activities provide only limited protection against currency exchange and credit risk. Factors that could influence the effectiveness of the Company’s hedging programs include currency markets and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currently does not have any foreign currency forward contract derivatives that are not designated as hedges.</w:t>
      </w:r>
    </w:p>
    <w:p>
      <w:pPr>
        <w:spacing w:after="0" w:line="167"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short-term (i.e. 12 months or less) foreign currency forward contracts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aggregate gross notional values of foreign exchange contracts at June 30, 2019 was $9.0 million. These foreign exchange contracts have been designated as hedges in to order to apply hedge accounting.</w:t>
      </w:r>
    </w:p>
    <w:p>
      <w:pPr>
        <w:spacing w:after="0" w:line="16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presented as follows (in thousands):</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8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500" w:type="dxa"/>
            <w:vAlign w:val="bottom"/>
          </w:tcPr>
          <w:p>
            <w:pPr>
              <w:spacing w:after="0"/>
              <w:rPr>
                <w:sz w:val="16"/>
                <w:szCs w:val="16"/>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8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Prepaid Expenses</w:t>
            </w: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220" w:type="dxa"/>
            <w:vAlign w:val="bottom"/>
            <w:gridSpan w:val="2"/>
          </w:tcPr>
          <w:p>
            <w:pPr>
              <w:ind w:left="86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1,372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8"/>
                <w:szCs w:val="18"/>
                <w:color w:val="auto"/>
                <w:w w:val="99"/>
              </w:rPr>
              <w:t>157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1"/>
              </w:rPr>
              <w:t>Prepaid Expenses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394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8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500" w:type="dxa"/>
            <w:vAlign w:val="bottom"/>
          </w:tcPr>
          <w:p>
            <w:pPr>
              <w:spacing w:after="0"/>
              <w:rPr>
                <w:sz w:val="24"/>
                <w:szCs w:val="2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6"/>
        </w:trPr>
        <w:tc>
          <w:tcPr>
            <w:tcW w:w="394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50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8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fair values of the derivatives have been obtained from the counterparties to the agreements and were based on Level 2 observable inputs using proprietary models and estimates about relevant future market conditions.</w:t>
      </w:r>
    </w:p>
    <w:p>
      <w:pPr>
        <w:spacing w:after="0" w:line="170"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The counterparties to the derivative financial instruments are major international financial institutions. The Company is exposed to credit risk for the net exchanges under these agreements, but not for the notional amounts. The Company does not anticipate non-performance by any of its counterparties.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2019</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The amounts of gains and (losses) related to the Company’s derivative financial instruments designated as hedging instruments are recognized in other comprehensive loss, net of taxes, as follows (in thousands):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4920" w:type="dxa"/>
            <w:vAlign w:val="bottom"/>
            <w:gridSpan w:val="2"/>
            <w:vMerge w:val="continue"/>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2019</w:t>
            </w: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3"/>
              </w:rPr>
              <w:t>2018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 net of taxes</w:t>
            </w:r>
          </w:p>
        </w:tc>
        <w:tc>
          <w:tcPr>
            <w:tcW w:w="2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6"/>
              </w:rPr>
              <w:t>(263)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$ 1,224</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0"/>
              </w:rPr>
              <w:t>$ (277)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Foreign exchange contracts, net of taxes</w:t>
            </w:r>
          </w:p>
        </w:tc>
        <w:tc>
          <w:tcPr>
            <w:tcW w:w="2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340" w:type="dxa"/>
            <w:vAlign w:val="bottom"/>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(263)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$ 1,578</w:t>
            </w:r>
          </w:p>
        </w:tc>
        <w:tc>
          <w:tcPr>
            <w:tcW w:w="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8"/>
              </w:rPr>
              <w:t>$ (277)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Gains or losses on the interest rate swaps, designated as hedges, will be reclassified into earnings as interest expense as the interest on the debt is recognized. During the three and six months ended June 30, 2019 and June 30, 2018, the Company recognized $0.1 million and $0.2 million of interest expense related to the interest rate swaps, respectively.</w:t>
      </w:r>
    </w:p>
    <w:p>
      <w:pPr>
        <w:spacing w:after="0" w:line="181"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Gains or losses on the foreign exchange contracts will be reclassified into cost of sales as the hedged merchandise purchases are sold. The amount recorded as a gain in cost of sales for the three and six months ended June 30, 2019 was $0.1 million.</w:t>
      </w:r>
    </w:p>
    <w:p>
      <w:pPr>
        <w:spacing w:after="0" w:line="17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The amounts of the gains and (losses) related to the Company’s derivative financial instruments not designated as hedging instruments that were recognized in earnings are as follows (in thousands):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20" w:type="dxa"/>
            <w:vAlign w:val="bottom"/>
            <w:gridSpan w:val="4"/>
          </w:tcPr>
          <w:p>
            <w:pPr>
              <w:jc w:val="center"/>
              <w:ind w:left="8"/>
              <w:spacing w:after="0"/>
              <w:rPr>
                <w:sz w:val="20"/>
                <w:szCs w:val="20"/>
                <w:color w:val="auto"/>
              </w:rPr>
            </w:pPr>
            <w:r>
              <w:rPr>
                <w:rFonts w:ascii="Arial" w:cs="Arial" w:eastAsia="Arial" w:hAnsi="Arial"/>
                <w:sz w:val="14"/>
                <w:szCs w:val="14"/>
                <w:b w:val="1"/>
                <w:bCs w:val="1"/>
                <w:color w:val="auto"/>
                <w:w w:val="93"/>
              </w:rPr>
              <w:t>Three Months Ended</w:t>
            </w:r>
          </w:p>
        </w:tc>
        <w:tc>
          <w:tcPr>
            <w:tcW w:w="14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580" w:type="dxa"/>
            <w:vAlign w:val="bottom"/>
          </w:tcPr>
          <w:p>
            <w:pPr>
              <w:spacing w:after="0"/>
              <w:rPr>
                <w:sz w:val="14"/>
                <w:szCs w:val="14"/>
                <w:color w:val="auto"/>
              </w:rPr>
            </w:pPr>
          </w:p>
        </w:tc>
        <w:tc>
          <w:tcPr>
            <w:tcW w:w="398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Location of gain (loss)</w:t>
            </w:r>
          </w:p>
        </w:tc>
        <w:tc>
          <w:tcPr>
            <w:tcW w:w="10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2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36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3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8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$ 350</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$ 350</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4560" w:type="dxa"/>
            <w:vAlign w:val="bottom"/>
            <w:gridSpan w:val="2"/>
          </w:tcPr>
          <w:p>
            <w:pPr>
              <w:ind w:left="560"/>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1,468</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  (47)</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I </w:t>
      </w:r>
      <w:r>
        <w:rPr>
          <w:rFonts w:ascii="Arial" w:cs="Arial" w:eastAsia="Arial" w:hAnsi="Arial"/>
          <w:sz w:val="18"/>
          <w:szCs w:val="18"/>
          <w:color w:val="auto"/>
        </w:rPr>
        <w:t>—</w:t>
      </w:r>
      <w:r>
        <w:rPr>
          <w:rFonts w:ascii="Arial" w:cs="Arial" w:eastAsia="Arial" w:hAnsi="Arial"/>
          <w:sz w:val="18"/>
          <w:szCs w:val="18"/>
          <w:b w:val="1"/>
          <w:bCs w:val="1"/>
          <w:color w:val="auto"/>
        </w:rPr>
        <w:t xml:space="preserve"> STOCK COMPENSATION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Option Awards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summary of the Company’s stock option activity and related information for the six months ended June 30, 2019 is as follows: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91"/>
              </w:rPr>
              <w:t>Weighted-</w:t>
            </w:r>
          </w:p>
        </w:tc>
        <w:tc>
          <w:tcPr>
            <w:tcW w:w="4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3"/>
            <w:vMerge w:val="restart"/>
          </w:tcPr>
          <w:p>
            <w:pPr>
              <w:jc w:val="center"/>
              <w:ind w:left="33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6"/>
              </w:rPr>
              <w:t>average</w:t>
            </w:r>
          </w:p>
        </w:tc>
        <w:tc>
          <w:tcPr>
            <w:tcW w:w="1180" w:type="dxa"/>
            <w:vAlign w:val="bottom"/>
            <w:gridSpan w:val="2"/>
          </w:tcPr>
          <w:p>
            <w:pPr>
              <w:jc w:val="center"/>
              <w:ind w:left="376"/>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8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40" w:type="dxa"/>
            <w:vAlign w:val="bottom"/>
            <w:gridSpan w:val="3"/>
          </w:tcPr>
          <w:p>
            <w:pPr>
              <w:jc w:val="center"/>
              <w:ind w:left="99"/>
              <w:spacing w:after="0"/>
              <w:rPr>
                <w:sz w:val="20"/>
                <w:szCs w:val="20"/>
                <w:color w:val="auto"/>
              </w:rPr>
            </w:pPr>
            <w:r>
              <w:rPr>
                <w:rFonts w:ascii="Arial" w:cs="Arial" w:eastAsia="Arial" w:hAnsi="Arial"/>
                <w:sz w:val="14"/>
                <w:szCs w:val="14"/>
                <w:b w:val="1"/>
                <w:bCs w:val="1"/>
                <w:color w:val="auto"/>
                <w:w w:val="87"/>
              </w:rPr>
              <w:t>exercise price</w:t>
            </w:r>
          </w:p>
        </w:tc>
        <w:tc>
          <w:tcPr>
            <w:tcW w:w="4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48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January 1, 2019</w:t>
            </w:r>
          </w:p>
        </w:tc>
        <w:tc>
          <w:tcPr>
            <w:tcW w:w="18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1,548,825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Grants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296,500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9.21</w:t>
            </w: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Exercises</w:t>
            </w:r>
          </w:p>
        </w:tc>
        <w:tc>
          <w:tcPr>
            <w:tcW w:w="2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2880" w:type="dxa"/>
            <w:vAlign w:val="bottom"/>
            <w:gridSpan w:val="3"/>
          </w:tcPr>
          <w:p>
            <w:pPr>
              <w:jc w:val="right"/>
              <w:ind w:right="200"/>
              <w:spacing w:after="0"/>
              <w:rPr>
                <w:sz w:val="20"/>
                <w:szCs w:val="20"/>
                <w:color w:val="auto"/>
              </w:rPr>
            </w:pPr>
            <w:r>
              <w:rPr>
                <w:rFonts w:ascii="Arial" w:cs="Arial" w:eastAsia="Arial" w:hAnsi="Arial"/>
                <w:sz w:val="18"/>
                <w:szCs w:val="18"/>
                <w:color w:val="auto"/>
              </w:rPr>
              <w:t>(6,750)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13.34</w:t>
            </w: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Expirations</w:t>
            </w:r>
          </w:p>
        </w:tc>
        <w:tc>
          <w:tcPr>
            <w:tcW w:w="2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(68,125)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June 30, 2019</w:t>
            </w:r>
          </w:p>
        </w:tc>
        <w:tc>
          <w:tcPr>
            <w:tcW w:w="18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1,695,450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120" w:type="dxa"/>
            <w:vAlign w:val="bottom"/>
            <w:gridSpan w:val="2"/>
          </w:tcPr>
          <w:p>
            <w:pPr>
              <w:jc w:val="center"/>
              <w:ind w:left="356"/>
              <w:spacing w:after="0"/>
              <w:rPr>
                <w:sz w:val="20"/>
                <w:szCs w:val="20"/>
                <w:color w:val="auto"/>
              </w:rPr>
            </w:pPr>
            <w:r>
              <w:rPr>
                <w:rFonts w:ascii="Arial" w:cs="Arial" w:eastAsia="Arial" w:hAnsi="Arial"/>
                <w:sz w:val="18"/>
                <w:szCs w:val="18"/>
                <w:color w:val="auto"/>
                <w:w w:val="91"/>
              </w:rPr>
              <w:t>$ 87,425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June 30, 2019</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1,212,172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120" w:type="dxa"/>
            <w:vAlign w:val="bottom"/>
            <w:gridSpan w:val="2"/>
            <w:shd w:val="clear" w:color="auto" w:fill="CCEEFF"/>
          </w:tcPr>
          <w:p>
            <w:pPr>
              <w:jc w:val="center"/>
              <w:ind w:left="356"/>
              <w:spacing w:after="0"/>
              <w:rPr>
                <w:sz w:val="20"/>
                <w:szCs w:val="20"/>
                <w:color w:val="auto"/>
              </w:rPr>
            </w:pPr>
            <w:r>
              <w:rPr>
                <w:rFonts w:ascii="Arial" w:cs="Arial" w:eastAsia="Arial" w:hAnsi="Arial"/>
                <w:sz w:val="18"/>
                <w:szCs w:val="18"/>
                <w:color w:val="auto"/>
                <w:w w:val="91"/>
              </w:rPr>
              <w:t>$ 87,425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40" w:type="dxa"/>
            <w:vAlign w:val="bottom"/>
            <w:vMerge w:val="restart"/>
          </w:tcPr>
          <w:p>
            <w:pPr>
              <w:jc w:val="right"/>
              <w:ind w:right="370"/>
              <w:spacing w:after="0"/>
              <w:rPr>
                <w:sz w:val="20"/>
                <w:szCs w:val="20"/>
                <w:color w:val="auto"/>
              </w:rPr>
            </w:pPr>
            <w:r>
              <w:rPr>
                <w:rFonts w:ascii="Arial" w:cs="Arial" w:eastAsia="Arial" w:hAnsi="Arial"/>
                <w:sz w:val="18"/>
                <w:szCs w:val="18"/>
                <w:color w:val="auto"/>
              </w:rPr>
              <w:t>- 20 -</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June 30, 2019</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intrinsic value that would have been received by the option holders had all option holders exercised their stock options on June 30, 2019. The intrinsic value is calculated for each in-the-money stock option as the difference between the closing price of the Company’s common stock on June 30, 2019 and the exercise price.</w:t>
      </w:r>
    </w:p>
    <w:p>
      <w:pPr>
        <w:spacing w:after="0" w:line="181"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Total unrecognized stock option compensation expense at June 30, 2019, before the effect of income taxes, was $1.7 million and is expected to be recognized over a weighted-average period of 1.8 years.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summary of the Company’s restricted stock activity and related information for the six months ended June 30, 2019 is as follows: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Restricted</w:t>
            </w:r>
          </w:p>
        </w:tc>
        <w:tc>
          <w:tcPr>
            <w:tcW w:w="1140" w:type="dxa"/>
            <w:vAlign w:val="bottom"/>
            <w:gridSpan w:val="4"/>
          </w:tcPr>
          <w:p>
            <w:pPr>
              <w:jc w:val="center"/>
              <w:ind w:left="79"/>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January 1, 2019</w:t>
            </w:r>
          </w:p>
        </w:tc>
        <w:tc>
          <w:tcPr>
            <w:tcW w:w="18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326,545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Grants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437,997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(145,049)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8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(24,362)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June 30, 2019</w:t>
            </w:r>
          </w:p>
        </w:tc>
        <w:tc>
          <w:tcPr>
            <w:tcW w:w="18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595,131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unrecognized compensation expense remaining</w:t>
            </w:r>
          </w:p>
        </w:tc>
        <w:tc>
          <w:tcPr>
            <w:tcW w:w="2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$5,904,000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fair value of restricted stock that vested during the six months ended June 30, 2019 was $1.4 million.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Performance shares</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Each performance award represents the right to receive up to 150% of the target number of shares of common stock. The number of shares of common stock earned will be determined based on the attainment of specified performance goals, as determined by the Compensation Committee, by the end of the performance period. The shares are subject to the terms and conditions of the Company’s Amended and Restated 2000 Long Term Incentive Plan (the “Plan”).</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080"/>
          </w:cols>
          <w:pgMar w:left="240" w:top="459" w:right="5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June 30, 2019</w:t>
      </w:r>
    </w:p>
    <w:p>
      <w:pPr>
        <w:spacing w:after="0" w:line="10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summary of the Company’s performance-based award activity and related information for the six months ended June 30, 2019 is as follows:</w:t>
      </w:r>
    </w:p>
    <w:p>
      <w:pPr>
        <w:spacing w:after="0" w:line="24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20" w:type="dxa"/>
            <w:vAlign w:val="bottom"/>
            <w:gridSpan w:val="3"/>
            <w:vMerge w:val="restart"/>
          </w:tcPr>
          <w:p>
            <w:pPr>
              <w:jc w:val="center"/>
              <w:ind w:left="474"/>
              <w:spacing w:after="0"/>
              <w:rPr>
                <w:sz w:val="20"/>
                <w:szCs w:val="20"/>
                <w:color w:val="auto"/>
              </w:rPr>
            </w:pPr>
            <w:r>
              <w:rPr>
                <w:rFonts w:ascii="Arial" w:cs="Arial" w:eastAsia="Arial" w:hAnsi="Arial"/>
                <w:sz w:val="14"/>
                <w:szCs w:val="14"/>
                <w:b w:val="1"/>
                <w:bCs w:val="1"/>
                <w:color w:val="auto"/>
                <w:w w:val="95"/>
              </w:rPr>
              <w:t>Performance-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180" w:type="dxa"/>
            <w:vAlign w:val="bottom"/>
            <w:gridSpan w:val="4"/>
          </w:tcPr>
          <w:p>
            <w:pPr>
              <w:jc w:val="center"/>
              <w:ind w:left="119"/>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based 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2"/>
                <w:szCs w:val="12"/>
                <w:b w:val="1"/>
                <w:bCs w:val="1"/>
                <w:color w:val="auto"/>
                <w:w w:val="92"/>
              </w:rPr>
              <w:t>(1)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performance-based awards, January 1, 2019</w:t>
            </w:r>
          </w:p>
        </w:tc>
        <w:tc>
          <w:tcPr>
            <w:tcW w:w="8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339,287</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Grants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156,775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(66,761)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8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(25,767)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performance-based awards, June 30, 2019</w:t>
            </w:r>
          </w:p>
        </w:tc>
        <w:tc>
          <w:tcPr>
            <w:tcW w:w="88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403,534</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unrecognized compensation expense remaining</w:t>
            </w:r>
          </w:p>
        </w:tc>
        <w:tc>
          <w:tcPr>
            <w:tcW w:w="1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$ 3,037,000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target number of shares to be issued for each performance-based award.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total fair value of performance-based awards that vested during the six months ended June 30, 2019 was $0.6 million.</w:t>
      </w:r>
    </w:p>
    <w:p>
      <w:pPr>
        <w:spacing w:after="0" w:line="225"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The Company recognized total stock compensation expense of $1.2 million for the three months ended June 30, 2019, of which $0.1 million represents stock option compensation expense and $1.1 million represents restricted stock and performance-based stock compensation expense. For the six months ended June 30, 2019, the Company recognized total stock compensation expense of $2.1 million, of which $0.3 million represents stock option compensation expense and $1.8 million represents restricted stock and performance-based stock compensation expense. The Company recognized total stock compensation expense of $0.9 million for the three months ended June 30, 2018, of which $0.2 million represents stock option compensation expense and $0.7 million represents restricted stock and performance-based stock compensation expense. For the six months ended June 30, 2018, the Company recognized total stock compensation expense of $1.8 million, of which $0.4 million represents stock option compensation expense and $1.4 million represents restricted stock and performance-based stock compensation expense.</w:t>
      </w:r>
    </w:p>
    <w:p>
      <w:pPr>
        <w:spacing w:after="0" w:line="166" w:lineRule="exact"/>
        <w:rPr>
          <w:sz w:val="20"/>
          <w:szCs w:val="20"/>
          <w:color w:val="auto"/>
        </w:rPr>
      </w:pPr>
    </w:p>
    <w:p>
      <w:pPr>
        <w:ind w:left="200" w:right="920"/>
        <w:spacing w:after="0" w:line="277" w:lineRule="auto"/>
        <w:rPr>
          <w:sz w:val="20"/>
          <w:szCs w:val="20"/>
          <w:color w:val="auto"/>
        </w:rPr>
      </w:pPr>
      <w:r>
        <w:rPr>
          <w:rFonts w:ascii="Arial" w:cs="Arial" w:eastAsia="Arial" w:hAnsi="Arial"/>
          <w:sz w:val="18"/>
          <w:szCs w:val="18"/>
          <w:color w:val="auto"/>
        </w:rPr>
        <w:t>At June 30, 2019, there were 152,342 shares available for awards that could be granted under the Plan, assuming maximum performance of performance-based awards.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June 30, 2019</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J —LOSS PER COMMON SHARE</w:t>
      </w:r>
    </w:p>
    <w:p>
      <w:pPr>
        <w:spacing w:after="0" w:line="229"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Basic loss per common share has been computed by dividing net loss by the weighted-average number of shares of the Company’s common stock outstanding during the relevant period. Diluted loss per common share adjusts net loss and basic loss per common share for the effect of all potentially dilutive shares of the Company’s common stock. The calculations of basic and diluted loss per common share for the three and six months ended June 30, 2019 and 2018 are as follows:</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20" w:type="dxa"/>
            <w:vAlign w:val="bottom"/>
            <w:gridSpan w:val="9"/>
          </w:tcPr>
          <w:p>
            <w:pPr>
              <w:jc w:val="right"/>
              <w:ind w:right="20"/>
              <w:spacing w:after="0" w:line="142" w:lineRule="exact"/>
              <w:rPr>
                <w:sz w:val="20"/>
                <w:szCs w:val="20"/>
                <w:color w:val="auto"/>
              </w:rPr>
            </w:pPr>
            <w:r>
              <w:rPr>
                <w:rFonts w:ascii="Arial" w:cs="Arial" w:eastAsia="Arial" w:hAnsi="Arial"/>
                <w:sz w:val="14"/>
                <w:szCs w:val="14"/>
                <w:color w:val="auto"/>
                <w:w w:val="92"/>
              </w:rPr>
              <w:t>(in thousands, except per share amounts)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basic and diluted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9"/>
              </w:rPr>
              <w:t>(11,513)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(6,057)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(16,380)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(17,655)</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Weighted-average shares outstanding – basic and diluted</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20,545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20,327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20,527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18,474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(0.96)</w:t>
            </w: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 computation of diluted loss per common share for the three and six months ended June 30, 2019 excludes 2,147,690 shares and 1,882,113 shares, respectively, related to options to purchase shares and other stock awards. The computation of diluted loss per common share for the three and six months ended June 30, 2018 excludes 1,990,536 shares and 1,938,124 shares, respectively, related to options to purchase shares and other stock awards. These shares were excluded due to their antidilutive effects.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K— INCOME TAXES</w:t>
      </w:r>
    </w:p>
    <w:p>
      <w:pPr>
        <w:spacing w:after="0" w:line="121"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Income tax benefit of $5.8 million and $8.3 million for the three and six months ended June 30 2019, respectively, represent taxes on both U.S. and foreign earnings at combined effective income tax benefit rates of 33.6% and 33.8%, respectively. The effective rates for the three and six months ended June 30, 2019 differs from the federal statutory rate of 21% primarily due to state and local taxes and the impact of non-deductible expenses.</w:t>
      </w:r>
    </w:p>
    <w:p>
      <w:pPr>
        <w:spacing w:after="0" w:line="147" w:lineRule="exact"/>
        <w:rPr>
          <w:sz w:val="20"/>
          <w:szCs w:val="20"/>
          <w:color w:val="auto"/>
        </w:rPr>
      </w:pPr>
    </w:p>
    <w:p>
      <w:pPr>
        <w:ind w:left="200" w:right="320"/>
        <w:spacing w:after="0" w:line="286" w:lineRule="auto"/>
        <w:rPr>
          <w:sz w:val="20"/>
          <w:szCs w:val="20"/>
          <w:color w:val="auto"/>
        </w:rPr>
      </w:pPr>
      <w:r>
        <w:rPr>
          <w:rFonts w:ascii="Arial" w:cs="Arial" w:eastAsia="Arial" w:hAnsi="Arial"/>
          <w:sz w:val="17"/>
          <w:szCs w:val="17"/>
          <w:color w:val="auto"/>
        </w:rPr>
        <w:t>Income tax benefit of $1.8 million and $5.6 million for the three and six months ended June 30, 2018, respectively, represent taxes on both U.S. and foreign earnings at a combined effective income tax benefit rate of 22.1% and 23.8%, respectively. The effective rates for the three and six months ended June 30, 2018 reflects the reduced U.S. corporate income tax rate, partially offset by non-deductible expenses.</w:t>
      </w:r>
    </w:p>
    <w:p>
      <w:pPr>
        <w:spacing w:after="0" w:line="166" w:lineRule="exact"/>
        <w:rPr>
          <w:sz w:val="20"/>
          <w:szCs w:val="20"/>
          <w:color w:val="auto"/>
        </w:rPr>
      </w:pPr>
    </w:p>
    <w:p>
      <w:pPr>
        <w:jc w:val="both"/>
        <w:ind w:left="200" w:right="240"/>
        <w:spacing w:after="0" w:line="264" w:lineRule="auto"/>
        <w:rPr>
          <w:sz w:val="20"/>
          <w:szCs w:val="20"/>
          <w:color w:val="auto"/>
        </w:rPr>
      </w:pPr>
      <w:r>
        <w:rPr>
          <w:rFonts w:ascii="Arial" w:cs="Arial" w:eastAsia="Arial" w:hAnsi="Arial"/>
          <w:sz w:val="18"/>
          <w:szCs w:val="18"/>
          <w:color w:val="auto"/>
        </w:rPr>
        <w:t>The Company has identified the following jurisdictions as “major” tax jurisdictions: U.S. Federal, California, Massachusetts, New York, New Jersey, Illinois, Georgia and the United Kingdom. The Company’s 2015 U.S. Federal income tax return and New York State tax returns for years 2014-2016 remain under audit with no proposed adjustments as of June 30, 2019.</w:t>
      </w:r>
    </w:p>
    <w:p>
      <w:pPr>
        <w:spacing w:after="0" w:line="181" w:lineRule="exact"/>
        <w:rPr>
          <w:sz w:val="20"/>
          <w:szCs w:val="20"/>
          <w:color w:val="auto"/>
        </w:rPr>
      </w:pPr>
    </w:p>
    <w:p>
      <w:pPr>
        <w:jc w:val="both"/>
        <w:ind w:left="200" w:right="240"/>
        <w:spacing w:after="0" w:line="277" w:lineRule="auto"/>
        <w:rPr>
          <w:sz w:val="20"/>
          <w:szCs w:val="20"/>
          <w:color w:val="auto"/>
        </w:rPr>
      </w:pPr>
      <w:r>
        <w:rPr>
          <w:rFonts w:ascii="Arial" w:cs="Arial" w:eastAsia="Arial" w:hAnsi="Arial"/>
          <w:sz w:val="18"/>
          <w:szCs w:val="18"/>
          <w:color w:val="auto"/>
        </w:rPr>
        <w:t>The Company evaluates its tax positions on a quarterly basis and revises its estimates accordingly. There were no material changes to the Company’s uncertain tax positions, interest, or penalties during the three-month periods ended June 30, 2019 and June 30,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L – BUSINESS SEGMENTS</w:t>
      </w:r>
    </w:p>
    <w:p>
      <w:pPr>
        <w:spacing w:after="0" w:line="121"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The Company has two reportable segments, U.S. and International. Prior to October 1, 2018, the U.S. segment was reported as two separate reportable segments, U.S. Wholesale and Retail Direct. The Company changed its reporting structure as of October 1, 2018 to reflect how the Company is managing its operations as well as what the chief operating decision maker reviews to make organizational decisions about resource allocations. Prior period segment information has been recast to reflect the current reportable segment structure of the Company.</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June 30, 2019</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The Company has segmented its operations to reflect the manner in which management reviews and evaluates the results of its operations. The U.S. segment includes the Company’s primary domestic business that designs, markets and distributes its products to retailers, distributors and its internet websites. The International segment consists of certain business operations conducted outside the U.S. Management evaluates the performance of the U.S. and International segments based on net sales and loss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178" w:lineRule="exact"/>
        <w:rPr>
          <w:sz w:val="20"/>
          <w:szCs w:val="20"/>
          <w:color w:val="auto"/>
        </w:rPr>
      </w:pPr>
    </w:p>
    <w:p>
      <w:pPr>
        <w:jc w:val="both"/>
        <w:ind w:left="200" w:right="280"/>
        <w:spacing w:after="0" w:line="264" w:lineRule="auto"/>
        <w:rPr>
          <w:sz w:val="20"/>
          <w:szCs w:val="20"/>
          <w:color w:val="auto"/>
        </w:rPr>
      </w:pPr>
      <w:r>
        <w:rPr>
          <w:rFonts w:ascii="Arial" w:cs="Arial" w:eastAsia="Arial" w:hAnsi="Arial"/>
          <w:sz w:val="18"/>
          <w:szCs w:val="18"/>
          <w:color w:val="auto"/>
        </w:rPr>
        <w:t>The Company implemented its SKU Rationalization initiative to improve the productivity of its inventory and simplify its U.S. business. During the three months ended June 30, 2019, the Company recorded an $8.5 million charge to cost of sales associated with the SKU Rationalization initiative, which negatively impacted loss from operations for the U.S. segment.</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6"/>
          </w:tcPr>
          <w:p>
            <w:pPr>
              <w:jc w:val="right"/>
              <w:ind w:right="660"/>
              <w:spacing w:after="0" w:line="142"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U.S.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123,092</w:t>
            </w:r>
          </w:p>
        </w:tc>
        <w:tc>
          <w:tcPr>
            <w:tcW w:w="16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$128,985</w:t>
            </w: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$250,130</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224,892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19,666</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42,332</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Total net sales</w:t>
            </w:r>
          </w:p>
        </w:tc>
        <w:tc>
          <w:tcPr>
            <w:tcW w:w="24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142,536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148,651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292,462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266,820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U.S.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(4,678)</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1,968</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Unallocated corporate expenses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(5,065)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(10,625)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(9,621)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(12,545)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(3,301)</w:t>
            </w:r>
          </w:p>
        </w:tc>
        <w:tc>
          <w:tcPr>
            <w:tcW w:w="104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(14,832)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(16,617)</w:t>
            </w: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3"/>
            <w:vMerge w:val="continue"/>
          </w:tcPr>
          <w:p>
            <w:pPr>
              <w:spacing w:after="0"/>
              <w:rPr>
                <w:sz w:val="18"/>
                <w:szCs w:val="18"/>
                <w:color w:val="auto"/>
              </w:rPr>
            </w:pP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1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depreciation and amortization</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1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12,649</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June 30,</w:t>
            </w:r>
          </w:p>
        </w:tc>
        <w:tc>
          <w:tcPr>
            <w:tcW w:w="1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6"/>
          </w:tcPr>
          <w:p>
            <w:pPr>
              <w:jc w:val="right"/>
              <w:ind w:right="600"/>
              <w:spacing w:after="0" w:line="142"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U.S.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$684,229</w:t>
            </w:r>
          </w:p>
        </w:tc>
        <w:tc>
          <w:tcPr>
            <w:tcW w:w="1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604,532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117,295</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94,210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Unallocated corporate</w:t>
            </w:r>
          </w:p>
        </w:tc>
        <w:tc>
          <w:tcPr>
            <w:tcW w:w="2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21,177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9,830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822,701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708,572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60" w:type="dxa"/>
            <w:vAlign w:val="bottom"/>
            <w:vMerge w:val="restart"/>
          </w:tcPr>
          <w:p>
            <w:pPr>
              <w:jc w:val="right"/>
              <w:ind w:right="1010"/>
              <w:spacing w:after="0"/>
              <w:rPr>
                <w:sz w:val="20"/>
                <w:szCs w:val="20"/>
                <w:color w:val="auto"/>
              </w:rPr>
            </w:pPr>
            <w:r>
              <w:rPr>
                <w:rFonts w:ascii="Arial" w:cs="Arial" w:eastAsia="Arial" w:hAnsi="Arial"/>
                <w:sz w:val="18"/>
                <w:szCs w:val="18"/>
                <w:color w:val="auto"/>
              </w:rPr>
              <w:t>- 24 -</w:t>
            </w: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June 30, 2019</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M </w:t>
      </w:r>
      <w:r>
        <w:rPr>
          <w:rFonts w:ascii="Arial" w:cs="Arial" w:eastAsia="Arial" w:hAnsi="Arial"/>
          <w:sz w:val="18"/>
          <w:szCs w:val="18"/>
          <w:color w:val="auto"/>
        </w:rPr>
        <w:t>—</w:t>
      </w:r>
      <w:r>
        <w:rPr>
          <w:rFonts w:ascii="Arial" w:cs="Arial" w:eastAsia="Arial" w:hAnsi="Arial"/>
          <w:sz w:val="18"/>
          <w:szCs w:val="18"/>
          <w:b w:val="1"/>
          <w:bCs w:val="1"/>
          <w:color w:val="auto"/>
        </w:rPr>
        <w:t xml:space="preserve"> CONTINGENCIES</w:t>
      </w:r>
    </w:p>
    <w:p>
      <w:pPr>
        <w:spacing w:after="0" w:line="121" w:lineRule="exact"/>
        <w:rPr>
          <w:sz w:val="20"/>
          <w:szCs w:val="20"/>
          <w:color w:val="auto"/>
        </w:rPr>
      </w:pPr>
    </w:p>
    <w:p>
      <w:pPr>
        <w:ind w:left="200" w:right="28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w:t>
      </w:r>
    </w:p>
    <w:p>
      <w:pPr>
        <w:spacing w:after="0" w:line="187"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w:t>
      </w:r>
      <w:r>
        <w:rPr>
          <w:rFonts w:ascii="Arial" w:cs="Arial" w:eastAsia="Arial" w:hAnsi="Arial"/>
          <w:sz w:val="17"/>
          <w:szCs w:val="17"/>
          <w:i w:val="1"/>
          <w:iCs w:val="1"/>
          <w:color w:val="auto"/>
        </w:rPr>
        <w:t>in-situ</w:t>
      </w:r>
      <w:r>
        <w:rPr>
          <w:rFonts w:ascii="Arial" w:cs="Arial" w:eastAsia="Arial" w:hAnsi="Arial"/>
          <w:sz w:val="17"/>
          <w:szCs w:val="17"/>
          <w:color w:val="auto"/>
        </w:rPr>
        <w:t xml:space="preserve"> treatment. This selected remedy includes soil vapor extraction (“SVE”) to address soil (vadose zone) source areas at the Site, impermeable cover as necessary for the implementation of SVE, dual phase extraction in the shallow saprolite zone, and </w:t>
      </w:r>
      <w:r>
        <w:rPr>
          <w:rFonts w:ascii="Arial" w:cs="Arial" w:eastAsia="Arial" w:hAnsi="Arial"/>
          <w:sz w:val="17"/>
          <w:szCs w:val="17"/>
          <w:i w:val="1"/>
          <w:iCs w:val="1"/>
          <w:color w:val="auto"/>
        </w:rPr>
        <w:t>in-situ</w:t>
      </w:r>
      <w:r>
        <w:rPr>
          <w:rFonts w:ascii="Arial" w:cs="Arial" w:eastAsia="Arial" w:hAnsi="Arial"/>
          <w:sz w:val="17"/>
          <w:szCs w:val="17"/>
          <w:color w:val="auto"/>
        </w:rPr>
        <w:t xml:space="preserve"> treatment as needed to address residual sources. The EPA’s estimated capital cost for its selected remedy is $7.3 million. In February 2017, the EPA indicated that it planned to expand its field investigation for the RI/FS to a second operable unit to further determine the nature and extent of the groundwater damage at and from the Site and to determine the nature of the remedial action needed. The EPA requested access to the property occupied by WSPR to install monitoring wells and to undertake groundwater sampling as part of this expanded investigation. WSPR consented to the EPA’s access request, subject to PRIDCO’s consent, as the property owner.</w:t>
      </w:r>
    </w:p>
    <w:p>
      <w:pPr>
        <w:spacing w:after="0" w:line="182"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The tolling agreements do not constitute in any way an admission or acknowledgment of any fact, conclusion of law or liability by the parties to the agreements.</w:t>
      </w:r>
    </w:p>
    <w:p>
      <w:pPr>
        <w:spacing w:after="0" w:line="187"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On July 19, 2019, WSPR’s counsel received an email from the US Department of Justice attorney representing the EPA with respect to the Site providing, as a courtesy, information relating to a public meeting to be held on July 30, 2019, in San German concerning the EPA’s proposed plan for a second operable unit. The EPA is accepting public comments on the proposed remedy, which is estimated to cost $17.3 million and includes in situ treatment and monitored nature attenuation of groundwater. The public comment period lasts for 30 days and ends on August 11, 2019. However, any member of the public can request a mandatory 30 day extension.</w:t>
      </w:r>
    </w:p>
    <w:p>
      <w:pPr>
        <w:spacing w:after="0" w:line="18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WSPR never used the primary constituents of concern and did not take up its tenancy at the Site until after EPA had discovered the damage to the local water supply. EPA has also issued notices of potential liability to numerous other entities affiliated with the Site, which used the constituents of concern. Accordingly, based on the above uncertainties and variables, it is not possible at this time for the Company to estimate its share of liability, if any, related to this matter. However, in the event of one or more definitive claims because of property damage asserted against the Company and adverse determinations related to this matter, it is possible that the ultimate liability resulting from this matter and the impact on the Company’s results of operations could be material.</w:t>
      </w:r>
    </w:p>
    <w:p>
      <w:pPr>
        <w:spacing w:after="0" w:line="193"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June 30, 2019</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N </w:t>
      </w:r>
      <w:r>
        <w:rPr>
          <w:rFonts w:ascii="Arial" w:cs="Arial" w:eastAsia="Arial" w:hAnsi="Arial"/>
          <w:sz w:val="18"/>
          <w:szCs w:val="18"/>
          <w:color w:val="auto"/>
        </w:rPr>
        <w:t>—</w:t>
      </w:r>
      <w:r>
        <w:rPr>
          <w:rFonts w:ascii="Arial" w:cs="Arial" w:eastAsia="Arial" w:hAnsi="Arial"/>
          <w:sz w:val="18"/>
          <w:szCs w:val="18"/>
          <w:b w:val="1"/>
          <w:bCs w:val="1"/>
          <w:color w:val="auto"/>
        </w:rPr>
        <w:t xml:space="preserve"> OTHER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dividends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Dividends declared in the six months ended June 30, 2019 were as follows: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Dividend per share</w:t>
            </w:r>
          </w:p>
        </w:tc>
        <w:tc>
          <w:tcPr>
            <w:tcW w:w="400" w:type="dxa"/>
            <w:vAlign w:val="bottom"/>
          </w:tcPr>
          <w:p>
            <w:pPr>
              <w:spacing w:after="0"/>
              <w:rPr>
                <w:sz w:val="16"/>
                <w:szCs w:val="16"/>
                <w:color w:val="auto"/>
              </w:rPr>
            </w:pPr>
          </w:p>
        </w:tc>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Date of record</w:t>
            </w:r>
          </w:p>
        </w:tc>
        <w:tc>
          <w:tcPr>
            <w:tcW w:w="2280" w:type="dxa"/>
            <w:vAlign w:val="bottom"/>
          </w:tcPr>
          <w:p>
            <w:pPr>
              <w:spacing w:after="0"/>
              <w:rPr>
                <w:sz w:val="20"/>
                <w:szCs w:val="20"/>
                <w:color w:val="auto"/>
              </w:rPr>
            </w:pPr>
            <w:r>
              <w:rPr>
                <w:rFonts w:ascii="Arial" w:cs="Arial" w:eastAsia="Arial" w:hAnsi="Arial"/>
                <w:sz w:val="14"/>
                <w:szCs w:val="14"/>
                <w:b w:val="1"/>
                <w:bCs w:val="1"/>
                <w:color w:val="auto"/>
              </w:rPr>
              <w:t>Payment date</w:t>
            </w:r>
          </w:p>
        </w:tc>
      </w:tr>
      <w:tr>
        <w:trPr>
          <w:trHeight w:val="203"/>
        </w:trPr>
        <w:tc>
          <w:tcPr>
            <w:tcW w:w="11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$0.0425</w:t>
            </w:r>
          </w:p>
        </w:tc>
        <w:tc>
          <w:tcPr>
            <w:tcW w:w="4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March 12, 2019</w:t>
            </w:r>
          </w:p>
        </w:tc>
        <w:tc>
          <w:tcPr>
            <w:tcW w:w="42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May 1, 2019</w:t>
            </w:r>
          </w:p>
        </w:tc>
        <w:tc>
          <w:tcPr>
            <w:tcW w:w="44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May 15, 2019</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$0.0425</w:t>
            </w:r>
          </w:p>
        </w:tc>
        <w:tc>
          <w:tcPr>
            <w:tcW w:w="40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June 27, 2019</w:t>
            </w:r>
          </w:p>
        </w:tc>
        <w:tc>
          <w:tcPr>
            <w:tcW w:w="2700" w:type="dxa"/>
            <w:vAlign w:val="bottom"/>
            <w:gridSpan w:val="2"/>
          </w:tcPr>
          <w:p>
            <w:pPr>
              <w:spacing w:after="0"/>
              <w:rPr>
                <w:sz w:val="20"/>
                <w:szCs w:val="20"/>
                <w:color w:val="auto"/>
              </w:rPr>
            </w:pPr>
            <w:r>
              <w:rPr>
                <w:rFonts w:ascii="Arial" w:cs="Arial" w:eastAsia="Arial" w:hAnsi="Arial"/>
                <w:sz w:val="18"/>
                <w:szCs w:val="18"/>
                <w:color w:val="auto"/>
              </w:rPr>
              <w:t>August 1, 2019</w:t>
            </w:r>
          </w:p>
        </w:tc>
        <w:tc>
          <w:tcPr>
            <w:tcW w:w="2280" w:type="dxa"/>
            <w:vAlign w:val="bottom"/>
          </w:tcPr>
          <w:p>
            <w:pPr>
              <w:spacing w:after="0"/>
              <w:rPr>
                <w:sz w:val="20"/>
                <w:szCs w:val="20"/>
                <w:color w:val="auto"/>
              </w:rPr>
            </w:pPr>
            <w:r>
              <w:rPr>
                <w:rFonts w:ascii="Arial" w:cs="Arial" w:eastAsia="Arial" w:hAnsi="Arial"/>
                <w:sz w:val="18"/>
                <w:szCs w:val="18"/>
                <w:color w:val="auto"/>
              </w:rPr>
              <w:t>August 15, 2019</w:t>
            </w:r>
          </w:p>
        </w:tc>
      </w:tr>
    </w:tbl>
    <w:p>
      <w:pPr>
        <w:spacing w:after="0" w:line="18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On February 15, 2019 and May 15, 2019, the Company paid dividends of $0.9 million and $0.9 million to shareholders of record on February 1, 2019 and May 1, 2019, respectively. In the six months ended June 30, 2019, the Company reduced retained earnings for the accrual of $0.9 million relating to the dividend payable on August 15, 2019.</w:t>
      </w:r>
    </w:p>
    <w:p>
      <w:pPr>
        <w:spacing w:after="0" w:line="18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On August 6, 2019, the Board of Directors declared a quarterly dividend of $0.0425 per share payable on November 15, 2019 to shareholders of record on November 1,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Supplemental cash flow information</w:t>
      </w:r>
    </w:p>
    <w:p>
      <w:pPr>
        <w:spacing w:after="0" w:line="248"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Six Months Ended</w:t>
      </w:r>
    </w:p>
    <w:p>
      <w:pPr>
        <w:jc w:val="center"/>
        <w:ind w:left="66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80" w:type="dxa"/>
            <w:vAlign w:val="bottom"/>
            <w:gridSpan w:val="2"/>
          </w:tcPr>
          <w:p>
            <w:pPr>
              <w:jc w:val="right"/>
              <w:ind w:right="254"/>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Supplemental disclosure of cash flow information:</w:t>
            </w:r>
          </w:p>
        </w:tc>
        <w:tc>
          <w:tcPr>
            <w:tcW w:w="2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3640" w:type="dxa"/>
            <w:vAlign w:val="bottom"/>
            <w:gridSpan w:val="2"/>
          </w:tcPr>
          <w:p>
            <w:pPr>
              <w:jc w:val="right"/>
              <w:ind w:right="128"/>
              <w:spacing w:after="0"/>
              <w:rPr>
                <w:sz w:val="20"/>
                <w:szCs w:val="20"/>
                <w:color w:val="auto"/>
              </w:rPr>
            </w:pPr>
            <w:r>
              <w:rPr>
                <w:rFonts w:ascii="Arial" w:cs="Arial" w:eastAsia="Arial" w:hAnsi="Arial"/>
                <w:sz w:val="18"/>
                <w:szCs w:val="18"/>
                <w:color w:val="auto"/>
              </w:rPr>
              <w:t>$ 9,066</w:t>
            </w:r>
          </w:p>
        </w:tc>
        <w:tc>
          <w:tcPr>
            <w:tcW w:w="720" w:type="dxa"/>
            <w:vAlign w:val="bottom"/>
          </w:tcPr>
          <w:p>
            <w:pPr>
              <w:jc w:val="right"/>
              <w:spacing w:after="0"/>
              <w:rPr>
                <w:sz w:val="20"/>
                <w:szCs w:val="20"/>
                <w:color w:val="auto"/>
              </w:rPr>
            </w:pPr>
            <w:r>
              <w:rPr>
                <w:rFonts w:ascii="Arial" w:cs="Arial" w:eastAsia="Arial" w:hAnsi="Arial"/>
                <w:sz w:val="18"/>
                <w:szCs w:val="18"/>
                <w:color w:val="auto"/>
              </w:rPr>
              <w:t>$ 5,614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36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993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Non-cash investing activities:</w:t>
            </w:r>
          </w:p>
        </w:tc>
        <w:tc>
          <w:tcPr>
            <w:tcW w:w="2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Translation loss adjustment</w:t>
            </w:r>
          </w:p>
        </w:tc>
        <w:tc>
          <w:tcPr>
            <w:tcW w:w="36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$(1,647)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$(2,109)</w:t>
            </w:r>
          </w:p>
        </w:tc>
      </w:tr>
      <w:tr>
        <w:trPr>
          <w:trHeight w:val="36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880" w:type="dxa"/>
            <w:vAlign w:val="bottom"/>
          </w:tcPr>
          <w:p>
            <w:pPr>
              <w:jc w:val="right"/>
              <w:ind w:right="2330"/>
              <w:spacing w:after="0"/>
              <w:rPr>
                <w:sz w:val="20"/>
                <w:szCs w:val="20"/>
                <w:color w:val="auto"/>
              </w:rPr>
            </w:pPr>
            <w:r>
              <w:rPr>
                <w:rFonts w:ascii="Arial" w:cs="Arial" w:eastAsia="Arial" w:hAnsi="Arial"/>
                <w:sz w:val="18"/>
                <w:szCs w:val="18"/>
                <w:color w:val="auto"/>
              </w:rPr>
              <w:t>- 26 -</w:t>
            </w: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June 30, 2019</w:t>
      </w:r>
    </w:p>
    <w:p>
      <w:pPr>
        <w:spacing w:after="0" w:line="10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accumulated other comprehensive loss, net</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tcPr>
          <w:p>
            <w:pPr>
              <w:jc w:val="right"/>
              <w:ind w:right="60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translation adjustment: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(32,421)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(24,441)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(33,727)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(27,821)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Translation loss during period</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(35,374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(29,930</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(35,374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(29,930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deferred gains (losses) on cash flow hedges: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loss: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Settlement of cash flow hedge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unrealized gains (losses)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w w:val="97"/>
              </w:rPr>
              <w:t>Net change in cash flow hedges, net of taxes of $306, $88, $495, and $88</w:t>
            </w: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Accumulated effect of retirement benefit obligations:</w:t>
            </w: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 xml:space="preserve">Amounts reclassified from accumulated other comprehensive loss: </w:t>
            </w:r>
            <w:r>
              <w:rPr>
                <w:rFonts w:ascii="Arial" w:cs="Arial" w:eastAsia="Arial" w:hAnsi="Arial"/>
                <w:sz w:val="15"/>
                <w:szCs w:val="15"/>
                <w:color w:val="auto"/>
              </w:rPr>
              <w:t>(1)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actuarial losses, net of taxes</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4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loss at end of period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(34,660)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(31,676)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(34,660)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(31,676)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hanging="43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are recorded in selling, general and administrative expense on the condensed consolidated statements of operations.</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780"/>
          </w:cols>
          <w:pgMar w:left="240" w:top="459" w:right="8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200" w:right="60"/>
        <w:spacing w:after="0" w:line="285" w:lineRule="auto"/>
        <w:rPr>
          <w:sz w:val="20"/>
          <w:szCs w:val="20"/>
          <w:color w:val="auto"/>
        </w:rPr>
      </w:pPr>
      <w:r>
        <w:rPr>
          <w:rFonts w:ascii="Arial" w:cs="Arial" w:eastAsia="Arial" w:hAnsi="Arial"/>
          <w:sz w:val="16"/>
          <w:szCs w:val="16"/>
          <w:color w:val="auto"/>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When used in this Quarterly Report on Form</w:t>
      </w:r>
    </w:p>
    <w:p>
      <w:pPr>
        <w:spacing w:after="0" w:line="2"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10-Q, the words “estimates,” “expects,” “anticipates,” “projects,” “plans,” “intends,” “believes,” “may,” “should,” “assumes,” “seeks,”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191"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 xml:space="preserve">There are a number of risks and uncertainties that could cause the Company’s actual results to differ materially from the forward-looking statements contained in this Quarterly Report. Important factors that could cause the Company’s actual results to differ materially from those expressed as forward-looking statements are set forth in the Company’s 2018 Annual Report on Form 10-K in Part I, Item 1A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Such risks, uncertainties and other important factors include, among others, risks related to:</w:t>
      </w:r>
    </w:p>
    <w:p>
      <w:pPr>
        <w:spacing w:after="0" w:line="92" w:lineRule="exact"/>
        <w:rPr>
          <w:sz w:val="20"/>
          <w:szCs w:val="20"/>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factors and political conditions;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Exit of the United Kingdom from the European Union;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Tariffs;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Indebtedness and compliance with credit agreements;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Liquidity;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 integration;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practices;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Intellectual property, brands and licenses;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International operations;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Supply chain;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exchange rates;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International trade and transportation;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liability;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 keeping unit rationalization (“SKU Rationalization”) initiative;</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Personnel;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fluctuations;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interruptions;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 costs;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Governance;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Acquisitions and investments.</w:t>
      </w:r>
    </w:p>
    <w:p>
      <w:pPr>
        <w:spacing w:after="0" w:line="225"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cutting boards, shears, kitchen scales, thermometers, timers, cookware, pantryware, spice racks, wine accessories, and bakeware) and Tableware (dinnerware, stemware, flatware, wire organization, and giftware); and one category, Home Solutions, which comprises other products used in the home (thermal beverageware, food storage, neoprene travel products, bath scales, weather instruments, and home décor). In 2018, Kitchenware products and Tableware products accounted for approximately 82% of the Company’s U.S. segment’s net sales and 84% of the Company’s consolidated net sales.</w:t>
      </w:r>
    </w:p>
    <w:p>
      <w:pPr>
        <w:spacing w:after="0" w:line="165"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On March 2, 2018, the Company completed the acquisition of Taylor Holdco LLC and its subsidiaries (doing business as Filament Brands) (“Filament”). Filament primarily designs, markets and distributes consumer and food service precision measurement products, including kitchen scales, thermometers and timers, bath scales, wine accessories, kitchen tools, hydration products, and select outdoor products. The six months ended June 30, 2018 include the operations of Filament for the period from March 2, 2018 to June 30, 2018.</w:t>
      </w:r>
    </w:p>
    <w:p>
      <w:pPr>
        <w:spacing w:after="0" w:line="18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Arial" w:cs="Arial" w:eastAsia="Arial" w:hAnsi="Arial"/>
          <w:sz w:val="14"/>
          <w:szCs w:val="14"/>
          <w:color w:val="auto"/>
        </w:rPr>
        <w:t>®</w:t>
      </w:r>
      <w:r>
        <w:rPr>
          <w:rFonts w:ascii="Arial" w:cs="Arial" w:eastAsia="Arial" w:hAnsi="Arial"/>
          <w:sz w:val="17"/>
          <w:szCs w:val="17"/>
          <w:color w:val="auto"/>
        </w:rPr>
        <w:t>, Mikasa</w:t>
      </w:r>
      <w:r>
        <w:rPr>
          <w:rFonts w:ascii="Arial" w:cs="Arial" w:eastAsia="Arial" w:hAnsi="Arial"/>
          <w:sz w:val="14"/>
          <w:szCs w:val="14"/>
          <w:color w:val="auto"/>
        </w:rPr>
        <w:t>®</w:t>
      </w:r>
      <w:r>
        <w:rPr>
          <w:rFonts w:ascii="Arial" w:cs="Arial" w:eastAsia="Arial" w:hAnsi="Arial"/>
          <w:sz w:val="17"/>
          <w:szCs w:val="17"/>
          <w:color w:val="auto"/>
        </w:rPr>
        <w:t>, Taylor</w:t>
      </w:r>
      <w:r>
        <w:rPr>
          <w:rFonts w:ascii="Arial" w:cs="Arial" w:eastAsia="Arial" w:hAnsi="Arial"/>
          <w:sz w:val="14"/>
          <w:szCs w:val="14"/>
          <w:color w:val="auto"/>
        </w:rPr>
        <w:t>®</w:t>
      </w:r>
      <w:r>
        <w:rPr>
          <w:rFonts w:ascii="Arial" w:cs="Arial" w:eastAsia="Arial" w:hAnsi="Arial"/>
          <w:sz w:val="17"/>
          <w:szCs w:val="17"/>
          <w:color w:val="auto"/>
        </w:rPr>
        <w:t>, KitchenAid</w:t>
      </w:r>
      <w:r>
        <w:rPr>
          <w:rFonts w:ascii="Arial" w:cs="Arial" w:eastAsia="Arial" w:hAnsi="Arial"/>
          <w:sz w:val="14"/>
          <w:szCs w:val="14"/>
          <w:color w:val="auto"/>
        </w:rPr>
        <w:t>®</w:t>
      </w:r>
      <w:r>
        <w:rPr>
          <w:rFonts w:ascii="Arial" w:cs="Arial" w:eastAsia="Arial" w:hAnsi="Arial"/>
          <w:sz w:val="17"/>
          <w:szCs w:val="17"/>
          <w:color w:val="auto"/>
        </w:rPr>
        <w:t>, Pfaltzgraff</w:t>
      </w:r>
      <w:r>
        <w:rPr>
          <w:rFonts w:ascii="Arial" w:cs="Arial" w:eastAsia="Arial" w:hAnsi="Arial"/>
          <w:sz w:val="14"/>
          <w:szCs w:val="14"/>
          <w:color w:val="auto"/>
        </w:rPr>
        <w:t>®</w:t>
      </w:r>
      <w:r>
        <w:rPr>
          <w:rFonts w:ascii="Arial" w:cs="Arial" w:eastAsia="Arial" w:hAnsi="Arial"/>
          <w:sz w:val="17"/>
          <w:szCs w:val="17"/>
          <w:color w:val="auto"/>
        </w:rPr>
        <w:t>, KitchenCraft</w:t>
      </w:r>
      <w:r>
        <w:rPr>
          <w:rFonts w:ascii="Arial" w:cs="Arial" w:eastAsia="Arial" w:hAnsi="Arial"/>
          <w:sz w:val="14"/>
          <w:szCs w:val="14"/>
          <w:color w:val="auto"/>
        </w:rPr>
        <w:t>®</w:t>
      </w:r>
      <w:r>
        <w:rPr>
          <w:rFonts w:ascii="Arial" w:cs="Arial" w:eastAsia="Arial" w:hAnsi="Arial"/>
          <w:sz w:val="17"/>
          <w:szCs w:val="17"/>
          <w:color w:val="auto"/>
        </w:rPr>
        <w:t>, Fitz and Floyd</w:t>
      </w:r>
      <w:r>
        <w:rPr>
          <w:rFonts w:ascii="Arial" w:cs="Arial" w:eastAsia="Arial" w:hAnsi="Arial"/>
          <w:sz w:val="14"/>
          <w:szCs w:val="14"/>
          <w:color w:val="auto"/>
        </w:rPr>
        <w:t>®</w:t>
      </w:r>
      <w:r>
        <w:rPr>
          <w:rFonts w:ascii="Arial" w:cs="Arial" w:eastAsia="Arial" w:hAnsi="Arial"/>
          <w:sz w:val="17"/>
          <w:szCs w:val="17"/>
          <w:color w:val="auto"/>
        </w:rPr>
        <w:t>, Sabatier</w:t>
      </w:r>
      <w:r>
        <w:rPr>
          <w:rFonts w:ascii="Arial" w:cs="Arial" w:eastAsia="Arial" w:hAnsi="Arial"/>
          <w:sz w:val="14"/>
          <w:szCs w:val="14"/>
          <w:color w:val="auto"/>
        </w:rPr>
        <w:t>®</w:t>
      </w:r>
      <w:r>
        <w:rPr>
          <w:rFonts w:ascii="Arial" w:cs="Arial" w:eastAsia="Arial" w:hAnsi="Arial"/>
          <w:sz w:val="17"/>
          <w:szCs w:val="17"/>
          <w:color w:val="auto"/>
        </w:rPr>
        <w:t>, Kamenstein</w:t>
      </w:r>
      <w:r>
        <w:rPr>
          <w:rFonts w:ascii="Arial" w:cs="Arial" w:eastAsia="Arial" w:hAnsi="Arial"/>
          <w:sz w:val="14"/>
          <w:szCs w:val="14"/>
          <w:color w:val="auto"/>
        </w:rPr>
        <w:t>®</w:t>
      </w:r>
      <w:r>
        <w:rPr>
          <w:rFonts w:ascii="Arial" w:cs="Arial" w:eastAsia="Arial" w:hAnsi="Arial"/>
          <w:sz w:val="17"/>
          <w:szCs w:val="17"/>
          <w:color w:val="auto"/>
        </w:rPr>
        <w:t>, Built NY</w:t>
      </w:r>
      <w:r>
        <w:rPr>
          <w:rFonts w:ascii="Arial" w:cs="Arial" w:eastAsia="Arial" w:hAnsi="Arial"/>
          <w:sz w:val="14"/>
          <w:szCs w:val="14"/>
          <w:color w:val="auto"/>
        </w:rPr>
        <w:t>®</w:t>
      </w:r>
      <w:r>
        <w:rPr>
          <w:rFonts w:ascii="Arial" w:cs="Arial" w:eastAsia="Arial" w:hAnsi="Arial"/>
          <w:sz w:val="17"/>
          <w:szCs w:val="17"/>
          <w:color w:val="auto"/>
        </w:rPr>
        <w:t>, MasterClass</w:t>
      </w:r>
      <w:r>
        <w:rPr>
          <w:rFonts w:ascii="Arial" w:cs="Arial" w:eastAsia="Arial" w:hAnsi="Arial"/>
          <w:sz w:val="14"/>
          <w:szCs w:val="14"/>
          <w:color w:val="auto"/>
        </w:rPr>
        <w:t>®</w:t>
      </w:r>
      <w:r>
        <w:rPr>
          <w:rFonts w:ascii="Arial" w:cs="Arial" w:eastAsia="Arial" w:hAnsi="Arial"/>
          <w:sz w:val="17"/>
          <w:szCs w:val="17"/>
          <w:color w:val="auto"/>
        </w:rPr>
        <w:t>, Fred</w:t>
      </w:r>
      <w:r>
        <w:rPr>
          <w:rFonts w:ascii="Arial" w:cs="Arial" w:eastAsia="Arial" w:hAnsi="Arial"/>
          <w:sz w:val="14"/>
          <w:szCs w:val="14"/>
          <w:color w:val="auto"/>
        </w:rPr>
        <w:t>®</w:t>
      </w:r>
      <w:r>
        <w:rPr>
          <w:rFonts w:ascii="Arial" w:cs="Arial" w:eastAsia="Arial" w:hAnsi="Arial"/>
          <w:sz w:val="17"/>
          <w:szCs w:val="17"/>
          <w:color w:val="auto"/>
        </w:rPr>
        <w:t>, Rabbit</w:t>
      </w:r>
      <w:r>
        <w:rPr>
          <w:rFonts w:ascii="Arial" w:cs="Arial" w:eastAsia="Arial" w:hAnsi="Arial"/>
          <w:sz w:val="14"/>
          <w:szCs w:val="14"/>
          <w:color w:val="auto"/>
        </w:rPr>
        <w:t>®</w:t>
      </w:r>
      <w:r>
        <w:rPr>
          <w:rFonts w:ascii="Arial" w:cs="Arial" w:eastAsia="Arial" w:hAnsi="Arial"/>
          <w:sz w:val="17"/>
          <w:szCs w:val="17"/>
          <w:color w:val="auto"/>
        </w:rPr>
        <w:t xml:space="preserve"> and LaCafetière</w:t>
      </w:r>
      <w:r>
        <w:rPr>
          <w:rFonts w:ascii="Arial" w:cs="Arial" w:eastAsia="Arial" w:hAnsi="Arial"/>
          <w:sz w:val="14"/>
          <w:szCs w:val="14"/>
          <w:color w:val="auto"/>
        </w:rPr>
        <w:t>®</w:t>
      </w:r>
      <w:r>
        <w:rPr>
          <w:rFonts w:ascii="Arial" w:cs="Arial" w:eastAsia="Arial" w:hAnsi="Arial"/>
          <w:sz w:val="17"/>
          <w:szCs w:val="17"/>
          <w:color w:val="auto"/>
        </w:rPr>
        <w:t>.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Effective October 1, 2018, the Company operates in two reportable segments: U.S. and International. The U.S. segment is the Company’s primary domestic business that designs, markets and distributes its products to retailers and distributors, as well as directly to consumers through third party and its own internet websites. The International segment consists of certain business operations conducted outside the U.S. The Company has segmented its operations to reflect the manner in which management reviews and evaluates its results of operations.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Company owns approximately 30%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w:t>
      </w:r>
    </w:p>
    <w:p>
      <w:pPr>
        <w:spacing w:after="0" w:line="181"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The Company accounts for its investment in Vasconia using the equity method of accounting and has recorded its proportionate share of Vasconia’s results of operations as equity in earnings or losses in the Company’s condensed consolidated statements of operations. Pursuant to a Shares Subscription Agreement, the Company may designate four persons to be nominated as members of Vasconia’s Board of Directors. As of June 30, 2019, Vasconia’s Board of Directors is comprised of twelve members of whom the Company has designated three members.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Company’s business and working capital needs are highly seasonal, with a majority of sales occurring in the third and fourth quarters. In 2018 and 2017, net sales for the third and fourth quarters accounted for 62% and 60% of total annual net sales, respectively. In anticipation of the pre-holiday shipping season, inventory levels increase primarily in the June through October time period. Consistent with the seasonality of the Company’s net sales and inventory levels, the Company also experiences seasonality in its inventory turnover and turnover days from one quarter to the next.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In connection with the Company’s March 2018 acquisition of Filament, the Company commenced a restructuring plan to integrate the operations of Filament with the Company’s operations and realize the savings expected from the synergies of the acquisition. During the three and six months ended June 30, 2019, the Company incurred $0.1 million and $0.4 million, respectively, of Filament restructuring charges, primarily related to severance, of which $0.1 million was accrued at June 30, 2019. During the three and six months ended June 30, 2018, the Company incurred $0.4 million and $0.8 million, respectively, of Filament restructuring charges, primarily related to severance, of which $0.4 million was accrued at June 30, 2018.</w:t>
      </w:r>
    </w:p>
    <w:p>
      <w:pPr>
        <w:spacing w:after="0" w:line="158"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During the three and six months ended June 30, 2019, the Company incurred $0.1 million and $0.4 million of restructuring expense, primarily related to severance, for the integration of its legal entities operating in Europe. In 2018, the Company finalized its integration plans for its European operations and took further steps to consolidate its operations. The Company will combine its physical locations in the U.K. in 2019 and expects to incur approximately $1.1 million of additional restructuring and integration charges in 2019. At June 30, 2019, $0.6 million of restructuring charges related to the European restructuring plan were accrued.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 xml:space="preserve">The following is an update to the corresponding critical accounting policies and estimates set forth in the Company’s 2018 Annual Report on Form 10-K. Except as modified below, there have been no material changes to the Company’s critical accounting policies and estimates discussed in the 2018 Annual Report on Form 10-K in Item 7 under the heading </w:t>
      </w:r>
      <w:r>
        <w:rPr>
          <w:rFonts w:ascii="Arial" w:cs="Arial" w:eastAsia="Arial" w:hAnsi="Arial"/>
          <w:sz w:val="18"/>
          <w:szCs w:val="18"/>
          <w:i w:val="1"/>
          <w:iCs w:val="1"/>
          <w:color w:val="auto"/>
        </w:rPr>
        <w:t>Management’s Discussion and Analysis of Financial Condition and Results of Operations –</w:t>
      </w:r>
      <w:r>
        <w:rPr>
          <w:rFonts w:ascii="Arial" w:cs="Arial" w:eastAsia="Arial" w:hAnsi="Arial"/>
          <w:sz w:val="18"/>
          <w:szCs w:val="18"/>
          <w:color w:val="auto"/>
        </w:rPr>
        <w:t xml:space="preserve"> </w:t>
      </w: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The Company implemented programs to improve the productivity of its inventory and simplify its U.S. business. In connection therewith, it initiated a SKU Rationalization initiative to identify inventory to discontinue from active status, consistent with the objectives of these programs. During the three months ended June 30, 2019, the Company recorded an $8.5 million charge to cost of sales associated with the SKU Rationalization initiative. The inventory affected represents approximately 8% of its consolidated inventory.</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180"/>
          </w:cols>
          <w:pgMar w:left="24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Company determines if an arrangement contains a lease at inception. Operating lease right-of-use (“ROU”) assets are included in operating lease right-of-use assets on the condensed consolidated balance sheets. The current and long-term components of operating lease liabilities are included in the current portion of the operating lease liability and operating lease liabilities, respectively, on the condensed consolidated balance sheets. Finance leases were not material to the Company’s condensed consolidated balance sheets.</w:t>
      </w:r>
    </w:p>
    <w:p>
      <w:pPr>
        <w:spacing w:after="0" w:line="187"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arising from the lease. Operating lease ROU assets and liabilities are recognized upon commencement of the lease based on the present value of the lease payments over the lease term. As most of the Company’s leases do not provide an implicit interest rate, the Company uses its incremental borrowing rate based on the information available at commencement date to determine the present value of lease payments. Lease terms may include options to extend or terminate the lease when it is reasonably certain that the Company will exercise that option. Lease expense for lease payments is recognized on a straight-line basis over the lease term. Leases with a lease term of 12 months or less are not capitalized.</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Company has lease agreements with lease and non-lease components, which are generally accounted for as a single lease component.</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statements of operations data of the Company as a percentage of net sales for the periods indicated:</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98"/>
              </w:rPr>
              <w:t>100.0%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Cost of sales</w:t>
            </w:r>
          </w:p>
        </w:tc>
        <w:tc>
          <w:tcPr>
            <w:tcW w:w="20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5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5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Distribution expenses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10.7</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Restructuring expenses</w:t>
            </w:r>
          </w:p>
        </w:tc>
        <w:tc>
          <w:tcPr>
            <w:tcW w:w="20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00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(8.8)</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Interest expense</w:t>
            </w:r>
          </w:p>
        </w:tc>
        <w:tc>
          <w:tcPr>
            <w:tcW w:w="2000" w:type="dxa"/>
            <w:vAlign w:val="bottom"/>
          </w:tcPr>
          <w:p>
            <w:pPr>
              <w:spacing w:after="0"/>
              <w:rPr>
                <w:sz w:val="18"/>
                <w:szCs w:val="18"/>
                <w:color w:val="auto"/>
              </w:rPr>
            </w:pPr>
          </w:p>
        </w:tc>
        <w:tc>
          <w:tcPr>
            <w:tcW w:w="1000" w:type="dxa"/>
            <w:vAlign w:val="bottom"/>
            <w:gridSpan w:val="2"/>
          </w:tcPr>
          <w:p>
            <w:pPr>
              <w:jc w:val="right"/>
              <w:ind w:right="388"/>
              <w:spacing w:after="0"/>
              <w:rPr>
                <w:sz w:val="20"/>
                <w:szCs w:val="20"/>
                <w:color w:val="auto"/>
              </w:rPr>
            </w:pPr>
            <w:r>
              <w:rPr>
                <w:rFonts w:ascii="Arial" w:cs="Arial" w:eastAsia="Arial" w:hAnsi="Arial"/>
                <w:sz w:val="18"/>
                <w:szCs w:val="18"/>
                <w:color w:val="auto"/>
              </w:rPr>
              <w:t>(3.3)</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7"/>
              </w:rPr>
              <w:t>Loss before income taxes and equity in (losses) earnings</w:t>
            </w:r>
          </w:p>
        </w:tc>
        <w:tc>
          <w:tcPr>
            <w:tcW w:w="2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(12.1)</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Income tax benefit</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earnings, net of taxes</w:t>
            </w:r>
          </w:p>
        </w:tc>
        <w:tc>
          <w:tcPr>
            <w:tcW w:w="20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0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gridSpan w:val="2"/>
            <w:vMerge w:val="continue"/>
          </w:tcPr>
          <w:p>
            <w:pPr>
              <w:spacing w:after="0"/>
              <w:rPr>
                <w:sz w:val="19"/>
                <w:szCs w:val="19"/>
                <w:color w:val="auto"/>
              </w:rPr>
            </w:pPr>
          </w:p>
        </w:tc>
        <w:tc>
          <w:tcPr>
            <w:tcW w:w="2000" w:type="dxa"/>
            <w:vAlign w:val="bottom"/>
            <w:vMerge w:val="continue"/>
          </w:tcPr>
          <w:p>
            <w:pPr>
              <w:spacing w:after="0"/>
              <w:rPr>
                <w:sz w:val="19"/>
                <w:szCs w:val="19"/>
                <w:color w:val="auto"/>
              </w:rPr>
            </w:pPr>
          </w:p>
        </w:tc>
        <w:tc>
          <w:tcPr>
            <w:tcW w:w="1000" w:type="dxa"/>
            <w:vAlign w:val="bottom"/>
            <w:gridSpan w:val="2"/>
          </w:tcPr>
          <w:p>
            <w:pPr>
              <w:jc w:val="right"/>
              <w:ind w:right="248"/>
              <w:spacing w:after="0"/>
              <w:rPr>
                <w:sz w:val="20"/>
                <w:szCs w:val="20"/>
                <w:color w:val="auto"/>
              </w:rPr>
            </w:pPr>
            <w:r>
              <w:rPr>
                <w:rFonts w:ascii="Arial" w:cs="Arial" w:eastAsia="Arial" w:hAnsi="Arial"/>
                <w:sz w:val="18"/>
                <w:szCs w:val="18"/>
                <w:color w:val="auto"/>
              </w:rPr>
              <w:t>(8.0)%</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00" w:type="dxa"/>
            <w:vAlign w:val="bottom"/>
            <w:vMerge w:val="restart"/>
          </w:tcPr>
          <w:p>
            <w:pPr>
              <w:jc w:val="right"/>
              <w:ind w:right="1130"/>
              <w:spacing w:after="0"/>
              <w:rPr>
                <w:sz w:val="20"/>
                <w:szCs w:val="20"/>
                <w:color w:val="auto"/>
              </w:rPr>
            </w:pPr>
            <w:r>
              <w:rPr>
                <w:rFonts w:ascii="Arial" w:cs="Arial" w:eastAsia="Arial" w:hAnsi="Arial"/>
                <w:sz w:val="18"/>
                <w:szCs w:val="18"/>
                <w:color w:val="auto"/>
              </w:rPr>
              <w:t>- 31 -</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1820"/>
        <w:spacing w:after="0" w:line="275" w:lineRule="auto"/>
        <w:rPr>
          <w:sz w:val="20"/>
          <w:szCs w:val="20"/>
          <w:color w:val="auto"/>
        </w:rPr>
      </w:pPr>
      <w:r>
        <w:rPr>
          <w:rFonts w:ascii="Arial" w:cs="Arial" w:eastAsia="Arial" w:hAnsi="Arial"/>
          <w:sz w:val="18"/>
          <w:szCs w:val="18"/>
          <w:b w:val="1"/>
          <w:bCs w:val="1"/>
          <w:color w:val="auto"/>
        </w:rPr>
        <w:t>MANAGEMENT’S DISCUSSION AND ANALYSIS THREE MONTHS ENDED JUNE 30, 2019 COMPARED TO THE THREE MONTHS ENDED JUNE 30, 2018</w:t>
      </w:r>
    </w:p>
    <w:p>
      <w:pPr>
        <w:spacing w:after="0" w:line="3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Consolidated net sales for the three months ended June 30, 2019 were $142.5 million, a decrease of $6.2 million, or 4.2%, as compared to net sales of $148.7 million for the corresponding period in 2018. In constant currency, a non-GAAP financial measure, which excludes the impact of foreign exchange fluctuations and was determined by applying 2019 average rates to 2018 local currency amounts, net sales decreased $5.0 million, or 3.4%, as compared to consolidated net sales in the corresponding period in 2018.</w:t>
      </w:r>
    </w:p>
    <w:p>
      <w:pPr>
        <w:spacing w:after="0" w:line="187"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Net sales for the U.S. segment for the three months ended June 30, 2019 were $123.1 million, a decrease of $5.9 million, or 4.6%, as compared to net sales of $129.0 million for the corresponding period in 2018.</w:t>
      </w:r>
    </w:p>
    <w:p>
      <w:pPr>
        <w:spacing w:after="0" w:line="17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Net sales for the U.S. segment’s Kitchenware product category were $65.6 million for the three months ended June 30, 2019, a decrease of $2.8 million, or 4.1%, as compared to $68.4 million for the corresponding period in 2018. The decrease was attributable to decreases for cutlery, bakeware, pantryware, partially offset by increases for tools and gadgets and Taylor branded kitchenware. The decrease was attributable to lower volume, including higher sales allowances, for certain brick and mortar retailers, partially offset by higher e-commerce sales.</w:t>
      </w:r>
    </w:p>
    <w:p>
      <w:pPr>
        <w:spacing w:after="0" w:line="17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Net sales for the U.S. segment’s Tableware product category were $28.8 million for the three months ended June 30, 2019, a decrease of $6.5 million, or 18.4%, as compared to $35.3 million for the corresponding period in 2018. The decrease was primarily attributable to certain retailer programs not repeating in 2019 and the expected timing of other programs. In addition, volume declines for certain brick and mortar retailers were partially offset by higher e-commerce sales.</w:t>
      </w:r>
    </w:p>
    <w:p>
      <w:pPr>
        <w:spacing w:after="0" w:line="187"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Net sales for the U.S. segment’s Home Solutions product category were $28.7 million for the three months ended June 30, 2019, an increase of $3.4 million, or 13.4%, as compared to $25.3 million for the corresponding period in 2018. The increase reflects increased volumes in the hydration products category.</w:t>
      </w:r>
    </w:p>
    <w:p>
      <w:pPr>
        <w:spacing w:after="0" w:line="18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Net sales for the International segment were $19.4 million for the three months ended June 30, 2019, which was consistent with net sales of $19.7 million for the corresponding period in 2018. In constant currency, which excludes the impact of foreign exchange fluctuations, net sales increased $0.9 million, or 4.6%, as compared to consolidated net sales in the corresponding period in 2018. The increase, in constant currency, is primarily due to an increase in sales to e-commerce retailers.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Gross margin for the three months ended June 30, 2019 was $44.0 million, or 30.9%, as compared to $52.1 million, or 35.0%, for the corresponding period in 2018.</w:t>
      </w:r>
    </w:p>
    <w:p>
      <w:pPr>
        <w:spacing w:after="0" w:line="17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Gross margin for the U.S. segment was $36.7 million, or 29.8%, for the three months ended June 30, 2019, as compared to $45.5 million, or 35.3%, for the corresponding period in 2018. The gross margin decrease reflects an $8.5 million charge for the SKU Rationalization initiative, offset by a $0.9 million non-recurring inventory step-up charge related to the acquisition of Filament in the 2018 period. Excluding the SKU Rationalization and step-up charges, gross margin would have been 36.7% and 36.0% in the 2019 and 2018 periods, respectively. The increase in margin is attributable to changes in customer and product mix.</w:t>
      </w:r>
    </w:p>
    <w:p>
      <w:pPr>
        <w:spacing w:after="0" w:line="188"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Gross margin for the International segment was $7.3 million, or 37.6%, for the three months ended June 30, 2019, as compared to $6.6 million, or 33.4%, for the corresponding period in 2018. The increase was primarily attributable to lower sales allowances, and the de-emphasis of lower margin private label tableware product lines.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Distribution expenses for the three months ended June 30, 2019 were $15.5 million, as compared to $14.9 million for the corresponding period in 2018. Distribution expenses as a percentage of net sales were 10.9% for the three months ended June 30, 2019, as compared to 10.1% for the three months ended June 30, 2018.</w:t>
      </w:r>
    </w:p>
    <w:p>
      <w:pPr>
        <w:spacing w:after="0" w:line="181"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color w:val="auto"/>
        </w:rPr>
        <w:t>Distribution expenses as a percentage of net sales for the U.S. segment were approximately 10.4% and 9.5% for the three months ended June 30, 2019 and 2018, respectively</w:t>
      </w:r>
      <w:r>
        <w:rPr>
          <w:rFonts w:ascii="Arial" w:cs="Arial" w:eastAsia="Arial" w:hAnsi="Arial"/>
          <w:sz w:val="16"/>
          <w:szCs w:val="16"/>
          <w:i w:val="1"/>
          <w:iCs w:val="1"/>
          <w:color w:val="auto"/>
        </w:rPr>
        <w:t>.</w:t>
      </w:r>
      <w:r>
        <w:rPr>
          <w:rFonts w:ascii="Arial" w:cs="Arial" w:eastAsia="Arial" w:hAnsi="Arial"/>
          <w:sz w:val="16"/>
          <w:szCs w:val="16"/>
          <w:color w:val="auto"/>
        </w:rPr>
        <w:t xml:space="preserve"> As a percentage of sales shipped from the Company’s warehouses, distribution expenses (excluding the moving and relocation costs for the U.S. segment) were 11.8% and 10.5% for the three months ended June 30, 2019 and 2018, respectively. The increase is primarily attributable to lower shipment volume, higher real estate taxes and an increase in freight expense on higher sales to prepaid freight customers.</w:t>
      </w:r>
    </w:p>
    <w:p>
      <w:pPr>
        <w:spacing w:after="0" w:line="154" w:lineRule="exact"/>
        <w:rPr>
          <w:sz w:val="20"/>
          <w:szCs w:val="20"/>
          <w:color w:val="auto"/>
        </w:rPr>
      </w:pPr>
    </w:p>
    <w:p>
      <w:pPr>
        <w:ind w:left="200" w:right="100"/>
        <w:spacing w:after="0" w:line="312" w:lineRule="auto"/>
        <w:rPr>
          <w:sz w:val="20"/>
          <w:szCs w:val="20"/>
          <w:color w:val="auto"/>
        </w:rPr>
      </w:pPr>
      <w:r>
        <w:rPr>
          <w:rFonts w:ascii="Arial" w:cs="Arial" w:eastAsia="Arial" w:hAnsi="Arial"/>
          <w:sz w:val="16"/>
          <w:szCs w:val="16"/>
          <w:color w:val="auto"/>
        </w:rPr>
        <w:t>Distribution expenses as a percentage of net sales for the International segment were 13.9% for the three months ended June 30, 2019, which was consistent with distribution expenses as a percentage of net sales of 13.8%, for the corresponding period in 2018. Distribution expenses as a percentage of sales shipped from the Company’s U.K. warehouses approximated 14% for both the three months ended June 30, 2019 and 2018.</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Selling, general and administrative expenses for the three months ended June 30, 2019 were $40.9 million, an increase of $0.9 million, or 2.2%, as compared to $40.0 million for the corresponding period in 2018.</w:t>
      </w:r>
    </w:p>
    <w:p>
      <w:pPr>
        <w:spacing w:after="0" w:line="17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Selling, general and administrative expenses for the U.S. segment were $28.9 million for the three months ended June 30, 2019, as compared to $30.9 million for the three months ended June 30, 2018. As a percentage of net sales, selling, general and administrative expenses were 23.5% and 24.0% for the three months ended June 30, 2019 and 2018, respectively. The 2019 period reflects the synergy savings from the Filament acquisition, primarily from efficiencies in labor reduction initiatives.</w:t>
      </w:r>
    </w:p>
    <w:p>
      <w:pPr>
        <w:spacing w:after="0" w:line="187"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Selling, general and administrative expenses for the three months ended June 30, 2019 for the International segment were $7.0 million, an increase of $3.0 million, from $4.0 million for the corresponding period in 2018. Of the increase, $2.1 million represented the absence of a mark to market gain from foreign currency contracts in 2018. Additionally, the Company commenced an operating lease for its new U.K. headquarters and warehouse as part of its reorganization plan to consolidate its European operations and incurred $0.5 million in duplicative operating lease expense.</w:t>
      </w:r>
    </w:p>
    <w:p>
      <w:pPr>
        <w:spacing w:after="0" w:line="154"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Unallocated corporate expenses for the three months ended June 30, 2019 were $5.0 million, as compared to $5.1 million for the corresponding period in 2018. Lower employee related and acquisition expenses were partially offset by higher professional fees.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Interest expense was $4.7 million for both the three months ended June 30, 2019 and the corresponding period in 2018. This reflects the benefit of lower debt balances offset by higher interest rates, and a benefit from mark to market changes from interest rate swaps not designated as hedges.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 benefit</w:t>
      </w:r>
    </w:p>
    <w:p>
      <w:pPr>
        <w:spacing w:after="0" w:line="12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Income tax benefit for the three months ended June 30, 2019 was $5.8 million as compared to $1.8 million for the corresponding period in 2018. The Company’s effective tax rate for the three months ended June 30, 2019 was 33.6% as compared to 22.1% for the corresponding 2018 period. The effective tax rate for the three months ended June 30, 2019 differs from the federal statutory rate of 21% primarily due to state and local taxes and the impact of non-deductible expenses. The effective tax rate for the three months ended June 30, 2018 reflects the reduced statutory U.S. corporate income tax rate, partially offset by non-deductible expenses.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 (losses) earnings</w:t>
      </w:r>
    </w:p>
    <w:p>
      <w:pPr>
        <w:spacing w:after="0" w:line="121"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Equity in (losses) earnings of Vasconia, net of taxes, was $(0.1) million for the three months ended June 30, 2019, as compared to equity in (losses) earnings of Vasconia, net of taxes, of $0.2 million for the three months ended June 30, 2018. Equity in (losses) earnings for the three months ended June 30, 2018 includes a deferred tax expense of $(0.5) million due to the requirement to record tax benefits for foreign currency translation gains and losses through other comprehensive loss, with a corresponding adjustment to deferred tax liabilities. Vasconia reported income from operations of $2.8 million for the three months ended June 30, 2019, as compared to income from operations of $3.7 million for the three months ended June 30, 2018. The decrease in income from operations is primarily due to a decrease in operating income from the aluminum division.</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160"/>
        <w:spacing w:after="0" w:line="275" w:lineRule="auto"/>
        <w:rPr>
          <w:sz w:val="20"/>
          <w:szCs w:val="20"/>
          <w:color w:val="auto"/>
        </w:rPr>
      </w:pPr>
      <w:r>
        <w:rPr>
          <w:rFonts w:ascii="Arial" w:cs="Arial" w:eastAsia="Arial" w:hAnsi="Arial"/>
          <w:sz w:val="18"/>
          <w:szCs w:val="18"/>
          <w:b w:val="1"/>
          <w:bCs w:val="1"/>
          <w:color w:val="auto"/>
        </w:rPr>
        <w:t>MANAGEMENT’S DISCUSSION AND ANALYSIS SIX MONTHS ENDED JUNE 30, 2019 COMPARED TO THE SIX MONTHS ENDED JUNE 30, 2018</w:t>
      </w:r>
    </w:p>
    <w:p>
      <w:pPr>
        <w:spacing w:after="0" w:line="3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ind w:left="200" w:right="180"/>
        <w:spacing w:after="0" w:line="279" w:lineRule="auto"/>
        <w:rPr>
          <w:sz w:val="20"/>
          <w:szCs w:val="20"/>
          <w:color w:val="auto"/>
        </w:rPr>
      </w:pPr>
      <w:r>
        <w:rPr>
          <w:rFonts w:ascii="Arial" w:cs="Arial" w:eastAsia="Arial" w:hAnsi="Arial"/>
          <w:sz w:val="17"/>
          <w:szCs w:val="17"/>
          <w:color w:val="auto"/>
        </w:rPr>
        <w:t>Consolidated net sales for the six months ended June 30, 2019 were $292.5 million, an increase of $25.7 million, or 9.6%, as compared to net sales of $266.8 million for the corresponding period in 2018. The six months ended June 30, 2018 includes sales of $38.6 million from Filament for the period from March 2, 2018, the date of the acquisition. In constant currency, which excludes the impact of foreign exchange fluctuations, net sales increased $28.2 million, or 10.7%, as compared to consolidated net sales in the corresponding period in 2018.</w:t>
      </w:r>
    </w:p>
    <w:p>
      <w:pPr>
        <w:spacing w:after="0" w:line="171"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Net sales for the U.S. segment for the six months ended June 30, 2019 were $250.1 million, an increase of $25.2 million, or 11.2%, as compared to net sales of $224.9 million for the corresponding period in 2018.</w:t>
      </w:r>
    </w:p>
    <w:p>
      <w:pPr>
        <w:spacing w:after="0" w:line="17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Net sales for the U.S. segment’s Kitchenware product category were $134.9 million for the six months ended June 30, 2019, an increase of $9.4 million, or 7.5%, as compared to $125.5 million for the corresponding period in 2018. The increase was primarily attributable to the inclusion of Filament for a full six months in 2019, which added $11.3 million of net sales. This was offset by lower sales for cutlery, bakeware, and pantryware. The reduction in sales of these products were partially offset by increases in tools and gadgets product sales. In addition, volume declines for certain brick and mortar retailers were partially offset by higher e-commerce sales.</w:t>
      </w:r>
    </w:p>
    <w:p>
      <w:pPr>
        <w:spacing w:after="0" w:line="188"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Net sales for the U.S. segment’s Tableware product category were $55.2 million for the six months ended June 30, 2019, a decrease of $5.7 million, or 9.4%, as compared to $60.9 million for the corresponding period in 2018. The decrease was primarily attributable to certain retailer programs, including close-outs, not repeating in 2019. In addition, volume declines for certain brick and mortar retailers were partially offset by higher e-commerce sales.</w:t>
      </w:r>
    </w:p>
    <w:p>
      <w:pPr>
        <w:spacing w:after="0" w:line="147" w:lineRule="exact"/>
        <w:rPr>
          <w:sz w:val="20"/>
          <w:szCs w:val="20"/>
          <w:color w:val="auto"/>
        </w:rPr>
      </w:pPr>
    </w:p>
    <w:p>
      <w:pPr>
        <w:ind w:left="200" w:right="380"/>
        <w:spacing w:after="0" w:line="312" w:lineRule="auto"/>
        <w:rPr>
          <w:sz w:val="20"/>
          <w:szCs w:val="20"/>
          <w:color w:val="auto"/>
        </w:rPr>
      </w:pPr>
      <w:r>
        <w:rPr>
          <w:rFonts w:ascii="Arial" w:cs="Arial" w:eastAsia="Arial" w:hAnsi="Arial"/>
          <w:sz w:val="16"/>
          <w:szCs w:val="16"/>
          <w:color w:val="auto"/>
        </w:rPr>
        <w:t>Net sales for the U.S. segment’s Home Solutions product category were $60.0 million for the six months ended June 30, 2019, an increase of $21.5 million, or 55.8%, as compared to $38.5 million for the corresponding period in 2018. The increase was primarily attributable to the inclusion of Filament for a full six months in 2019, which added $16.9 million of net sales. In addition, hydration products volume increased in the 2019 period.</w:t>
      </w:r>
    </w:p>
    <w:p>
      <w:pPr>
        <w:spacing w:after="0" w:line="147"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Net sales for the International segment were $42.3 million for the six months ended June 30, 2019, an increase of $0.4 million, or 1.0%, as compared to net sales of $41.9 million for the corresponding period in 2018. In constant currency, which excludes the impact of foreign exchange fluctuations, net sales increased $2.9 million, or 7.4%, as compared to consolidated net sales in the corresponding period in 2018. The International segment increase reflects an increase in sales from the e-commerce retailer channel.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Gross margin for the six months ended June 30, 2019 was $98.3 million, or 33.6%, as compared to $97.2 million, or 36.4%, for the corresponding period in 2018.</w:t>
      </w:r>
    </w:p>
    <w:p>
      <w:pPr>
        <w:spacing w:after="0" w:line="17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Gross margin for the U.S. segment was $83.0 million, or 33.2%, for the six months ended June 30, 2019, as compared to $82.9 million, or 36.8%, for the corresponding period in 2018. The gross margin decrease reflects an $8.5 million charge for the SKU Rationalization initiative, offset by the $1.2 million non-recurring inventory step-up charge incurred in the six month period in 2018. Excluding the SKU Rationalization and step-up charges, gross margin would have been 36.6% and 37.4% in the 2019 and 2018 periods, respectively. The decrease was attributable to changes in customer and product mix.</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color w:val="auto"/>
        </w:rPr>
        <w:t>Gross margin for the International segment was $15.3 million, or 36.2%, for the six months ended June 30, 2019, as compared to $14.3 million, or 34.2%, for the corresponding period in 2018. The increase in gross margin is primarily attributable to the de-emphasis of lower margin private label tableware product lines.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Distribution expenses for the six months ended June 30, 2019 were $31.4 million, as compared to $32.8 million for the corresponding period in 2018. Distribution expenses as a percentage of net sales were 10.7% for the six months ended June 30, 2019, as compared to 12.3% for the six months ended June 30, 2018.</w:t>
      </w:r>
    </w:p>
    <w:p>
      <w:pPr>
        <w:spacing w:after="0" w:line="181" w:lineRule="exact"/>
        <w:rPr>
          <w:sz w:val="20"/>
          <w:szCs w:val="20"/>
          <w:color w:val="auto"/>
        </w:rPr>
      </w:pPr>
    </w:p>
    <w:p>
      <w:pPr>
        <w:ind w:left="200" w:right="220"/>
        <w:spacing w:after="0" w:line="302" w:lineRule="auto"/>
        <w:rPr>
          <w:sz w:val="20"/>
          <w:szCs w:val="20"/>
          <w:color w:val="auto"/>
        </w:rPr>
      </w:pPr>
      <w:r>
        <w:rPr>
          <w:rFonts w:ascii="Arial" w:cs="Arial" w:eastAsia="Arial" w:hAnsi="Arial"/>
          <w:sz w:val="16"/>
          <w:szCs w:val="16"/>
          <w:color w:val="auto"/>
        </w:rPr>
        <w:t>Distribution expenses as a percentage of net sales for the U.S. segment were approximately 10.4% and 12.1% for the six months ended June 30, 2019 and 2018, respectively</w:t>
      </w:r>
      <w:r>
        <w:rPr>
          <w:rFonts w:ascii="Arial" w:cs="Arial" w:eastAsia="Arial" w:hAnsi="Arial"/>
          <w:sz w:val="16"/>
          <w:szCs w:val="16"/>
          <w:i w:val="1"/>
          <w:iCs w:val="1"/>
          <w:color w:val="auto"/>
        </w:rPr>
        <w:t>.</w:t>
      </w:r>
      <w:r>
        <w:rPr>
          <w:rFonts w:ascii="Arial" w:cs="Arial" w:eastAsia="Arial" w:hAnsi="Arial"/>
          <w:sz w:val="16"/>
          <w:szCs w:val="16"/>
          <w:color w:val="auto"/>
        </w:rPr>
        <w:t xml:space="preserve"> Distribution expenses in the 2019 and 2018 periods include $0.2 million and $2.6 million, respectively, of costs related to the Company’s facility relocations. As a percentage of sales shipped from the Company’s warehouses, distribution expenses, excluding the moving and relocation costs for the U.S. segment, were 11.3% and 11.6% for the six months ended June 30, 2019 and 2018, respectively.</w:t>
      </w:r>
    </w:p>
    <w:p>
      <w:pPr>
        <w:spacing w:after="0" w:line="154"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Distribution expenses as a percentage of net sales for the International segment were approximately 12.8% and 13.3% for the six months ended June 30, 2019 and 2018, respectively. Distribution expenses as a percentage of sales shipped from the Company’s U.K. warehouses were 12.7% and 13.9% for the six months ended June 30, 2019 and 2018, respectively.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Selling, general and administrative expenses for the six months ended June 30, 2019 were $81.0 million, an increase of $0.8 million, or 1.0%, as compared to $80.2 million for the corresponding period in 2018.</w:t>
      </w:r>
    </w:p>
    <w:p>
      <w:pPr>
        <w:spacing w:after="0" w:line="17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Selling, general and administrative expenses for the U.S. segment were $57.0 million for the six months ended June 30, 2019, as compared to $58.3 million for the six months ended June 30, 2018. As a percentage of net sales, selling, general and administrative expenses were 22.8% and 25.9% for the six months ended June 30, 2019 and 2018, respectively. The 2019 period reflects the synergy savings from the Filament acquisition, primarily from efficiencies in labor reduction initiatives. The 2018 period includes Filament from the date of acquisition only.</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Selling, general and administrative expenses for the six months ended June 30, 2019 for the International segment were $13.4 million, an increase of</w:t>
      </w:r>
    </w:p>
    <w:p>
      <w:pPr>
        <w:spacing w:after="0" w:line="46" w:lineRule="exact"/>
        <w:rPr>
          <w:sz w:val="20"/>
          <w:szCs w:val="20"/>
          <w:color w:val="auto"/>
        </w:rPr>
      </w:pPr>
    </w:p>
    <w:p>
      <w:pPr>
        <w:ind w:left="200" w:right="20"/>
        <w:spacing w:after="0" w:line="277" w:lineRule="auto"/>
        <w:rPr>
          <w:sz w:val="20"/>
          <w:szCs w:val="20"/>
          <w:color w:val="auto"/>
        </w:rPr>
      </w:pPr>
      <w:r>
        <w:rPr>
          <w:rFonts w:ascii="Arial" w:cs="Arial" w:eastAsia="Arial" w:hAnsi="Arial"/>
          <w:sz w:val="17"/>
          <w:szCs w:val="17"/>
          <w:color w:val="auto"/>
        </w:rPr>
        <w:t>$1.1 million, from $12.3 million for the corresponding period in 2018. The increase primarily reflects the absence of a mark to market gain from foreign currency contracts in 2018. Additionally, the Company commenced an operating lease for its new U.K. headquarters and warehouse as part of its reorganization plan to consolidate its European operations and incurred $0.5 million in duplicative operating lease expense.</w:t>
      </w:r>
    </w:p>
    <w:p>
      <w:pPr>
        <w:spacing w:after="0" w:line="173" w:lineRule="exact"/>
        <w:rPr>
          <w:sz w:val="20"/>
          <w:szCs w:val="20"/>
          <w:color w:val="auto"/>
        </w:rPr>
      </w:pPr>
    </w:p>
    <w:p>
      <w:pPr>
        <w:ind w:left="200" w:right="40"/>
        <w:spacing w:after="0" w:line="308" w:lineRule="auto"/>
        <w:rPr>
          <w:sz w:val="20"/>
          <w:szCs w:val="20"/>
          <w:color w:val="auto"/>
        </w:rPr>
      </w:pPr>
      <w:r>
        <w:rPr>
          <w:rFonts w:ascii="Arial" w:cs="Arial" w:eastAsia="Arial" w:hAnsi="Arial"/>
          <w:sz w:val="17"/>
          <w:szCs w:val="17"/>
          <w:color w:val="auto"/>
        </w:rPr>
        <w:t>Unallocated corporate expenses for the six months ended June 30, 2019 were $10.6 million, as compared to $9.6 million for the corresponding period in 2018. The increase is attributed to an increase in professional fees, partially offset by lower acquisition related expenses.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200" w:right="500"/>
        <w:spacing w:after="0" w:line="342" w:lineRule="auto"/>
        <w:rPr>
          <w:sz w:val="20"/>
          <w:szCs w:val="20"/>
          <w:color w:val="auto"/>
        </w:rPr>
      </w:pPr>
      <w:r>
        <w:rPr>
          <w:rFonts w:ascii="Arial" w:cs="Arial" w:eastAsia="Arial" w:hAnsi="Arial"/>
          <w:sz w:val="16"/>
          <w:szCs w:val="16"/>
          <w:color w:val="auto"/>
        </w:rPr>
        <w:t>Interest expense for the six months ended June 30, 2019 was $9.6 million, an increase of $2.8 million, from $6.8 million for the six months ended June 30, 2018. The increase reflects higher interest rates on debt during the 2019 period, which was partially offset by lower debt balances.</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 benefit</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Income tax benefit for the six months ended June 30, 2019 was $8.3 million as compared to $5.6 million for the corresponding period in 2018. The Company’s effective tax rate for the six months ended June 30, 2019 was 33.8%, as compared to 23.8% for the corresponding 2018 period. The effective tax rate for the six months ended June 30, 2019 differs from the federal statutory rate of 21% primarily due to state and local taxes and the impact of non-deductible expenses. The effective tax rate for the six months ended June 30, 2018 reflects the reduced statutory U.S. corporate income tax rate, partially offset by non-deductible expenses.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 (losses) earnings</w:t>
      </w:r>
    </w:p>
    <w:p>
      <w:pPr>
        <w:spacing w:after="0" w:line="121"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Equity in (losses) earnings of Vasconia, net of taxes, was $(0.2) million for the six months ended June 30, 2019, as compared to equity in (losses) earnings of Vasconia, net of taxes, of $0.2 million for the six months ended June 30, 2018. Equity in (losses) earnings for the six months ended June 30, 2018 includes a deferred tax expense of $(0.3) million due to the requirement to record tax benefits for foreign currency translation gains and losses through other comprehensive loss, with a corresponding adjustment to deferred tax liabilities. Vasconia reported income from operations of $4.7 million for the six months ended June 30, 2019, as compared to $4.8 million for the six months ended June 30, 2018.</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color w:val="auto"/>
        </w:rPr>
        <w:t>The Company’s principal sources of cash to fund liquidity needs are: (i) cash provided by operating activities and (ii) borrowings available under its revolving credit facility under the ABL Agreement, as defined below. The Company’s primary uses of funds consist of working capital requirements, capital expenditures, acquisitions and investments, and payments of principal and interest on its debt.</w:t>
      </w:r>
    </w:p>
    <w:p>
      <w:pPr>
        <w:spacing w:after="0" w:line="181"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At June 30, 2019, the Company had cash and cash equivalents of $10.5 million, compared to $7.6 million at December 31, 2018. Working capital was $206.8 million at June 30, 2019, compared to $233.9 million at December 31, 2018. Liquidity, which includes cash and cash equivalents and availability under the ABL Agreement, was approximately $112.4 million at June 30, 2019.</w:t>
      </w:r>
    </w:p>
    <w:p>
      <w:pPr>
        <w:spacing w:after="0" w:line="181"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In addition, recent tariff increases resulted in higher inventory carrying costs at June 30, 2019. For the three months ended June 30, 2019, inventory turnover, adjusted for the SKU Rationalization initiative, was 1.8 times, or 203 days, as compared to 2.1 times, or 177 days, for the three months ended June 30, 2018. The Company expects the SKU Rationalization initiative to generate increased liquidity through the sale of inventory during the third and fourth quarter of 2019. Liquidation of low-margin products should improve inventory turnover rates and reduce overall carrying costs.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left="200" w:right="80"/>
        <w:spacing w:after="0" w:line="289" w:lineRule="auto"/>
        <w:rPr>
          <w:sz w:val="20"/>
          <w:szCs w:val="20"/>
          <w:color w:val="auto"/>
        </w:rPr>
      </w:pPr>
      <w:r>
        <w:rPr>
          <w:rFonts w:ascii="Arial" w:cs="Arial" w:eastAsia="Arial" w:hAnsi="Arial"/>
          <w:sz w:val="16"/>
          <w:szCs w:val="16"/>
          <w:color w:val="auto"/>
        </w:rPr>
        <w:t>The Company’s credit agreement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provides for a senior secured term loan credit facility in the original principal amount of $275.0 million, which will mature on February 28, 2025. The Term Loan facility will be repaid in quarterly payments, which commenced June 30, 2018, of principal equal to 0.25% of the original aggregate principal amount of the Term Loan facility. The Term Loan requires the Company to make an annual prepayment of principal based upon excess cash flow (the “Excess Cash Flow”), if any. Based upon its current estimate of Excess Cash Flow, as defined, to be generated in calendar year 2019, the Company expects to prepay approximately $12.0 million of principal in the first quarter of 2020. Accordingly, this estimated amount is recorded in the current maturity of term loan on the condensed consolidated balance sheets. The maximum borrowing amount under the ABL Agreement may be increased to up to $200.0 million if certain conditions are met.</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187" w:lineRule="exact"/>
        <w:rPr>
          <w:sz w:val="20"/>
          <w:szCs w:val="20"/>
          <w:color w:val="auto"/>
        </w:rPr>
      </w:pPr>
    </w:p>
    <w:p>
      <w:pPr>
        <w:ind w:left="200" w:right="80"/>
        <w:spacing w:after="0" w:line="293" w:lineRule="auto"/>
        <w:rPr>
          <w:sz w:val="20"/>
          <w:szCs w:val="20"/>
          <w:color w:val="auto"/>
        </w:rPr>
      </w:pPr>
      <w:r>
        <w:rPr>
          <w:rFonts w:ascii="Arial" w:cs="Arial" w:eastAsia="Arial" w:hAnsi="Arial"/>
          <w:sz w:val="16"/>
          <w:szCs w:val="16"/>
          <w:color w:val="auto"/>
        </w:rPr>
        <w:t>At June 30, 2019, borrowings outstanding under the ABL Agreement were $39.8 million and open letters of credit were $3.2 million. At June 30, 2019, availability under the ABL Agreement was approximately $101.9 million. The borrowing capacity under the ABL Agreement depends, in part, on eligible levels of certain current assets comprising the borrowing base and the Company’s ability to meet and maintain a financial ratio, if and when applicable.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w:t>
      </w:r>
    </w:p>
    <w:p>
      <w:pPr>
        <w:spacing w:after="0" w:line="16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As of June 30, 2019, $271.6 million was outstanding under the Term Loan. At June 30, 2019, unamortized debt issuance costs of $1.5 million and $6.8 million offset the short-term and long-term outstanding balances, respectively, of the Term Loan.</w:t>
      </w:r>
    </w:p>
    <w:p>
      <w:pPr>
        <w:spacing w:after="0" w:line="170" w:lineRule="exact"/>
        <w:rPr>
          <w:sz w:val="20"/>
          <w:szCs w:val="20"/>
          <w:color w:val="auto"/>
        </w:rPr>
      </w:pPr>
    </w:p>
    <w:p>
      <w:pPr>
        <w:ind w:left="200" w:right="60"/>
        <w:spacing w:after="0" w:line="269" w:lineRule="auto"/>
        <w:rPr>
          <w:sz w:val="20"/>
          <w:szCs w:val="20"/>
          <w:color w:val="auto"/>
        </w:rPr>
      </w:pPr>
      <w:r>
        <w:rPr>
          <w:rFonts w:ascii="Arial" w:cs="Arial" w:eastAsia="Arial" w:hAnsi="Arial"/>
          <w:sz w:val="17"/>
          <w:szCs w:val="17"/>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8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Borrowings under the revolving credit facility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Interest rates on outstanding borrowings under the ABL Agreement at June 30, 2019 ranged from 2.4% to 6.25%. In addition, the Company paid a commitment fee that ranged from 0.250% to 0.375% on the unused portion of the ABL Agreement during the six months ended June 30, 2019.</w:t>
      </w:r>
    </w:p>
    <w:p>
      <w:pPr>
        <w:spacing w:after="0" w:line="193" w:lineRule="exact"/>
        <w:rPr>
          <w:sz w:val="20"/>
          <w:szCs w:val="20"/>
          <w:color w:val="auto"/>
        </w:rPr>
      </w:pPr>
    </w:p>
    <w:p>
      <w:pPr>
        <w:jc w:val="both"/>
        <w:ind w:left="200" w:right="100"/>
        <w:spacing w:after="0" w:line="286" w:lineRule="auto"/>
        <w:rPr>
          <w:sz w:val="20"/>
          <w:szCs w:val="20"/>
          <w:color w:val="auto"/>
        </w:rPr>
      </w:pPr>
      <w:r>
        <w:rPr>
          <w:rFonts w:ascii="Arial" w:cs="Arial" w:eastAsia="Arial" w:hAnsi="Arial"/>
          <w:sz w:val="17"/>
          <w:szCs w:val="17"/>
          <w:color w:val="auto"/>
        </w:rPr>
        <w:t>The term loan facility bears interest, at the Company’s option, at one of the following rates: (i) alternate base rate, defined, for any day, as the greater of the prime rate, a federal funds and overnight bank funding based rate plus 0.5% or one-month LIBOR plus 1.0%, plus a margin of 2.50% or (ii) LIBOR plus a margin of 3.50%. The interest rate on outstanding borrowings under the Term Loan at June 30, 2019 was 5.9%.</w:t>
      </w:r>
    </w:p>
    <w:p>
      <w:pPr>
        <w:spacing w:after="0" w:line="166"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was in compliance with the covenants of the Debt Agreements at June 30, 2019.</w:t>
      </w:r>
    </w:p>
    <w:p>
      <w:pPr>
        <w:spacing w:after="0" w:line="22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Consolidated 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the Company’s consolidated adjusted EBITDA, for the last four fiscal quarters: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Consolidated adjusted</w:t>
            </w:r>
          </w:p>
        </w:tc>
      </w:tr>
      <w:tr>
        <w:trPr>
          <w:trHeight w:val="149"/>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EBITDA for the Four</w:t>
            </w:r>
          </w:p>
        </w:tc>
      </w:tr>
      <w:tr>
        <w:trPr>
          <w:trHeight w:val="149"/>
        </w:trPr>
        <w:tc>
          <w:tcPr>
            <w:tcW w:w="5820" w:type="dxa"/>
            <w:vAlign w:val="bottom"/>
          </w:tcPr>
          <w:p>
            <w:pPr>
              <w:spacing w:after="0"/>
              <w:rPr>
                <w:sz w:val="12"/>
                <w:szCs w:val="12"/>
                <w:color w:val="auto"/>
              </w:rPr>
            </w:pPr>
          </w:p>
        </w:tc>
        <w:tc>
          <w:tcPr>
            <w:tcW w:w="16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Quarters Ended June 30,</w:t>
            </w:r>
          </w:p>
        </w:tc>
      </w:tr>
      <w:tr>
        <w:trPr>
          <w:trHeight w:val="17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jc w:val="center"/>
              <w:ind w:right="16"/>
              <w:spacing w:after="0" w:line="142" w:lineRule="exact"/>
              <w:rPr>
                <w:sz w:val="20"/>
                <w:szCs w:val="20"/>
                <w:color w:val="auto"/>
              </w:rPr>
            </w:pPr>
            <w:r>
              <w:rPr>
                <w:rFonts w:ascii="Arial" w:cs="Arial" w:eastAsia="Arial" w:hAnsi="Arial"/>
                <w:sz w:val="14"/>
                <w:szCs w:val="14"/>
                <w:color w:val="auto"/>
                <w:w w:val="92"/>
              </w:rPr>
              <w:t>(in thousands)</w:t>
            </w:r>
          </w:p>
        </w:tc>
        <w:tc>
          <w:tcPr>
            <w:tcW w:w="10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2019</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Three months ended March 31, 2019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6,127</w:t>
            </w: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December 31, 2018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30,876</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Three months ended September 30, 2018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22,722</w:t>
            </w: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Pro forma projected synergies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100" w:type="dxa"/>
            <w:vAlign w:val="bottom"/>
            <w:shd w:val="clear" w:color="auto" w:fill="CCEEFF"/>
          </w:tcPr>
          <w:p>
            <w:pPr>
              <w:spacing w:after="0"/>
              <w:rPr>
                <w:sz w:val="18"/>
                <w:szCs w:val="18"/>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Consolidated adjusted EBITDA, before limitation</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68,794</w:t>
            </w:r>
          </w:p>
        </w:tc>
        <w:tc>
          <w:tcPr>
            <w:tcW w:w="100" w:type="dxa"/>
            <w:vAlign w:val="bottom"/>
          </w:tcPr>
          <w:p>
            <w:pPr>
              <w:spacing w:after="0"/>
              <w:rPr>
                <w:sz w:val="19"/>
                <w:szCs w:val="19"/>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Permitted non-recurring charge limitation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(8,008)</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Consolidated adjusted EBITDA</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60,786</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Capital expenditures for the six months ended June 30, 2019 were $3.9 million.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Non-GAAP financial measure</w:t>
      </w:r>
    </w:p>
    <w:p>
      <w:pPr>
        <w:spacing w:after="0" w:line="117"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Consolidated adjusted EBITDA is a non-GAAP financial measure within the meaning of Regulation G and Item 10(e) of Regulation S-K, each promulgated by the Securities and Exchange Commission. This measure is provided because management of the Company uses this financial measure in evaluating the Company’s on-going financial results and trends, and management believes that exclusion of certain items allows for more accurate comparison of the Company’s operating performance by investors and analysts. Management also uses this non-GAAP information as an indicator of business performance. Consolidated adjusted EBITDA, as discussed above, is also one of the measures used to calculate financial covenants required to be provided to the Company’s lenders pursuant to its Debt Agreements.</w:t>
      </w:r>
    </w:p>
    <w:p>
      <w:pPr>
        <w:spacing w:after="0" w:line="178"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Investors should consider this non-GAAP financial measure in addition to, and not as a substitute for, the Company’s financial performance measures prepared in accordance with GAAP. Further, the Company’s non-GAAP information may be different from the non-GAAP information provided by other companies including other companies within the home retail industry.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is a reconciliation of the net income (loss), as reported, to consolidated adjusted EBITDA, for the four quarters ended June 30, 2019:</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vMerge w:val="restart"/>
          </w:tcPr>
          <w:p>
            <w:pPr>
              <w:jc w:val="right"/>
              <w:ind w:right="68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Twelve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6"/>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120" w:type="dxa"/>
            <w:vAlign w:val="bottom"/>
            <w:gridSpan w:val="4"/>
          </w:tcPr>
          <w:p>
            <w:pPr>
              <w:ind w:left="160"/>
              <w:spacing w:after="0" w:line="119" w:lineRule="exact"/>
              <w:rPr>
                <w:sz w:val="20"/>
                <w:szCs w:val="20"/>
                <w:color w:val="auto"/>
              </w:rPr>
            </w:pPr>
            <w:r>
              <w:rPr>
                <w:rFonts w:ascii="Arial" w:cs="Arial" w:eastAsia="Arial" w:hAnsi="Arial"/>
                <w:sz w:val="13"/>
                <w:szCs w:val="13"/>
                <w:b w:val="1"/>
                <w:bCs w:val="1"/>
                <w:color w:val="auto"/>
              </w:rPr>
              <w:t>December 31,</w:t>
            </w:r>
          </w:p>
        </w:tc>
        <w:tc>
          <w:tcPr>
            <w:tcW w:w="1180" w:type="dxa"/>
            <w:vAlign w:val="bottom"/>
            <w:gridSpan w:val="4"/>
          </w:tcPr>
          <w:p>
            <w:pPr>
              <w:ind w:left="26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(in thousands)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income (loss) as reported</w:t>
            </w:r>
          </w:p>
        </w:tc>
        <w:tc>
          <w:tcPr>
            <w:tcW w:w="106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5,948</w:t>
            </w:r>
          </w:p>
        </w:tc>
        <w:tc>
          <w:tcPr>
            <w:tcW w:w="20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9,987</w:t>
            </w:r>
          </w:p>
        </w:tc>
        <w:tc>
          <w:tcPr>
            <w:tcW w:w="12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(4,867)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(11,513)</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Undistributed equity (earnings) losses, net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116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Income tax provision (benefit)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(2,458)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(5,795)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6,290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goodwill</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Stock compensation expense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w w:val="86"/>
              </w:rPr>
              <w:t>907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 fair value adjustment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Unrealized gain on foreign currency contracts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Other permitted non-cash charges </w:t>
            </w:r>
            <w:r>
              <w:rPr>
                <w:rFonts w:ascii="Arial" w:cs="Arial" w:eastAsia="Arial" w:hAnsi="Arial"/>
                <w:sz w:val="15"/>
                <w:szCs w:val="15"/>
                <w:color w:val="auto"/>
              </w:rPr>
              <w:t>(1)</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SKU Rationalization</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8,500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related expenses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151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 xml:space="preserve">Restructuring expenses </w:t>
            </w:r>
            <w:r>
              <w:rPr>
                <w:rFonts w:ascii="Arial" w:cs="Arial" w:eastAsia="Arial" w:hAnsi="Arial"/>
                <w:sz w:val="15"/>
                <w:szCs w:val="15"/>
                <w:color w:val="auto"/>
              </w:rPr>
              <w:t>(2)</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w w:val="86"/>
              </w:rPr>
              <w:t>608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Integration charges </w:t>
            </w:r>
            <w:r>
              <w:rPr>
                <w:rFonts w:ascii="Arial" w:cs="Arial" w:eastAsia="Arial" w:hAnsi="Arial"/>
                <w:sz w:val="15"/>
                <w:szCs w:val="15"/>
                <w:color w:val="auto"/>
              </w:rPr>
              <w:t>(2)</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174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 xml:space="preserve">Warehouse relocation </w:t>
            </w:r>
            <w:r>
              <w:rPr>
                <w:rFonts w:ascii="Arial" w:cs="Arial" w:eastAsia="Arial" w:hAnsi="Arial"/>
                <w:sz w:val="15"/>
                <w:szCs w:val="15"/>
                <w:color w:val="auto"/>
              </w:rPr>
              <w:t>(2)</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w w:val="86"/>
              </w:rPr>
              <w:t>215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Projected synergies </w:t>
            </w:r>
            <w:r>
              <w:rPr>
                <w:rFonts w:ascii="Arial" w:cs="Arial" w:eastAsia="Arial" w:hAnsi="Arial"/>
                <w:sz w:val="15"/>
                <w:szCs w:val="15"/>
                <w:color w:val="auto"/>
              </w:rPr>
              <w:t>(3)</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Consolidated adjusted EBITDA, before limitation</w:t>
            </w:r>
          </w:p>
        </w:tc>
        <w:tc>
          <w:tcPr>
            <w:tcW w:w="8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4,306</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Permitted non-recurring charge limitation </w:t>
            </w:r>
            <w:r>
              <w:rPr>
                <w:rFonts w:ascii="Arial" w:cs="Arial" w:eastAsia="Arial" w:hAnsi="Arial"/>
                <w:sz w:val="15"/>
                <w:szCs w:val="15"/>
                <w:color w:val="auto"/>
              </w:rPr>
              <w:t>(2)</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(8,008)</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Consolidated adjusted EBITDA</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240" w:hanging="436"/>
        <w:spacing w:after="0" w:line="274"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permitted non-cash charges include non-cash purchase accounting adjustments to step-up the fair value of acquired inventory, a permitted exclusion from the Company’s consolidated adjusted EBITDA, pursuant to the Company’s Debt Agreements.</w:t>
      </w:r>
    </w:p>
    <w:p>
      <w:pPr>
        <w:ind w:left="640" w:right="80" w:hanging="436"/>
        <w:spacing w:after="0" w:line="281"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Permitted non-recurring charges include severance expense, warehouse relocation costs, transition expenses and restructuring expenses. These are permitted exclusions from the Company’s consolidated adjusted EBITDA, subject to limitations, pursuant to the Company’s Debt Agreements.</w:t>
      </w:r>
    </w:p>
    <w:p>
      <w:pPr>
        <w:spacing w:after="0" w:line="1" w:lineRule="exact"/>
        <w:rPr>
          <w:rFonts w:ascii="Arial" w:cs="Arial" w:eastAsia="Arial" w:hAnsi="Arial"/>
          <w:sz w:val="16"/>
          <w:szCs w:val="16"/>
          <w:color w:val="auto"/>
        </w:rPr>
      </w:pPr>
    </w:p>
    <w:p>
      <w:pPr>
        <w:ind w:left="640" w:right="20" w:hanging="436"/>
        <w:spacing w:after="0" w:line="273"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Projected synergies represents the amount of projected cost savings, operating expense reductions, restructuring charges and expenses and cost saving synergies projected by the Company as a result of actions taken through June 30, 2019 or expected to be taken as of June 30, 2019, net of the benefits realized during the twelve months ended June 30, 2019. Projected synergies is a permitted exclusion from the Company’s consolidated adjusted EBITDA, subject to limitations, pursuant to the Company’s Debt Agreements.</w:t>
      </w:r>
    </w:p>
    <w:p>
      <w:pPr>
        <w:spacing w:after="0" w:line="109" w:lineRule="exact"/>
        <w:rPr>
          <w:rFonts w:ascii="Arial" w:cs="Arial" w:eastAsia="Arial" w:hAnsi="Arial"/>
          <w:sz w:val="17"/>
          <w:szCs w:val="17"/>
          <w:color w:val="auto"/>
        </w:rPr>
      </w:pPr>
    </w:p>
    <w:p>
      <w:pPr>
        <w:ind w:left="5620" w:hanging="101"/>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Accounts Receivable Purchase Agreement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improve its liquidity during seasonally high working capital periods, the Company has an uncommitted Receivables Purchase Agreement with HSBC</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Bank USA, National Association (“HSBC”) as Purchaser (the “Receivables Purchase Agreement”). Under the Receivables Purchase Agreement,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may offer to sell certain eligible accounts receivable (the “Receivables”) to HSBC, which may accept such offer, and purchase the offered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Receivables. Under the Receivables Purchase Agreement, following each purchase of Receivables, the outstanding aggregate purchased Receivables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shall not exceed $25.0 million. HSBC will assume the credit risk of the Receivables purchased; and the Company will continue to be responsible for all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non-credit risk matters. The Company will service the Receivables, and as such servicer, collect and otherwise enforce the Receivables on behalf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HSBC. The term of the agreement is for 364 days and shall automatically be extended for annual successive terms unless terminated. Either party may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terminate the agreement at any time upon sixty days’ prior written notice to the other party. Pursuant to this agreement, the Company sold to HSBC</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$24.1 million and $49.2 million of Receivables during the three and six months ended June 30, 2019, respectively, and $19.1 million and $38.7 million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 Receivables during the three and six months ended June 30, 2018, respectively. Charges of $138,500 and $286,000 related to the sale of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Receivables are included in selling, general and administrative expenses in the condensed consolidated statements of operations for the three and six</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months ended June 30, 2019, respectively. Charges of $99,000 and $189,000 related to the sale of the Receivables are included in selling, general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administrative expenses in the condensed consolidated statements of operations for the three and six months ended June 30, 2018, respectively.</w:t>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The Company is a party to interest rate swap agreements with an aggregate notional value of $100 million at June 30, 2019. The Company designated the interest rate swaps as cash flow hedges of the Company’s exposure to the variability of the payment of interest on a portion of its Term Loan borrowings. The hedge periods of these agreements commenced in April 2018 and expire in March 2023. The notional amounts are reduced over these periods. In June 2019, the Company entered into new interest rate swap agreements, with an aggregate notional value of $25.0 million at June 30, 2019. These non-designated interest rate swaps serve as cash flow hedges of the Company’s exposure to the variability of the payment of interest on a portion of its Term Loan borrowings and expire in February 2025.</w:t>
      </w:r>
    </w:p>
    <w:p>
      <w:pPr>
        <w:spacing w:after="0" w:line="178"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The Company has also entered into certain foreign exchange contracts, to primarily offset the earnings impact related to fluctuations in foreign currency exchange rates associated with sales and inventory purchases denominated in foreign currencies. Beginning on January 29, 2019, these foreign exchange contracts have been designated as hedges as required in order to apply hedge accounting, and accordingly, the changes in the fair value of these contracts are recorded in accumulated other comprehensive loss in the condensed consolidated statements of stockholders equity. Prior to January 29, 2019, these foreign exchange contracts were not designated as hedges as required in order to apply hedge accounting. The changes in the fair value of these contracts are recorded in the condensed consolidated statements of operations.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left="200" w:right="140"/>
        <w:spacing w:after="0" w:line="286" w:lineRule="auto"/>
        <w:rPr>
          <w:sz w:val="20"/>
          <w:szCs w:val="20"/>
          <w:color w:val="auto"/>
        </w:rPr>
      </w:pPr>
      <w:r>
        <w:rPr>
          <w:rFonts w:ascii="Arial" w:cs="Arial" w:eastAsia="Arial" w:hAnsi="Arial"/>
          <w:sz w:val="17"/>
          <w:szCs w:val="17"/>
          <w:color w:val="auto"/>
        </w:rPr>
        <w:t>Net cash provided by operating activities was $7.1 million for the six months ended June 30, 2019, as compared to net cash used in operating activities of $5.8 million for the corresponding 2018 period. The increase in 2019 as compared to 2018 was primarily attributable to favorable timing of the payment of accounts payable and accrued expenses as well as additional cash generated from Filament.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Net cash used in investing activities was $3.9 million and $221.1 million for the six months ended June 30, 2019 and 2018, respectively. The 2018 investing activity includes the cash consideration paid for the acquisition of Filament.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Net cash used in financing activities was $0.5 million for the six months ended June 30, 2019, as compared to net cash provided by financing activities of $225.4 million for the corresponding 2018 period. The change in financing activities was attributable to the new Debt Agreements entered into in order to finance the acquisition of Filament in 2018.</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There were no material changes in market risk for changes in foreign currency exchange rates and interest rates from the information provided in Item 7A – Quantitative and Qualitative Disclosures About Market Risk in the 2018 Annual Report on Form 10-K.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Evaluation of Disclosure Controls and Procedures</w:t>
      </w:r>
    </w:p>
    <w:p>
      <w:pPr>
        <w:spacing w:after="0" w:line="121" w:lineRule="exact"/>
        <w:rPr>
          <w:sz w:val="20"/>
          <w:szCs w:val="20"/>
          <w:color w:val="auto"/>
        </w:rPr>
      </w:pPr>
    </w:p>
    <w:p>
      <w:pPr>
        <w:ind w:left="640" w:right="80"/>
        <w:spacing w:after="0" w:line="272" w:lineRule="auto"/>
        <w:rPr>
          <w:sz w:val="20"/>
          <w:szCs w:val="20"/>
          <w:color w:val="auto"/>
        </w:rPr>
      </w:pPr>
      <w:r>
        <w:rPr>
          <w:rFonts w:ascii="Arial" w:cs="Arial" w:eastAsia="Arial" w:hAnsi="Arial"/>
          <w:sz w:val="17"/>
          <w:szCs w:val="17"/>
          <w:color w:val="auto"/>
        </w:rPr>
        <w:t>The Chief Executive Officer and the Chief Financial Officer of the Company (its principal executive officer and principal financial officer, respectively) have concluded, based on their evaluation as of June 30, 2019,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79"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w:t>
      </w:r>
    </w:p>
    <w:p>
      <w:pPr>
        <w:spacing w:after="0" w:line="121" w:lineRule="exact"/>
        <w:rPr>
          <w:rFonts w:ascii="Arial" w:cs="Arial" w:eastAsia="Arial" w:hAnsi="Arial"/>
          <w:sz w:val="18"/>
          <w:szCs w:val="18"/>
          <w:b w:val="1"/>
          <w:bCs w:val="1"/>
          <w:color w:val="auto"/>
        </w:rPr>
      </w:pPr>
    </w:p>
    <w:p>
      <w:pPr>
        <w:ind w:left="64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implemented the new lease standard under ASC 842 as of January 1, 2019. In connection with these changes, the Company implemented certain modifications to internal controls over financial reporting, including the documentation of the policy regarding the new accounting for leases, implementation of processes to address various judgments and assessments necessary during the life of a lease, as well as implementing new controls to capture the expanded disclosures required under ASC 842.</w:t>
      </w:r>
    </w:p>
    <w:p>
      <w:pPr>
        <w:spacing w:after="0" w:line="78" w:lineRule="exact"/>
        <w:rPr>
          <w:rFonts w:ascii="Arial" w:cs="Arial" w:eastAsia="Arial" w:hAnsi="Arial"/>
          <w:sz w:val="18"/>
          <w:szCs w:val="18"/>
          <w:b w:val="1"/>
          <w:bCs w:val="1"/>
          <w:color w:val="auto"/>
        </w:rPr>
      </w:pPr>
    </w:p>
    <w:p>
      <w:pPr>
        <w:ind w:left="6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Except as described above, there have been no other changes in the Company’s internal controls over financial reporting during the quarter ended June 30, 2019 that have materially affected, or are reasonably likely to materially affect, the Company’s internal control over financial reporting.</w:t>
      </w:r>
    </w:p>
    <w:p>
      <w:pPr>
        <w:spacing w:after="0" w:line="56" w:lineRule="exact"/>
        <w:rPr>
          <w:rFonts w:ascii="Arial" w:cs="Arial" w:eastAsia="Arial" w:hAnsi="Arial"/>
          <w:sz w:val="18"/>
          <w:szCs w:val="18"/>
          <w:b w:val="1"/>
          <w:bCs w:val="1"/>
          <w:color w:val="auto"/>
        </w:rPr>
      </w:pPr>
    </w:p>
    <w:p>
      <w:pPr>
        <w:ind w:left="5620" w:hanging="101"/>
        <w:spacing w:after="0"/>
        <w:tabs>
          <w:tab w:leader="none" w:pos="5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120"/>
          </w:cols>
          <w:pgMar w:left="240" w:top="459" w:right="5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200" w:right="28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w:t>
      </w:r>
    </w:p>
    <w:p>
      <w:pPr>
        <w:spacing w:after="0" w:line="187"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w:t>
      </w:r>
      <w:r>
        <w:rPr>
          <w:rFonts w:ascii="Arial" w:cs="Arial" w:eastAsia="Arial" w:hAnsi="Arial"/>
          <w:sz w:val="17"/>
          <w:szCs w:val="17"/>
          <w:i w:val="1"/>
          <w:iCs w:val="1"/>
          <w:color w:val="auto"/>
        </w:rPr>
        <w:t>in-situ</w:t>
      </w:r>
      <w:r>
        <w:rPr>
          <w:rFonts w:ascii="Arial" w:cs="Arial" w:eastAsia="Arial" w:hAnsi="Arial"/>
          <w:sz w:val="17"/>
          <w:szCs w:val="17"/>
          <w:color w:val="auto"/>
        </w:rPr>
        <w:t xml:space="preserve"> treatment. This selected remedy includes soil vapor extraction (“SVE”) to address soil (vadose zone) source areas at the Site, impermeable cover as necessary for the implementation of SVE, dual phase extraction in the shallow saprolite zone, and </w:t>
      </w:r>
      <w:r>
        <w:rPr>
          <w:rFonts w:ascii="Arial" w:cs="Arial" w:eastAsia="Arial" w:hAnsi="Arial"/>
          <w:sz w:val="17"/>
          <w:szCs w:val="17"/>
          <w:i w:val="1"/>
          <w:iCs w:val="1"/>
          <w:color w:val="auto"/>
        </w:rPr>
        <w:t>in-situ</w:t>
      </w:r>
      <w:r>
        <w:rPr>
          <w:rFonts w:ascii="Arial" w:cs="Arial" w:eastAsia="Arial" w:hAnsi="Arial"/>
          <w:sz w:val="17"/>
          <w:szCs w:val="17"/>
          <w:color w:val="auto"/>
        </w:rPr>
        <w:t xml:space="preserve"> treatment as needed to address residual sources. The EPA’s estimated capital cost for its selected remedy is $7.3 million. In February 2017, the EPA indicated that it planned to expand its field investigation for the RI/FS to a second operable unit to further determine the nature and extent of the groundwater damage at and from the Site and to determine the nature of the remedial action needed. The EPA requested access to the property occupied by WSPR to install monitoring wells and to undertake groundwater sampling as part of this expanded investigation. WSPR consented to the EPA’s access request, subject to PRIDCO’s consent, as the property owner.</w:t>
      </w:r>
    </w:p>
    <w:p>
      <w:pPr>
        <w:spacing w:after="0" w:line="182"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The tolling agreements do not constitute in any way an admission or acknowledgment of any fact, conclusion of law or liability by the parties to the agreements.</w:t>
      </w:r>
    </w:p>
    <w:p>
      <w:pPr>
        <w:spacing w:after="0" w:line="187"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On July 19, 2019, WSPR’s counsel received an email from the US Department of Justice attorney representing the EPA with respect to the Site providing, as a courtesy, information relating to a public meeting to be held on July 30, 2019, in San German concerning the EPA’s proposed plan for a second operable unit. The EPA is accepting public comments on the proposed remedy, which is estimated to cost $17.3 million and includes in situ treatment and monitored nature attenuation of groundwater. The public comment period lasts for 30 days and ends on August 11, 2019. However, any member of the public can request a mandatory 30 day extension.</w:t>
      </w:r>
    </w:p>
    <w:p>
      <w:pPr>
        <w:spacing w:after="0" w:line="18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WSPR never used the primary constituents of concern and did not take up its tenancy at the Site until after EPA had discovered the damage to the local water supply. EPA has also issued notices of potential liability to numerous other entities affiliated with the Site, which used the constituents of concern. Accordingly, based on the above uncertainties and variables, it is not possible at this time for the Company to estimate its share of liability, if any, related to this matter. However, in the event of one or more definitive claims because of property damage asserted against the Company and adverse determinations related to this matter, it is possible that the ultimate liability resulting from this matter and the impact on the Company’s results of operations could be material.</w:t>
      </w:r>
    </w:p>
    <w:p>
      <w:pPr>
        <w:spacing w:after="0" w:line="193"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such litigation, individually or collectively, would have a material adverse effect on the Company’s consolidated financial position, results of operations or cash flows.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There have been no material changes in the Company’s risk factors from those disclosed in the Company’s 2018 Annual Report on Form 10-K.</w:t>
      </w:r>
    </w:p>
    <w:p>
      <w:pPr>
        <w:spacing w:after="0" w:line="16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180"/>
          </w:cols>
          <w:pgMar w:left="24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Issuer Purchases of Equity Securities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w:t>
            </w:r>
          </w:p>
        </w:tc>
        <w:tc>
          <w:tcPr>
            <w:tcW w:w="64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720" w:type="dxa"/>
            <w:vAlign w:val="bottom"/>
            <w:gridSpan w:val="3"/>
          </w:tcPr>
          <w:p>
            <w:pPr>
              <w:jc w:val="center"/>
              <w:ind w:left="476"/>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00" w:type="dxa"/>
            <w:vAlign w:val="bottom"/>
            <w:gridSpan w:val="2"/>
            <w:vMerge w:val="restart"/>
          </w:tcPr>
          <w:p>
            <w:pPr>
              <w:jc w:val="center"/>
              <w:ind w:left="1096"/>
              <w:spacing w:after="0"/>
              <w:rPr>
                <w:sz w:val="20"/>
                <w:szCs w:val="20"/>
                <w:color w:val="auto"/>
              </w:rPr>
            </w:pPr>
            <w:r>
              <w:rPr>
                <w:rFonts w:ascii="Arial" w:cs="Arial" w:eastAsia="Arial" w:hAnsi="Arial"/>
                <w:sz w:val="14"/>
                <w:szCs w:val="14"/>
                <w:b w:val="1"/>
                <w:bCs w:val="1"/>
                <w:color w:val="auto"/>
                <w:w w:val="92"/>
              </w:rPr>
              <w:t>Total number of</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64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under the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Average price</w:t>
            </w:r>
          </w:p>
        </w:tc>
        <w:tc>
          <w:tcPr>
            <w:tcW w:w="1760" w:type="dxa"/>
            <w:vAlign w:val="bottom"/>
            <w:gridSpan w:val="2"/>
          </w:tcPr>
          <w:p>
            <w:pPr>
              <w:jc w:val="center"/>
              <w:ind w:left="548"/>
              <w:spacing w:after="0" w:line="149" w:lineRule="exact"/>
              <w:rPr>
                <w:sz w:val="20"/>
                <w:szCs w:val="20"/>
                <w:color w:val="auto"/>
              </w:rPr>
            </w:pPr>
            <w:r>
              <w:rPr>
                <w:rFonts w:ascii="Arial" w:cs="Arial" w:eastAsia="Arial" w:hAnsi="Arial"/>
                <w:sz w:val="14"/>
                <w:szCs w:val="14"/>
                <w:b w:val="1"/>
                <w:bCs w:val="1"/>
                <w:color w:val="auto"/>
                <w:w w:val="91"/>
              </w:rPr>
              <w:t>as part of publicly</w:t>
            </w:r>
          </w:p>
        </w:tc>
        <w:tc>
          <w:tcPr>
            <w:tcW w:w="64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or programs</w:t>
            </w:r>
          </w:p>
        </w:tc>
        <w:tc>
          <w:tcPr>
            <w:tcW w:w="0" w:type="dxa"/>
            <w:vAlign w:val="bottom"/>
          </w:tcPr>
          <w:p>
            <w:pPr>
              <w:spacing w:after="0"/>
              <w:rPr>
                <w:sz w:val="1"/>
                <w:szCs w:val="1"/>
                <w:color w:val="auto"/>
              </w:rPr>
            </w:pPr>
          </w:p>
        </w:tc>
      </w:tr>
      <w:tr>
        <w:trPr>
          <w:trHeight w:val="149"/>
        </w:trPr>
        <w:tc>
          <w:tcPr>
            <w:tcW w:w="2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w:t>
            </w:r>
          </w:p>
        </w:tc>
        <w:tc>
          <w:tcPr>
            <w:tcW w:w="6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announced plans</w:t>
            </w:r>
          </w:p>
        </w:tc>
        <w:tc>
          <w:tcPr>
            <w:tcW w:w="64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subsequent to</w:t>
            </w:r>
          </w:p>
        </w:tc>
        <w:tc>
          <w:tcPr>
            <w:tcW w:w="0" w:type="dxa"/>
            <w:vAlign w:val="bottom"/>
          </w:tcPr>
          <w:p>
            <w:pPr>
              <w:spacing w:after="0"/>
              <w:rPr>
                <w:sz w:val="1"/>
                <w:szCs w:val="1"/>
                <w:color w:val="auto"/>
              </w:rPr>
            </w:pPr>
          </w:p>
        </w:tc>
      </w:tr>
      <w:tr>
        <w:trPr>
          <w:trHeight w:val="158"/>
        </w:trPr>
        <w:tc>
          <w:tcPr>
            <w:tcW w:w="2940" w:type="dxa"/>
            <w:vAlign w:val="bottom"/>
            <w:gridSpan w:val="3"/>
            <w:vMerge w:val="continue"/>
          </w:tcPr>
          <w:p>
            <w:pPr>
              <w:spacing w:after="0"/>
              <w:rPr>
                <w:sz w:val="13"/>
                <w:szCs w:val="13"/>
                <w:color w:val="auto"/>
              </w:rPr>
            </w:pPr>
          </w:p>
        </w:tc>
        <w:tc>
          <w:tcPr>
            <w:tcW w:w="120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purchased</w:t>
            </w:r>
            <w:r>
              <w:rPr>
                <w:rFonts w:ascii="Arial" w:cs="Arial" w:eastAsia="Arial" w:hAnsi="Arial"/>
                <w:sz w:val="12"/>
                <w:szCs w:val="12"/>
                <w:b w:val="1"/>
                <w:bCs w:val="1"/>
                <w:color w:val="auto"/>
                <w:w w:val="91"/>
              </w:rPr>
              <w:t>(1)</w:t>
            </w:r>
          </w:p>
        </w:tc>
        <w:tc>
          <w:tcPr>
            <w:tcW w:w="152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paid per share</w:t>
            </w:r>
          </w:p>
        </w:tc>
        <w:tc>
          <w:tcPr>
            <w:tcW w:w="64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or programs</w:t>
            </w:r>
            <w:r>
              <w:rPr>
                <w:rFonts w:ascii="Arial" w:cs="Arial" w:eastAsia="Arial" w:hAnsi="Arial"/>
                <w:sz w:val="12"/>
                <w:szCs w:val="12"/>
                <w:b w:val="1"/>
                <w:bCs w:val="1"/>
                <w:color w:val="auto"/>
                <w:w w:val="92"/>
              </w:rPr>
              <w:t>(2)</w:t>
            </w:r>
          </w:p>
        </w:tc>
        <w:tc>
          <w:tcPr>
            <w:tcW w:w="640" w:type="dxa"/>
            <w:vAlign w:val="bottom"/>
          </w:tcPr>
          <w:p>
            <w:pPr>
              <w:spacing w:after="0"/>
              <w:rPr>
                <w:sz w:val="13"/>
                <w:szCs w:val="13"/>
                <w:color w:val="auto"/>
              </w:rPr>
            </w:pPr>
          </w:p>
        </w:tc>
        <w:tc>
          <w:tcPr>
            <w:tcW w:w="108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 xml:space="preserve">end of period </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April 1 - April 30, 2019</w:t>
            </w:r>
          </w:p>
        </w:tc>
        <w:tc>
          <w:tcPr>
            <w:tcW w:w="1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2,972</w:t>
            </w: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9"/>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9.33</w:t>
            </w: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ind w:left="840"/>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6,771,467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May 1 - May 31, 2019</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9.52</w:t>
            </w:r>
          </w:p>
        </w:tc>
        <w:tc>
          <w:tcPr>
            <w:tcW w:w="640" w:type="dxa"/>
            <w:vAlign w:val="bottom"/>
          </w:tcPr>
          <w:p>
            <w:pPr>
              <w:spacing w:after="0"/>
              <w:rPr>
                <w:sz w:val="18"/>
                <w:szCs w:val="18"/>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6,771,467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June 30, 2019</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30,021</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6,771,467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40" w:right="140" w:hanging="436"/>
        <w:spacing w:after="0" w:line="286"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repurchased shares were acquired other than as part of a publicly announced plan or program. The Company repurchased these securities in connection with its Amended and Restated 2000 Long Term Incentive Plan which allow participants to use shares to satisfy the exercise price of options exercised, certain tax liabilities arising from the exercise of options, and certain tax liabilities arising from the vesting of restricted stock. The number above does not include unvested shares forfeited back to us pursuant to the terms of our stock compensation plans.</w:t>
      </w:r>
    </w:p>
    <w:p>
      <w:pPr>
        <w:spacing w:after="0" w:line="1" w:lineRule="exact"/>
        <w:rPr>
          <w:rFonts w:ascii="Arial" w:cs="Arial" w:eastAsia="Arial" w:hAnsi="Arial"/>
          <w:sz w:val="16"/>
          <w:szCs w:val="16"/>
          <w:color w:val="auto"/>
        </w:rPr>
      </w:pPr>
    </w:p>
    <w:p>
      <w:pPr>
        <w:ind w:left="640" w:hanging="436"/>
        <w:spacing w:after="0" w:line="255"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April 30, 2013, the Board of Directors of Lifetime Brands, Inc. authorized the repurchase of up to $10.0 million of the Company’s common stock. The repurchase authorization permits the Company to effect the repurchases from time to time through open market purchases and privately negotiated transactions. No repurchases occurred during the six months ended June 30, 2019.</w:t>
      </w:r>
    </w:p>
    <w:p>
      <w:pPr>
        <w:spacing w:after="0" w:line="122" w:lineRule="exact"/>
        <w:rPr>
          <w:rFonts w:ascii="Arial" w:cs="Arial" w:eastAsia="Arial" w:hAnsi="Arial"/>
          <w:sz w:val="18"/>
          <w:szCs w:val="18"/>
          <w:color w:val="auto"/>
        </w:rPr>
      </w:pPr>
    </w:p>
    <w:p>
      <w:pPr>
        <w:ind w:left="5620" w:hanging="101"/>
        <w:spacing w:after="0"/>
        <w:tabs>
          <w:tab w:leader="none" w:pos="5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Exhibit Index below, which is incorporated by reference herein.</w:t>
      </w:r>
    </w:p>
    <w:p>
      <w:pPr>
        <w:spacing w:after="0" w:line="200" w:lineRule="exact"/>
        <w:rPr>
          <w:sz w:val="20"/>
          <w:szCs w:val="20"/>
          <w:color w:val="auto"/>
        </w:rPr>
      </w:pPr>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9860" w:type="dxa"/>
            <w:vAlign w:val="bottom"/>
            <w:gridSpan w:val="8"/>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407"/>
        </w:trPr>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Exhibit No.</w:t>
            </w:r>
          </w:p>
        </w:tc>
        <w:tc>
          <w:tcPr>
            <w:tcW w:w="6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9"/>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9820" w:type="dxa"/>
            <w:vAlign w:val="bottom"/>
            <w:tcBorders>
              <w:bottom w:val="single" w:sz="8" w:color="0000EE"/>
            </w:tcBorders>
            <w:gridSpan w:val="6"/>
          </w:tcPr>
          <w:p>
            <w:pPr>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Amended and Restated Employment Agreement dated June 27, 2019 between Lifetime Brands, Inc. and Jeffrey Siegel (incorporated by</w:t>
              </w:r>
            </w:hyperlink>
          </w:p>
        </w:tc>
        <w:tc>
          <w:tcPr>
            <w:tcW w:w="40" w:type="dxa"/>
            <w:vAlign w:val="bottom"/>
            <w:gridSpan w:val="2"/>
          </w:tcPr>
          <w:p>
            <w:pPr>
              <w:spacing w:after="0"/>
              <w:rPr>
                <w:sz w:val="23"/>
                <w:szCs w:val="23"/>
                <w:color w:val="auto"/>
              </w:rPr>
            </w:pPr>
          </w:p>
        </w:tc>
      </w:tr>
      <w:tr>
        <w:trPr>
          <w:trHeight w:val="196"/>
        </w:trPr>
        <w:tc>
          <w:tcPr>
            <w:tcW w:w="1120" w:type="dxa"/>
            <w:vAlign w:val="bottom"/>
          </w:tcPr>
          <w:p>
            <w:pPr>
              <w:spacing w:after="0"/>
              <w:rPr>
                <w:sz w:val="17"/>
                <w:szCs w:val="17"/>
                <w:color w:val="auto"/>
              </w:rPr>
            </w:pPr>
          </w:p>
        </w:tc>
        <w:tc>
          <w:tcPr>
            <w:tcW w:w="9860" w:type="dxa"/>
            <w:vAlign w:val="bottom"/>
            <w:gridSpan w:val="8"/>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reference from Exhibit 10.1 to the Company’s Current Report on Form 8-K filed June 28, 2019)</w:t>
              </w:r>
            </w:hyperlink>
          </w:p>
        </w:tc>
      </w:tr>
      <w:tr>
        <w:trPr>
          <w:trHeight w:val="20"/>
        </w:trPr>
        <w:tc>
          <w:tcPr>
            <w:tcW w:w="1120" w:type="dxa"/>
            <w:vAlign w:val="bottom"/>
          </w:tcPr>
          <w:p>
            <w:pPr>
              <w:spacing w:after="0" w:line="20" w:lineRule="exact"/>
              <w:rPr>
                <w:sz w:val="1"/>
                <w:szCs w:val="1"/>
                <w:color w:val="auto"/>
              </w:rPr>
            </w:pPr>
          </w:p>
        </w:tc>
        <w:tc>
          <w:tcPr>
            <w:tcW w:w="6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9860" w:type="dxa"/>
            <w:vAlign w:val="bottom"/>
            <w:gridSpan w:val="8"/>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Certification by Robert B. Kay, Chief Executive Officer and Director, pursuant to Rule 13a-14(a) or Rule 15d-14(a) of the Securities and</w:t>
              </w:r>
            </w:hyperlink>
          </w:p>
        </w:tc>
      </w:tr>
      <w:tr>
        <w:trPr>
          <w:trHeight w:val="196"/>
        </w:trPr>
        <w:tc>
          <w:tcPr>
            <w:tcW w:w="1120" w:type="dxa"/>
            <w:vAlign w:val="bottom"/>
          </w:tcPr>
          <w:p>
            <w:pPr>
              <w:spacing w:after="0"/>
              <w:rPr>
                <w:sz w:val="17"/>
                <w:szCs w:val="17"/>
                <w:color w:val="auto"/>
              </w:rPr>
            </w:pPr>
          </w:p>
        </w:tc>
        <w:tc>
          <w:tcPr>
            <w:tcW w:w="98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Exchange Act of 1934, as adopted pursuant to Section 302 of the Sarbanes-Oxley Act of 2002</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6760" w:type="dxa"/>
            <w:vAlign w:val="bottom"/>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97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Certification by Laurence Winoker, Senior Vice President – Finance, Treasurer and Chief Financial Officer, pursuant to Rule 13a-14(a)</w:t>
              </w:r>
            </w:hyperlink>
          </w:p>
        </w:tc>
        <w:tc>
          <w:tcPr>
            <w:tcW w:w="140" w:type="dxa"/>
            <w:vAlign w:val="bottom"/>
            <w:gridSpan w:val="4"/>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860" w:type="dxa"/>
            <w:vAlign w:val="bottom"/>
            <w:gridSpan w:val="8"/>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or Rule 15d-14(a) of the Securities and Exchange Act of 1934, as adopted pursuant to Section 302 of the Sarbanes-Oxley Act of 2002</w:t>
              </w:r>
            </w:hyperlink>
          </w:p>
        </w:tc>
      </w:tr>
      <w:tr>
        <w:trPr>
          <w:trHeight w:val="20"/>
        </w:trPr>
        <w:tc>
          <w:tcPr>
            <w:tcW w:w="1120" w:type="dxa"/>
            <w:vAlign w:val="bottom"/>
          </w:tcPr>
          <w:p>
            <w:pPr>
              <w:spacing w:after="0" w:line="20" w:lineRule="exact"/>
              <w:rPr>
                <w:sz w:val="1"/>
                <w:szCs w:val="1"/>
                <w:color w:val="auto"/>
              </w:rPr>
            </w:pPr>
          </w:p>
        </w:tc>
        <w:tc>
          <w:tcPr>
            <w:tcW w:w="962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986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Certification by Robert B. Kay, Chief Executive Officer and Director, and Laurence Winoker, Senior Vice President – Finance, Treasurer</w:t>
              </w:r>
            </w:hyperlink>
          </w:p>
        </w:tc>
      </w:tr>
      <w:tr>
        <w:trPr>
          <w:trHeight w:val="196"/>
        </w:trPr>
        <w:tc>
          <w:tcPr>
            <w:tcW w:w="1120" w:type="dxa"/>
            <w:vAlign w:val="bottom"/>
          </w:tcPr>
          <w:p>
            <w:pPr>
              <w:spacing w:after="0"/>
              <w:rPr>
                <w:sz w:val="17"/>
                <w:szCs w:val="17"/>
                <w:color w:val="auto"/>
              </w:rPr>
            </w:pPr>
          </w:p>
        </w:tc>
        <w:tc>
          <w:tcPr>
            <w:tcW w:w="9860" w:type="dxa"/>
            <w:vAlign w:val="bottom"/>
            <w:gridSpan w:val="8"/>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and Chief Financial Officer, pursuant to 18 U.S.C. Section 1350, as adopted pursuant to Section 906 of the Sarbanes-Oxley Act of 2002</w:t>
              </w:r>
            </w:hyperlink>
          </w:p>
        </w:tc>
      </w:tr>
      <w:tr>
        <w:trPr>
          <w:trHeight w:val="345"/>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97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XBRL Instance Document</w:t>
            </w:r>
          </w:p>
        </w:tc>
        <w:tc>
          <w:tcPr>
            <w:tcW w:w="100" w:type="dxa"/>
            <w:vAlign w:val="bottom"/>
            <w:gridSpan w:val="3"/>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8"/>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1120" w:type="dxa"/>
            <w:vAlign w:val="bottom"/>
          </w:tcPr>
          <w:p>
            <w:pPr>
              <w:spacing w:after="0"/>
              <w:rPr>
                <w:sz w:val="24"/>
                <w:szCs w:val="24"/>
                <w:color w:val="auto"/>
              </w:rPr>
            </w:pPr>
          </w:p>
        </w:tc>
        <w:tc>
          <w:tcPr>
            <w:tcW w:w="6760" w:type="dxa"/>
            <w:vAlign w:val="bottom"/>
          </w:tcPr>
          <w:p>
            <w:pPr>
              <w:ind w:left="4200"/>
              <w:spacing w:after="0"/>
              <w:rPr>
                <w:sz w:val="20"/>
                <w:szCs w:val="20"/>
                <w:color w:val="auto"/>
              </w:rPr>
            </w:pPr>
            <w:r>
              <w:rPr>
                <w:rFonts w:ascii="Arial" w:cs="Arial" w:eastAsia="Arial" w:hAnsi="Arial"/>
                <w:sz w:val="18"/>
                <w:szCs w:val="18"/>
                <w:color w:val="auto"/>
              </w:rPr>
              <w:t>- 44 -</w:t>
            </w:r>
          </w:p>
        </w:tc>
        <w:tc>
          <w:tcPr>
            <w:tcW w:w="1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Lifetime Brands, Inc.</w:t>
            </w:r>
          </w:p>
        </w:tc>
        <w:tc>
          <w:tcPr>
            <w:tcW w:w="1220" w:type="dxa"/>
            <w:vAlign w:val="bottom"/>
          </w:tcPr>
          <w:p>
            <w:pPr>
              <w:spacing w:after="0"/>
              <w:rPr>
                <w:sz w:val="20"/>
                <w:szCs w:val="20"/>
                <w:color w:val="auto"/>
              </w:rPr>
            </w:pPr>
          </w:p>
        </w:tc>
      </w:tr>
      <w:tr>
        <w:trPr>
          <w:trHeight w:val="432"/>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Kay</w:t>
            </w:r>
          </w:p>
        </w:tc>
        <w:tc>
          <w:tcPr>
            <w:tcW w:w="1220" w:type="dxa"/>
            <w:vAlign w:val="bottom"/>
          </w:tcPr>
          <w:p>
            <w:pPr>
              <w:ind w:left="120"/>
              <w:spacing w:after="0"/>
              <w:rPr>
                <w:sz w:val="20"/>
                <w:szCs w:val="20"/>
                <w:color w:val="auto"/>
              </w:rPr>
            </w:pPr>
            <w:r>
              <w:rPr>
                <w:rFonts w:ascii="Arial" w:cs="Arial" w:eastAsia="Arial" w:hAnsi="Arial"/>
                <w:sz w:val="18"/>
                <w:szCs w:val="18"/>
                <w:color w:val="auto"/>
                <w:w w:val="89"/>
              </w:rPr>
              <w:t>August 8, 2019</w:t>
            </w:r>
          </w:p>
        </w:tc>
      </w:tr>
      <w:tr>
        <w:trPr>
          <w:trHeight w:val="209"/>
        </w:trPr>
        <w:tc>
          <w:tcPr>
            <w:tcW w:w="3000" w:type="dxa"/>
            <w:vAlign w:val="bottom"/>
          </w:tcPr>
          <w:p>
            <w:pPr>
              <w:spacing w:after="0"/>
              <w:rPr>
                <w:sz w:val="20"/>
                <w:szCs w:val="20"/>
                <w:color w:val="auto"/>
              </w:rPr>
            </w:pPr>
            <w:r>
              <w:rPr>
                <w:rFonts w:ascii="Arial" w:cs="Arial" w:eastAsia="Arial" w:hAnsi="Arial"/>
                <w:sz w:val="18"/>
                <w:szCs w:val="18"/>
                <w:color w:val="auto"/>
              </w:rPr>
              <w:t>Robert B. Kay</w:t>
            </w:r>
          </w:p>
        </w:tc>
        <w:tc>
          <w:tcPr>
            <w:tcW w:w="1220" w:type="dxa"/>
            <w:vAlign w:val="bottom"/>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12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220" w:type="dxa"/>
            <w:vAlign w:val="bottom"/>
          </w:tcPr>
          <w:p>
            <w:pPr>
              <w:spacing w:after="0"/>
              <w:rPr>
                <w:sz w:val="20"/>
                <w:szCs w:val="20"/>
                <w:color w:val="auto"/>
              </w:rPr>
            </w:pP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/s/ Laurence Winoker</w:t>
            </w:r>
          </w:p>
        </w:tc>
        <w:tc>
          <w:tcPr>
            <w:tcW w:w="1220" w:type="dxa"/>
            <w:vAlign w:val="bottom"/>
          </w:tcPr>
          <w:p>
            <w:pPr>
              <w:ind w:left="120"/>
              <w:spacing w:after="0"/>
              <w:rPr>
                <w:sz w:val="20"/>
                <w:szCs w:val="20"/>
                <w:color w:val="auto"/>
              </w:rPr>
            </w:pPr>
            <w:r>
              <w:rPr>
                <w:rFonts w:ascii="Arial" w:cs="Arial" w:eastAsia="Arial" w:hAnsi="Arial"/>
                <w:sz w:val="18"/>
                <w:szCs w:val="18"/>
                <w:color w:val="auto"/>
                <w:w w:val="89"/>
              </w:rPr>
              <w:t>August 8,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0</wp:posOffset>
            </wp:positionV>
            <wp:extent cx="18954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auto"/>
        </w:rPr>
        <w:t>Laurence Winoker</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Senior Vice President – Finance, Treasurer and Chief</w:t>
      </w:r>
    </w:p>
    <w:p>
      <w:pPr>
        <w:spacing w:after="0" w:line="2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(Principal Financial and Accounting Officer)</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040"/>
          </w:cols>
          <w:pgMar w:left="240" w:top="459" w:right="61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Kay, certify that:</w:t>
      </w:r>
    </w:p>
    <w:p>
      <w:pPr>
        <w:spacing w:after="0" w:line="131" w:lineRule="exact"/>
        <w:rPr>
          <w:sz w:val="20"/>
          <w:szCs w:val="20"/>
          <w:color w:val="auto"/>
        </w:rPr>
      </w:pPr>
    </w:p>
    <w:p>
      <w:pPr>
        <w:ind w:left="980" w:hanging="54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30" w:lineRule="exact"/>
        <w:rPr>
          <w:rFonts w:ascii="Arial" w:cs="Arial" w:eastAsia="Arial" w:hAnsi="Arial"/>
          <w:sz w:val="18"/>
          <w:szCs w:val="18"/>
          <w:color w:val="auto"/>
        </w:rPr>
      </w:pPr>
    </w:p>
    <w:p>
      <w:pPr>
        <w:ind w:left="980" w:right="60" w:hanging="54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6" w:lineRule="exact"/>
        <w:rPr>
          <w:rFonts w:ascii="Arial" w:cs="Arial" w:eastAsia="Arial" w:hAnsi="Arial"/>
          <w:sz w:val="18"/>
          <w:szCs w:val="18"/>
          <w:color w:val="auto"/>
        </w:rPr>
      </w:pPr>
    </w:p>
    <w:p>
      <w:pPr>
        <w:ind w:left="980" w:right="220" w:hanging="54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6" w:lineRule="exact"/>
        <w:rPr>
          <w:rFonts w:ascii="Arial" w:cs="Arial" w:eastAsia="Arial" w:hAnsi="Arial"/>
          <w:sz w:val="18"/>
          <w:szCs w:val="18"/>
          <w:color w:val="auto"/>
        </w:rPr>
      </w:pPr>
    </w:p>
    <w:p>
      <w:pPr>
        <w:ind w:left="980" w:right="120" w:hanging="544"/>
        <w:spacing w:after="0" w:line="291"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w:t>
      </w:r>
    </w:p>
    <w:p>
      <w:pPr>
        <w:ind w:left="9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980" w:right="100" w:hanging="545"/>
        <w:spacing w:after="0" w:line="312" w:lineRule="auto"/>
        <w:tabs>
          <w:tab w:leader="none" w:pos="1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2" w:lineRule="exact"/>
        <w:rPr>
          <w:rFonts w:ascii="Arial" w:cs="Arial" w:eastAsia="Arial" w:hAnsi="Arial"/>
          <w:sz w:val="16"/>
          <w:szCs w:val="16"/>
          <w:color w:val="auto"/>
        </w:rPr>
      </w:pPr>
    </w:p>
    <w:p>
      <w:pPr>
        <w:ind w:left="1980" w:hanging="545"/>
        <w:spacing w:after="0" w:line="286" w:lineRule="auto"/>
        <w:tabs>
          <w:tab w:leader="none" w:pos="1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jc w:val="both"/>
        <w:ind w:left="1980" w:right="80" w:hanging="545"/>
        <w:spacing w:after="0" w:line="264" w:lineRule="auto"/>
        <w:tabs>
          <w:tab w:leader="none" w:pos="1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80" w:right="220" w:hanging="545"/>
        <w:spacing w:after="0" w:line="264" w:lineRule="auto"/>
        <w:tabs>
          <w:tab w:leader="none" w:pos="1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80" w:right="240" w:hanging="54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8"/>
          <w:szCs w:val="18"/>
          <w:color w:val="auto"/>
        </w:rPr>
      </w:pPr>
    </w:p>
    <w:p>
      <w:pPr>
        <w:ind w:left="1980" w:right="360" w:hanging="545"/>
        <w:spacing w:after="0" w:line="264" w:lineRule="auto"/>
        <w:tabs>
          <w:tab w:leader="none" w:pos="1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1980" w:right="740" w:hanging="545"/>
        <w:spacing w:after="0" w:line="277" w:lineRule="auto"/>
        <w:tabs>
          <w:tab w:leader="none" w:pos="1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B. Kay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ectPr>
          <w:pgSz w:w="11900" w:h="16838" w:orient="portrait"/>
          <w:cols w:equalWidth="0" w:num="1">
            <w:col w:w="11020"/>
          </w:cols>
          <w:pgMar w:left="440" w:top="121" w:right="4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31" w:lineRule="exact"/>
        <w:rPr>
          <w:sz w:val="20"/>
          <w:szCs w:val="20"/>
          <w:color w:val="auto"/>
        </w:rPr>
      </w:pPr>
    </w:p>
    <w:p>
      <w:pPr>
        <w:ind w:left="980" w:hanging="54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30" w:lineRule="exact"/>
        <w:rPr>
          <w:rFonts w:ascii="Arial" w:cs="Arial" w:eastAsia="Arial" w:hAnsi="Arial"/>
          <w:sz w:val="18"/>
          <w:szCs w:val="18"/>
          <w:color w:val="auto"/>
        </w:rPr>
      </w:pPr>
    </w:p>
    <w:p>
      <w:pPr>
        <w:ind w:left="980" w:right="60" w:hanging="54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6" w:lineRule="exact"/>
        <w:rPr>
          <w:rFonts w:ascii="Arial" w:cs="Arial" w:eastAsia="Arial" w:hAnsi="Arial"/>
          <w:sz w:val="18"/>
          <w:szCs w:val="18"/>
          <w:color w:val="auto"/>
        </w:rPr>
      </w:pPr>
    </w:p>
    <w:p>
      <w:pPr>
        <w:ind w:left="980" w:right="220" w:hanging="54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6" w:lineRule="exact"/>
        <w:rPr>
          <w:rFonts w:ascii="Arial" w:cs="Arial" w:eastAsia="Arial" w:hAnsi="Arial"/>
          <w:sz w:val="18"/>
          <w:szCs w:val="18"/>
          <w:color w:val="auto"/>
        </w:rPr>
      </w:pPr>
    </w:p>
    <w:p>
      <w:pPr>
        <w:ind w:left="980" w:right="120" w:hanging="544"/>
        <w:spacing w:after="0" w:line="291"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w:t>
      </w:r>
    </w:p>
    <w:p>
      <w:pPr>
        <w:ind w:left="9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980" w:right="100" w:hanging="545"/>
        <w:spacing w:after="0" w:line="312" w:lineRule="auto"/>
        <w:tabs>
          <w:tab w:leader="none" w:pos="1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2" w:lineRule="exact"/>
        <w:rPr>
          <w:rFonts w:ascii="Arial" w:cs="Arial" w:eastAsia="Arial" w:hAnsi="Arial"/>
          <w:sz w:val="16"/>
          <w:szCs w:val="16"/>
          <w:color w:val="auto"/>
        </w:rPr>
      </w:pPr>
    </w:p>
    <w:p>
      <w:pPr>
        <w:ind w:left="1980" w:hanging="545"/>
        <w:spacing w:after="0" w:line="286" w:lineRule="auto"/>
        <w:tabs>
          <w:tab w:leader="none" w:pos="1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jc w:val="both"/>
        <w:ind w:left="1980" w:right="80" w:hanging="545"/>
        <w:spacing w:after="0" w:line="264" w:lineRule="auto"/>
        <w:tabs>
          <w:tab w:leader="none" w:pos="1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80" w:right="220" w:hanging="545"/>
        <w:spacing w:after="0" w:line="264" w:lineRule="auto"/>
        <w:tabs>
          <w:tab w:leader="none" w:pos="1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80" w:right="240" w:hanging="54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8"/>
          <w:szCs w:val="18"/>
          <w:color w:val="auto"/>
        </w:rPr>
      </w:pPr>
    </w:p>
    <w:p>
      <w:pPr>
        <w:ind w:left="1980" w:right="360" w:hanging="545"/>
        <w:spacing w:after="0" w:line="264" w:lineRule="auto"/>
        <w:tabs>
          <w:tab w:leader="none" w:pos="1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1980" w:right="740" w:hanging="545"/>
        <w:spacing w:after="0" w:line="277" w:lineRule="auto"/>
        <w:tabs>
          <w:tab w:leader="none" w:pos="1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Laurence Winoker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ectPr>
          <w:pgSz w:w="11900" w:h="16838" w:orient="portrait"/>
          <w:cols w:equalWidth="0" w:num="1">
            <w:col w:w="11020"/>
          </w:cols>
          <w:pgMar w:left="440" w:top="121" w:right="439" w:bottom="1440" w:gutter="0" w:footer="0" w:header="0"/>
        </w:sectPr>
      </w:pPr>
    </w:p>
    <w:bookmarkStart w:id="49" w:name="page50"/>
    <w:bookmarkEnd w:id="49"/>
    <w:p>
      <w:pPr>
        <w:ind w:left="1010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14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 Robert B. Kay, Chief Executive Officer and Director, and I, Laurence Winoker, Senior Vice President – Finance, Treasurer and Chief Financial Officer, of Lifetime Brands, Inc., a Delaware corporation (the “Company”), each hereby certify that:</w:t>
      </w:r>
    </w:p>
    <w:p>
      <w:pPr>
        <w:spacing w:after="0" w:line="76" w:lineRule="exact"/>
        <w:rPr>
          <w:sz w:val="20"/>
          <w:szCs w:val="20"/>
          <w:color w:val="auto"/>
        </w:rPr>
      </w:pPr>
    </w:p>
    <w:p>
      <w:pPr>
        <w:ind w:left="980" w:right="100" w:hanging="54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periodic report on Form 10-Q for the period ended June 30, 2019 (the “Form 10-Q”)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980" w:right="80" w:hanging="54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/s/ Robert B. Kay</w:t>
            </w:r>
          </w:p>
        </w:tc>
        <w:tc>
          <w:tcPr>
            <w:tcW w:w="5960" w:type="dxa"/>
            <w:vAlign w:val="bottom"/>
            <w:gridSpan w:val="2"/>
          </w:tcPr>
          <w:p>
            <w:pPr>
              <w:ind w:left="880"/>
              <w:spacing w:after="0"/>
              <w:rPr>
                <w:sz w:val="20"/>
                <w:szCs w:val="20"/>
                <w:color w:val="auto"/>
              </w:rPr>
            </w:pPr>
            <w:r>
              <w:rPr>
                <w:rFonts w:ascii="Arial" w:cs="Arial" w:eastAsia="Arial" w:hAnsi="Arial"/>
                <w:sz w:val="18"/>
                <w:szCs w:val="18"/>
                <w:color w:val="auto"/>
              </w:rPr>
              <w:t>/s/ Laurence Winoker</w:t>
            </w:r>
          </w:p>
        </w:tc>
      </w:tr>
      <w:tr>
        <w:trPr>
          <w:trHeight w:val="209"/>
        </w:trPr>
        <w:tc>
          <w:tcPr>
            <w:tcW w:w="5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B. Kay</w:t>
            </w:r>
          </w:p>
        </w:tc>
        <w:tc>
          <w:tcPr>
            <w:tcW w:w="880" w:type="dxa"/>
            <w:vAlign w:val="bottom"/>
          </w:tcPr>
          <w:p>
            <w:pPr>
              <w:spacing w:after="0"/>
              <w:rPr>
                <w:sz w:val="18"/>
                <w:szCs w:val="18"/>
                <w:color w:val="auto"/>
              </w:rPr>
            </w:pPr>
          </w:p>
        </w:tc>
        <w:tc>
          <w:tcPr>
            <w:tcW w:w="5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Laurence Winoker</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5960" w:type="dxa"/>
            <w:vAlign w:val="bottom"/>
            <w:gridSpan w:val="2"/>
          </w:tcPr>
          <w:p>
            <w:pPr>
              <w:ind w:left="880"/>
              <w:spacing w:after="0"/>
              <w:rPr>
                <w:sz w:val="20"/>
                <w:szCs w:val="20"/>
                <w:color w:val="auto"/>
              </w:rPr>
            </w:pPr>
            <w:r>
              <w:rPr>
                <w:rFonts w:ascii="Arial" w:cs="Arial" w:eastAsia="Arial" w:hAnsi="Arial"/>
                <w:sz w:val="18"/>
                <w:szCs w:val="18"/>
                <w:color w:val="auto"/>
                <w:w w:val="91"/>
              </w:rPr>
              <w:t>Senior Vice President- Finance, Treasurer and Chief Financial Officer</w:t>
            </w:r>
          </w:p>
        </w:tc>
      </w:tr>
      <w:tr>
        <w:trPr>
          <w:trHeight w:val="324"/>
        </w:trPr>
        <w:tc>
          <w:tcPr>
            <w:tcW w:w="5080" w:type="dxa"/>
            <w:vAlign w:val="bottom"/>
          </w:tcPr>
          <w:p>
            <w:pPr>
              <w:spacing w:after="0"/>
              <w:rPr>
                <w:sz w:val="20"/>
                <w:szCs w:val="20"/>
                <w:color w:val="auto"/>
              </w:rPr>
            </w:pPr>
            <w:r>
              <w:rPr>
                <w:rFonts w:ascii="Arial" w:cs="Arial" w:eastAsia="Arial" w:hAnsi="Arial"/>
                <w:sz w:val="18"/>
                <w:szCs w:val="18"/>
                <w:color w:val="auto"/>
              </w:rPr>
              <w:t>Date: August 8, 2019</w:t>
            </w:r>
          </w:p>
        </w:tc>
        <w:tc>
          <w:tcPr>
            <w:tcW w:w="5960" w:type="dxa"/>
            <w:vAlign w:val="bottom"/>
            <w:gridSpan w:val="2"/>
          </w:tcPr>
          <w:p>
            <w:pPr>
              <w:ind w:left="880"/>
              <w:spacing w:after="0"/>
              <w:rPr>
                <w:sz w:val="20"/>
                <w:szCs w:val="20"/>
                <w:color w:val="auto"/>
              </w:rPr>
            </w:pPr>
            <w:r>
              <w:rPr>
                <w:rFonts w:ascii="Arial" w:cs="Arial" w:eastAsia="Arial" w:hAnsi="Arial"/>
                <w:sz w:val="18"/>
                <w:szCs w:val="18"/>
                <w:color w:val="auto"/>
              </w:rPr>
              <w:t>Date: August 8, 2019</w:t>
            </w:r>
          </w:p>
        </w:tc>
      </w:tr>
    </w:tbl>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A signed original of this written statement required by Section 1350 has been provided to Lifetime Brands, Inc. and will be retained by Lifetime Brands, Inc. and furnished to the Securities and Exchange Commission or its staff, upon request.</w:t>
      </w:r>
    </w:p>
    <w:sectPr>
      <w:pgSz w:w="11900" w:h="16838" w:orient="portrait"/>
      <w:cols w:equalWidth="0" w:num="1">
        <w:col w:w="11040"/>
      </w:cols>
      <w:pgMar w:left="44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lvl w:ilvl="1">
      <w:lvlJc w:val="left"/>
      <w:lvlText w:val="-"/>
      <w:numFmt w:val="bullet"/>
      <w:start w:val="1"/>
    </w:lvl>
  </w:abstractNum>
  <w:abstractNum w:abstractNumId="5">
    <w:nsid w:val="12200854"/>
    <w:multiLevelType w:val="hybridMultilevel"/>
    <w:lvl w:ilvl="0">
      <w:lvlJc w:val="left"/>
      <w:lvlText w:val="•"/>
      <w:numFmt w:val="bullet"/>
      <w:start w:val="1"/>
    </w:lvl>
    <w:lvl w:ilvl="1">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lvl w:ilvl="1">
      <w:lvlJc w:val="left"/>
      <w:lvlText w:val="-"/>
      <w:numFmt w:val="bullet"/>
      <w:start w:val="1"/>
    </w:lvl>
  </w:abstractNum>
  <w:abstractNum w:abstractNumId="8">
    <w:nsid w:val="1F16E9E8"/>
    <w:multiLevelType w:val="hybridMultilevel"/>
    <w:lvl w:ilvl="0">
      <w:lvlJc w:val="left"/>
      <w:lvlText w:val="(%1)"/>
      <w:numFmt w:val="lowerLetter"/>
      <w:start w:val="2"/>
    </w:lvl>
    <w:lvl w:ilvl="1">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1" Type="http://schemas.openxmlformats.org/officeDocument/2006/relationships/hyperlink" Target="http://www.sec.gov/Archives/edgar/data/874396/000119312519186032/d3793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2019-12-28T08:01:53Z</dcterms:created>
  <dcterms:modified xsi:type="dcterms:W3CDTF">2019-12-28T08:01:53Z</dcterms:modified>
</cp:coreProperties>
</file>