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0-19254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1000 Stewart Avenue, Garden City, New York 11530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(516) 683-6000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April 30, 2024 was 22,073,256.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7"/>
        <w:gridCol w:w="253"/>
        <w:gridCol w:w="256"/>
        <w:gridCol w:w="2890"/>
        <w:gridCol w:w="2849"/>
        <w:gridCol w:w="2856"/>
        <w:gridCol w:w="237"/>
        <w:gridCol w:w="237"/>
        <w:gridCol w:w="340"/>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0">
              <w:r>
                <w:rPr>
                  <w:rStyle w:val="InternetLink"/>
                  <w:rFonts w:ascii="Times New Roman;sans-serif" w:hAnsi="Times New Roman;sans-serif"/>
                  <w:b/>
                  <w:color w:val="0000FF"/>
                  <w:sz w:val="20"/>
                  <w:u w:val="single"/>
                </w:rPr>
                <w:t>Financial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3">
              <w:r>
                <w:rPr>
                  <w:rStyle w:val="InternetLink"/>
                  <w:rFonts w:ascii="Times New Roman;sans-serif" w:hAnsi="Times New Roman;sans-serif"/>
                  <w:b w:val="false"/>
                  <w:color w:val="0000FF"/>
                  <w:sz w:val="20"/>
                  <w:u w:val="single"/>
                </w:rPr>
                <w:t>Financial Statements</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6">
              <w:r>
                <w:rPr>
                  <w:rStyle w:val="InternetLink"/>
                  <w:rFonts w:ascii="Times New Roman;sans-serif" w:hAnsi="Times New Roman;sans-serif"/>
                  <w:b w:val="false"/>
                  <w:color w:val="000080"/>
                  <w:sz w:val="20"/>
                  <w:u w:val="single"/>
                </w:rPr>
                <w:t xml:space="preserve">Condensed Consolidated Balance Sheets – </w:t>
              </w:r>
            </w:hyperlink>
            <w:r>
              <w:rPr>
                <w:rFonts w:ascii="Times New Roman;sans-serif" w:hAnsi="Times New Roman;sans-serif"/>
                <w:b w:val="false"/>
                <w:color w:val="0000FF"/>
                <w:sz w:val="20"/>
                <w:u w:val="single"/>
              </w:rPr>
              <w:t>March 31, 2024</w:t>
            </w:r>
            <w:hyperlink w:anchor="i38ed52b6dff1485cae524e8ddd9c1337_16">
              <w:r>
                <w:rPr>
                  <w:rStyle w:val="InternetLink"/>
                  <w:rFonts w:ascii="Times New Roman;sans-serif" w:hAnsi="Times New Roman;sans-serif"/>
                  <w:b w:val="false"/>
                  <w:color w:val="000080"/>
                  <w:sz w:val="20"/>
                  <w:u w:val="single"/>
                </w:rPr>
                <w:t xml:space="preserve"> (unaudited) and </w:t>
              </w:r>
            </w:hyperlink>
            <w:r>
              <w:rPr>
                <w:rFonts w:ascii="Times New Roman;sans-serif" w:hAnsi="Times New Roman;sans-serif"/>
                <w:b w:val="false"/>
                <w:color w:val="0000FF"/>
                <w:sz w:val="20"/>
                <w:u w:val="single"/>
              </w:rPr>
              <w:t>December 31, 2023</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6">
              <w:r>
                <w:rPr>
                  <w:rStyle w:val="InternetLink"/>
                  <w:rFonts w:ascii="Times New Roman;sans-serif" w:hAnsi="Times New Roman;sans-serif"/>
                  <w:b w:val="false"/>
                  <w:color w:val="0000FF"/>
                  <w:sz w:val="20"/>
                  <w:u w:val="single"/>
                </w:rPr>
                <w:t>2</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9">
              <w:r>
                <w:rPr>
                  <w:rStyle w:val="InternetLink"/>
                  <w:rFonts w:ascii="Times New Roman;sans-serif" w:hAnsi="Times New Roman;sans-serif"/>
                  <w:b w:val="false"/>
                  <w:color w:val="000080"/>
                  <w:sz w:val="20"/>
                  <w:u w:val="single"/>
                </w:rPr>
                <w:t xml:space="preserve">Condensed Consolidated Statements of Operations (unaudited) – </w:t>
              </w:r>
            </w:hyperlink>
            <w:r>
              <w:rPr>
                <w:rFonts w:ascii="Times New Roman;sans-serif" w:hAnsi="Times New Roman;sans-serif"/>
                <w:b w:val="false"/>
                <w:color w:val="0000FF"/>
                <w:sz w:val="20"/>
                <w:u w:val="single"/>
              </w:rPr>
              <w:t>Three Months Ended</w:t>
            </w:r>
            <w:hyperlink w:anchor="i38ed52b6dff1485cae524e8ddd9c1337_1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March 31, 2024</w:t>
            </w:r>
            <w:hyperlink w:anchor="i38ed52b6dff1485cae524e8ddd9c1337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9">
              <w:r>
                <w:rPr>
                  <w:rStyle w:val="InternetLink"/>
                  <w:rFonts w:ascii="Times New Roman;sans-serif" w:hAnsi="Times New Roman;sans-serif"/>
                  <w:b w:val="false"/>
                  <w:color w:val="0000FF"/>
                  <w:sz w:val="20"/>
                  <w:u w:val="single"/>
                </w:rPr>
                <w:t>3</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22">
              <w:r>
                <w:rPr>
                  <w:rStyle w:val="InternetLink"/>
                  <w:rFonts w:ascii="Times New Roman;sans-serif" w:hAnsi="Times New Roman;sans-serif"/>
                  <w:b w:val="false"/>
                  <w:color w:val="000080"/>
                  <w:sz w:val="20"/>
                  <w:u w:val="single"/>
                </w:rPr>
                <w:t xml:space="preserve">Condensed Consolidated Statements of Comprehensive </w:t>
              </w:r>
            </w:hyperlink>
            <w:r>
              <w:rPr>
                <w:rFonts w:ascii="Times New Roman;sans-serif" w:hAnsi="Times New Roman;sans-serif"/>
                <w:b w:val="false"/>
                <w:color w:val="0000FF"/>
                <w:sz w:val="20"/>
                <w:u w:val="single"/>
              </w:rPr>
              <w:t>Loss</w:t>
            </w:r>
            <w:hyperlink w:anchor="i38ed52b6dff1485cae524e8ddd9c1337_22">
              <w:r>
                <w:rPr>
                  <w:rStyle w:val="InternetLink"/>
                  <w:rFonts w:ascii="Times New Roman;sans-serif" w:hAnsi="Times New Roman;sans-serif"/>
                  <w:b w:val="false"/>
                  <w:color w:val="000080"/>
                  <w:sz w:val="20"/>
                  <w:u w:val="single"/>
                </w:rPr>
                <w:t xml:space="preserve"> (unaudited) –</w:t>
              </w:r>
            </w:hyperlink>
            <w:r>
              <w:rPr>
                <w:rFonts w:ascii="Times New Roman;sans-serif" w:hAnsi="Times New Roman;sans-serif"/>
                <w:b w:val="false"/>
                <w:color w:val="0000FF"/>
                <w:sz w:val="20"/>
                <w:u w:val="single"/>
              </w:rPr>
              <w:t xml:space="preserve"> Three Months Ended March 31, 2024 and 2023</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22">
              <w:r>
                <w:rPr>
                  <w:rStyle w:val="InternetLink"/>
                  <w:rFonts w:ascii="Times New Roman;sans-serif" w:hAnsi="Times New Roman;sans-serif"/>
                  <w:b w:val="false"/>
                  <w:color w:val="0000FF"/>
                  <w:sz w:val="20"/>
                  <w:u w:val="single"/>
                </w:rPr>
                <w:t>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25">
              <w:r>
                <w:rPr>
                  <w:rStyle w:val="InternetLink"/>
                  <w:rFonts w:ascii="Times New Roman;sans-serif" w:hAnsi="Times New Roman;sans-serif"/>
                  <w:b w:val="false"/>
                  <w:color w:val="000080"/>
                  <w:sz w:val="20"/>
                  <w:u w:val="single"/>
                </w:rPr>
                <w:t>Condensed Consolidated Statements of Stockholders’ Equity (unaudited) –</w:t>
              </w:r>
            </w:hyperlink>
            <w:r>
              <w:rPr>
                <w:rFonts w:ascii="Times New Roman;sans-serif" w:hAnsi="Times New Roman;sans-serif"/>
                <w:b w:val="false"/>
                <w:color w:val="0000FF"/>
                <w:sz w:val="20"/>
                <w:u w:val="single"/>
              </w:rPr>
              <w:t>Three Months Ended March 31, 2024 and 2023</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25">
              <w:r>
                <w:rPr>
                  <w:rStyle w:val="InternetLink"/>
                  <w:rFonts w:ascii="Times New Roman;sans-serif" w:hAnsi="Times New Roman;sans-serif"/>
                  <w:b w:val="false"/>
                  <w:color w:val="0000FF"/>
                  <w:sz w:val="20"/>
                  <w:u w:val="single"/>
                </w:rPr>
                <w:t>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28">
              <w:r>
                <w:rPr>
                  <w:rStyle w:val="InternetLink"/>
                  <w:rFonts w:ascii="Times New Roman;sans-serif" w:hAnsi="Times New Roman;sans-serif"/>
                  <w:b w:val="false"/>
                  <w:color w:val="000080"/>
                  <w:sz w:val="20"/>
                  <w:u w:val="single"/>
                </w:rPr>
                <w:t>Condensed Consolidated Statements of Cash Flows (unaudited) –</w:t>
              </w:r>
            </w:hyperlink>
            <w:r>
              <w:rPr>
                <w:rFonts w:ascii="Times New Roman;sans-serif" w:hAnsi="Times New Roman;sans-serif"/>
                <w:b w:val="false"/>
                <w:color w:val="0000FF"/>
                <w:sz w:val="20"/>
                <w:u w:val="single"/>
              </w:rPr>
              <w:t xml:space="preserve"> Three Months Ended March 31, 2024 and 2023</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28">
              <w:r>
                <w:rPr>
                  <w:rStyle w:val="InternetLink"/>
                  <w:rFonts w:ascii="Times New Roman;sans-serif" w:hAnsi="Times New Roman;sans-serif"/>
                  <w:b w:val="false"/>
                  <w:color w:val="0000FF"/>
                  <w:sz w:val="20"/>
                  <w:u w:val="single"/>
                </w:rPr>
                <w:t>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31">
              <w:r>
                <w:rPr>
                  <w:rStyle w:val="InternetLink"/>
                  <w:rFonts w:ascii="Times New Roman;sans-serif" w:hAnsi="Times New Roman;sans-serif"/>
                  <w:b w:val="false"/>
                  <w:color w:val="0000FF"/>
                  <w:sz w:val="20"/>
                  <w:u w:val="single"/>
                </w:rPr>
                <w:t>Notes to Condensed Consolidated Financial Statements (unaudited)</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31">
              <w:r>
                <w:rPr>
                  <w:rStyle w:val="InternetLink"/>
                  <w:rFonts w:ascii="Times New Roman;sans-serif" w:hAnsi="Times New Roman;sans-serif"/>
                  <w:b w:val="false"/>
                  <w:color w:val="0000FF"/>
                  <w:sz w:val="20"/>
                  <w:u w:val="single"/>
                </w:rPr>
                <w:t>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76">
              <w:r>
                <w:rPr>
                  <w:rStyle w:val="InternetLink"/>
                  <w:rFonts w:ascii="Times New Roman;sans-serif" w:hAnsi="Times New Roman;sans-serif"/>
                  <w:b w:val="false"/>
                  <w:color w:val="0000FF"/>
                  <w:sz w:val="20"/>
                  <w:u w:val="single"/>
                </w:rPr>
                <w:t>29</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09">
              <w:r>
                <w:rPr>
                  <w:rStyle w:val="InternetLink"/>
                  <w:rFonts w:ascii="Times New Roman;sans-serif" w:hAnsi="Times New Roman;sans-serif"/>
                  <w:b w:val="false"/>
                  <w:color w:val="0000FF"/>
                  <w:sz w:val="20"/>
                  <w:u w:val="single"/>
                </w:rPr>
                <w:t>Quantitative and Qualitative Disclosures About Market Risk</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09">
              <w:r>
                <w:rPr>
                  <w:rStyle w:val="InternetLink"/>
                  <w:rFonts w:ascii="Times New Roman;sans-serif" w:hAnsi="Times New Roman;sans-serif"/>
                  <w:b w:val="false"/>
                  <w:color w:val="0000FF"/>
                  <w:sz w:val="20"/>
                  <w:u w:val="single"/>
                </w:rPr>
                <w:t>39</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12">
              <w:r>
                <w:rPr>
                  <w:rStyle w:val="InternetLink"/>
                  <w:rFonts w:ascii="Times New Roman;sans-serif" w:hAnsi="Times New Roman;sans-serif"/>
                  <w:b w:val="false"/>
                  <w:color w:val="0000FF"/>
                  <w:sz w:val="20"/>
                  <w:u w:val="single"/>
                </w:rPr>
                <w:t>Controls and Procedures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12">
              <w:r>
                <w:rPr>
                  <w:rStyle w:val="InternetLink"/>
                  <w:rFonts w:ascii="Times New Roman;sans-serif" w:hAnsi="Times New Roman;sans-serif"/>
                  <w:b w:val="false"/>
                  <w:color w:val="0000FF"/>
                  <w:sz w:val="20"/>
                  <w:u w:val="single"/>
                </w:rPr>
                <w:t>39</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15">
              <w:r>
                <w:rPr>
                  <w:rStyle w:val="InternetLink"/>
                  <w:rFonts w:ascii="Times New Roman;sans-serif" w:hAnsi="Times New Roman;sans-serif"/>
                  <w:b/>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18">
              <w:r>
                <w:rPr>
                  <w:rStyle w:val="InternetLink"/>
                  <w:rFonts w:ascii="Times New Roman;sans-serif" w:hAnsi="Times New Roman;sans-serif"/>
                  <w:b w:val="false"/>
                  <w:color w:val="0000FF"/>
                  <w:sz w:val="20"/>
                  <w:u w:val="single"/>
                </w:rPr>
                <w:t>Legal Proceedings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15">
              <w:r>
                <w:rPr>
                  <w:rStyle w:val="InternetLink"/>
                  <w:rFonts w:ascii="Times New Roman;sans-serif" w:hAnsi="Times New Roman;sans-serif"/>
                  <w:b w:val="false"/>
                  <w:color w:val="0000FF"/>
                  <w:sz w:val="20"/>
                  <w:u w:val="single"/>
                </w:rPr>
                <w:t>39</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95"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38ed52b6dff1485cae524e8ddd9c1337_121">
              <w:r>
                <w:rPr>
                  <w:rStyle w:val="InternetLink"/>
                  <w:rFonts w:ascii="Times New Roman;sans-serif" w:hAnsi="Times New Roman;sans-serif"/>
                  <w:b w:val="false"/>
                  <w:color w:val="0000FF"/>
                  <w:sz w:val="20"/>
                  <w:u w:val="single"/>
                </w:rPr>
                <w:t>Risk Factors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21">
              <w:r>
                <w:rPr>
                  <w:rStyle w:val="InternetLink"/>
                  <w:rFonts w:ascii="Times New Roman;sans-serif" w:hAnsi="Times New Roman;sans-serif"/>
                  <w:b w:val="false"/>
                  <w:color w:val="0000FF"/>
                  <w:sz w:val="20"/>
                  <w:u w:val="single"/>
                </w:rPr>
                <w:t>39</w:t>
              </w:r>
            </w:hyperlink>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859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859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859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27">
              <w:r>
                <w:rPr>
                  <w:rStyle w:val="InternetLink"/>
                  <w:rFonts w:ascii="Times New Roman;sans-serif" w:hAnsi="Times New Roman;sans-serif"/>
                  <w:b w:val="false"/>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27">
              <w:r>
                <w:rPr>
                  <w:rStyle w:val="InternetLink"/>
                  <w:rFonts w:ascii="Times New Roman;sans-serif" w:hAnsi="Times New Roman;sans-serif"/>
                  <w:b w:val="false"/>
                  <w:color w:val="0000FF"/>
                  <w:sz w:val="20"/>
                  <w:u w:val="single"/>
                </w:rPr>
                <w:t>40</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30">
              <w:r>
                <w:rPr>
                  <w:rStyle w:val="InternetLink"/>
                  <w:rFonts w:ascii="Times New Roman;sans-serif" w:hAnsi="Times New Roman;sans-serif"/>
                  <w:b w:val="false"/>
                  <w:color w:val="0000FF"/>
                  <w:sz w:val="20"/>
                  <w:u w:val="single"/>
                </w:rPr>
                <w:t>Exhibits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30">
              <w:r>
                <w:rPr>
                  <w:rStyle w:val="InternetLink"/>
                  <w:rFonts w:ascii="Times New Roman;sans-serif" w:hAnsi="Times New Roman;sans-serif"/>
                  <w:b w:val="false"/>
                  <w:color w:val="0000FF"/>
                  <w:sz w:val="20"/>
                  <w:u w:val="single"/>
                </w:rPr>
                <w:t>41</w:t>
              </w:r>
            </w:hyperlink>
          </w:p>
        </w:tc>
      </w:tr>
      <w:tr>
        <w:trPr/>
        <w:tc>
          <w:tcPr>
            <w:tcW w:w="9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8ed52b6dff1485cae524e8ddd9c1337_133">
              <w:r>
                <w:rPr>
                  <w:rStyle w:val="InternetLink"/>
                  <w:rFonts w:ascii="Times New Roman;sans-serif" w:hAnsi="Times New Roman;sans-serif"/>
                  <w:b w:val="false"/>
                  <w:color w:val="0000FF"/>
                  <w:sz w:val="20"/>
                  <w:u w:val="single"/>
                </w:rPr>
                <w:t>Signatures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d52b6dff1485cae524e8ddd9c1337_133">
              <w:r>
                <w:rPr>
                  <w:rStyle w:val="InternetLink"/>
                  <w:rFonts w:ascii="Times New Roman;sans-serif" w:hAnsi="Times New Roman;sans-serif"/>
                  <w:b w:val="false"/>
                  <w:color w:val="0000FF"/>
                  <w:sz w:val="20"/>
                  <w:u w:val="single"/>
                </w:rPr>
                <w:t>42</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7"/>
        <w:gridCol w:w="2251"/>
        <w:gridCol w:w="2261"/>
        <w:gridCol w:w="211"/>
        <w:gridCol w:w="826"/>
        <w:gridCol w:w="109"/>
        <w:gridCol w:w="109"/>
        <w:gridCol w:w="109"/>
        <w:gridCol w:w="109"/>
        <w:gridCol w:w="211"/>
        <w:gridCol w:w="826"/>
        <w:gridCol w:w="156"/>
      </w:tblGrid>
      <w:tr>
        <w:trPr/>
        <w:tc>
          <w:tcPr>
            <w:tcW w:w="302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$15,177 at March 31, 2024 and $15,952 at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shares authorized: 100 shares of Series A and 2,000,000 shares of Series B;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50,000,000 at March 31, 2024 and December 31, 2023; shares issued and outstanding: 22,073,256 at March 31, 2024 and 21,813,266 at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124" w:type="dxa"/>
        <w:jc w:val="center"/>
        <w:tblInd w:w="0" w:type="dxa"/>
        <w:tblLayout w:type="fixed"/>
        <w:tblCellMar>
          <w:top w:w="28" w:type="dxa"/>
          <w:left w:w="28" w:type="dxa"/>
          <w:bottom w:w="28" w:type="dxa"/>
          <w:right w:w="28" w:type="dxa"/>
        </w:tblCellMar>
      </w:tblPr>
      <w:tblGrid>
        <w:gridCol w:w="1421"/>
        <w:gridCol w:w="1239"/>
        <w:gridCol w:w="1255"/>
        <w:gridCol w:w="211"/>
        <w:gridCol w:w="826"/>
        <w:gridCol w:w="109"/>
        <w:gridCol w:w="109"/>
        <w:gridCol w:w="109"/>
        <w:gridCol w:w="109"/>
        <w:gridCol w:w="211"/>
        <w:gridCol w:w="826"/>
        <w:gridCol w:w="109"/>
        <w:gridCol w:w="109"/>
        <w:gridCol w:w="109"/>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399" w:type="dxa"/>
        <w:jc w:val="center"/>
        <w:tblInd w:w="0" w:type="dxa"/>
        <w:tblLayout w:type="fixed"/>
        <w:tblCellMar>
          <w:top w:w="28" w:type="dxa"/>
          <w:left w:w="28" w:type="dxa"/>
          <w:bottom w:w="28" w:type="dxa"/>
          <w:right w:w="28" w:type="dxa"/>
        </w:tblCellMar>
      </w:tblPr>
      <w:tblGrid>
        <w:gridCol w:w="1292"/>
        <w:gridCol w:w="1128"/>
        <w:gridCol w:w="1149"/>
        <w:gridCol w:w="211"/>
        <w:gridCol w:w="691"/>
        <w:gridCol w:w="109"/>
        <w:gridCol w:w="109"/>
        <w:gridCol w:w="109"/>
        <w:gridCol w:w="109"/>
        <w:gridCol w:w="211"/>
        <w:gridCol w:w="691"/>
        <w:gridCol w:w="109"/>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746"/>
        <w:gridCol w:w="568"/>
        <w:gridCol w:w="57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90"/>
        <w:gridCol w:w="980"/>
        <w:gridCol w:w="163"/>
        <w:gridCol w:w="109"/>
        <w:gridCol w:w="109"/>
        <w:gridCol w:w="109"/>
        <w:gridCol w:w="248"/>
        <w:gridCol w:w="839"/>
        <w:gridCol w:w="139"/>
        <w:gridCol w:w="109"/>
        <w:gridCol w:w="109"/>
        <w:gridCol w:w="109"/>
        <w:gridCol w:w="196"/>
        <w:gridCol w:w="736"/>
        <w:gridCol w:w="158"/>
      </w:tblGrid>
      <w:tr>
        <w:trPr/>
        <w:tc>
          <w:tcPr>
            <w:tcW w:w="7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Total</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(35,434)</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228,661 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$0.0425 and $0.0425 in the three months ended March 31, 2024 and 2023, respectively.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LIFETIME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8859" w:type="dxa"/>
        <w:jc w:val="center"/>
        <w:tblInd w:w="0" w:type="dxa"/>
        <w:tblLayout w:type="fixed"/>
        <w:tblCellMar>
          <w:top w:w="28" w:type="dxa"/>
          <w:left w:w="28" w:type="dxa"/>
          <w:bottom w:w="28" w:type="dxa"/>
          <w:right w:w="28" w:type="dxa"/>
        </w:tblCellMar>
      </w:tblPr>
      <w:tblGrid>
        <w:gridCol w:w="2332"/>
        <w:gridCol w:w="2049"/>
        <w:gridCol w:w="2054"/>
        <w:gridCol w:w="211"/>
        <w:gridCol w:w="691"/>
        <w:gridCol w:w="10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losses from equity investment, net of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other current assets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 xml:space="preserve">NET CASH PROVIDED BY OPERATING ACTIVITIES </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 repurchase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(DECREASE) INCREASE IN CASH AND CASH EQUIVALENTS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SUMMARY OF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2024 are not necessarily indicative of the results that may be expected for the year ending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 primarily of costs associated with the production and procurement of product, inbound freight costs, purchasing costs,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consist primarily of warehousing expenses and freight-out expenses. Handling costs of products sold are included in cost of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months ended March 31, 2024 and March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$23.8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derivative instruments in accordance with Accounting Standard Codification (“ASC”) Topic 815, </w:t>
      </w:r>
      <w:r>
        <w:rPr>
          <w:rFonts w:ascii="Times New Roman;sans-serif" w:hAnsi="Times New Roman;sans-serif"/>
          <w:b w:val="false"/>
          <w:i/>
          <w:color w:val="000000"/>
          <w:sz w:val="20"/>
        </w:rPr>
        <w:t>Derivatives and Hedging (</w:t>
      </w:r>
      <w:r>
        <w:rPr>
          <w:color w:val="000000"/>
        </w:rPr>
        <w:t>“</w:t>
      </w:r>
      <w:r>
        <w:rPr>
          <w:rFonts w:ascii="Times New Roman;sans-serif" w:hAnsi="Times New Roman;sans-serif"/>
          <w:b w:val="false"/>
          <w:color w:val="000000"/>
          <w:sz w:val="20"/>
        </w:rPr>
        <w:t>ASC 815”</w:t>
      </w:r>
      <w:r>
        <w:rPr>
          <w:rFonts w:ascii="Times New Roman;sans-serif" w:hAnsi="Times New Roman;sans-serif"/>
          <w:b w:val="false"/>
          <w:i/>
          <w:color w:val="000000"/>
          <w:sz w:val="20"/>
        </w:rPr>
        <w:t>)</w:t>
      </w:r>
      <w:r>
        <w:rPr>
          <w:rFonts w:ascii="Times New Roman;sans-serif" w:hAnsi="Times New Roman;sans-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intangible assets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2023 by comparing the fair value of the reporting unit with its carrying value. The Company performed the analysis using a discounted cash flow and market multiple method. As of October 1, 2023, the fair value of the U.S. reporting unit exceeded the carrying value of goodwill by 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evaluates qualitative factors to determine whether impairment indicators exist for its indefinite-lived intangibles and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indefinite-lived intangibles. The Company completed the quantitative impairment analysis for its indefinite-lived assets as of October 1, 2023, by comparing the fair value of the indefinite-lived trade names to their respective carrying value using a relief from royalty method. As of October 1, 2023, the fair value of the Company’s indefinite-lived trade names exceeded their respective carrying values by 7%. While the indefinite-lived trade name was not determined to be impaired, if the indefinite-lived trade name does not perform as projected or if market factors utilized in the impairment analysis deteriorate, including an unfavorable change in the weighted average cost of capital, could materially affect the expected cash flows, and such impacts could potentially result in a material non-cash impairment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5 — INTANGIBLE ASSETS to the unaudited condensed consolidated financial statements included in this Quarterly Report on Form 10-Q for additional information.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healthcare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incurred $0.8 million of unallocated corporate expense related to the termination payment with its former Executive Chairman, Jeffrey Siegel (the “Executive Chairman”). On November 1, 2022, the Company entered into a transition agreement with its Executive Chairman which terminated his employment with the Company, effective March 31, 2023. The employment agreement provided for a one-time payment, which was paid on April 7,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enhances the disclosures required for operating segments in the Company’s annual and interim consolidated financial statements. The new guidance is effective for public business entities for fiscal years beginning after December 15, 2023, and interim periods within fiscal years beginning after December 15, 2024 on a retrospective basis. Early adoption is permitted. Management is currently evaluating the impact of this standard on its consolidated financial statements and related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$0.6 million and $0.5 million for the three months ended March 31, 2024 and 2023, respectively. Net sales exclude taxes that are collected from customers and remitted to the taxing authorities.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pPr>
      <w:r>
        <w:rPr>
          <w:rFonts w:ascii="Times New Roman;sans-serif" w:hAnsi="Times New Roman;sans-serif"/>
          <w:b w:val="false"/>
          <w:color w:val="000000"/>
          <w:sz w:val="20"/>
        </w:rPr>
        <w:t xml:space="preserve">consideration are constrained. </w:t>
      </w:r>
      <w:r>
        <w:rPr>
          <w:rFonts w:ascii="Times New Roman;sans-serif" w:hAnsi="Times New Roman;sans-serif"/>
          <w:b w:val="false"/>
          <w:color w:val="000000"/>
          <w:sz w:val="20"/>
          <w:shd w:fill="FFFFFF" w:val="clear"/>
        </w:rPr>
        <w:t>Payment terms vary by customer, but generally range from 30 to 90 days or at the point of sale for the Company’s retail direct sale</w:t>
      </w:r>
      <w:r>
        <w:rPr>
          <w:rFonts w:ascii="Times New Roman;sans-serif" w:hAnsi="Times New Roman;sans-serif"/>
          <w:b w:val="false"/>
          <w:color w:val="000000"/>
          <w:sz w:val="20"/>
        </w:rPr>
        <w:t xml:space="preserve">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incurs certain direct incremental costs to obtain contracts with customers, such as sales-related co</w:t>
      </w:r>
      <w:r>
        <w:rPr>
          <w:rFonts w:ascii="Times New Roman;sans-serif" w:hAnsi="Times New Roman;sans-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net sales disaggregated by segment, product category and geographic region for the three months ended March 31, 2024 and 2023 (in thousands):</w:t>
      </w:r>
    </w:p>
    <w:tbl>
      <w:tblPr>
        <w:tblW w:w="507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distribution facilities, a manufacturing plant, and certain vehicles.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months ended March 31, 2024 and 2023 were as follows (in thousands):</w:t>
      </w:r>
    </w:p>
    <w:tbl>
      <w:tblPr>
        <w:tblW w:w="5282"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Expenses are recorded within distribution expenses and selling, general and administrative expenses on the unaudited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lease related liabilities and assets for the three months ended March 31, 2024 and 2023 were as follows (in thousands):</w:t>
      </w:r>
    </w:p>
    <w:tbl>
      <w:tblPr>
        <w:tblW w:w="8657" w:type="dxa"/>
        <w:jc w:val="left"/>
        <w:tblInd w:w="0" w:type="dxa"/>
        <w:tblLayout w:type="fixed"/>
        <w:tblCellMar>
          <w:top w:w="28" w:type="dxa"/>
          <w:left w:w="28" w:type="dxa"/>
          <w:bottom w:w="28" w:type="dxa"/>
          <w:right w:w="28" w:type="dxa"/>
        </w:tblCellMar>
      </w:tblPr>
      <w:tblGrid>
        <w:gridCol w:w="2197"/>
        <w:gridCol w:w="1933"/>
        <w:gridCol w:w="1944"/>
        <w:gridCol w:w="246"/>
        <w:gridCol w:w="721"/>
        <w:gridCol w:w="127"/>
        <w:gridCol w:w="127"/>
        <w:gridCol w:w="127"/>
        <w:gridCol w:w="127"/>
        <w:gridCol w:w="127"/>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Cash paid for amounts included in the measurement of</w:t>
            </w:r>
            <w:r>
              <w:rPr>
                <w:color w:val="000000"/>
              </w:rPr>
              <w:t xml:space="preserve"> </w:t>
            </w:r>
            <w:r>
              <w:rPr>
                <w:rFonts w:ascii="Times New Roman;sans-serif" w:hAnsi="Times New Roman;sans-serif"/>
                <w:b/>
                <w:color w:val="000000"/>
                <w:sz w:val="20"/>
              </w:rPr>
              <w:t>lease liabilities: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93" w:type="dxa"/>
        <w:jc w:val="left"/>
        <w:tblInd w:w="0" w:type="dxa"/>
        <w:tblLayout w:type="fixed"/>
        <w:tblCellMar>
          <w:top w:w="28" w:type="dxa"/>
          <w:left w:w="28" w:type="dxa"/>
          <w:bottom w:w="28" w:type="dxa"/>
          <w:right w:w="28" w:type="dxa"/>
        </w:tblCellMar>
      </w:tblPr>
      <w:tblGrid>
        <w:gridCol w:w="1923"/>
        <w:gridCol w:w="1691"/>
        <w:gridCol w:w="1696"/>
        <w:gridCol w:w="291"/>
        <w:gridCol w:w="561"/>
        <w:gridCol w:w="150"/>
        <w:gridCol w:w="150"/>
        <w:gridCol w:w="150"/>
        <w:gridCol w:w="150"/>
        <w:gridCol w:w="150"/>
        <w:gridCol w:w="211"/>
        <w:gridCol w:w="61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March 31, 2024 were as follows (in thousands):</w:t>
      </w:r>
    </w:p>
    <w:tbl>
      <w:tblPr>
        <w:tblW w:w="5886" w:type="dxa"/>
        <w:jc w:val="left"/>
        <w:tblInd w:w="0" w:type="dxa"/>
        <w:tblLayout w:type="fixed"/>
        <w:tblCellMar>
          <w:top w:w="28" w:type="dxa"/>
          <w:left w:w="28" w:type="dxa"/>
          <w:bottom w:w="28" w:type="dxa"/>
          <w:right w:w="28" w:type="dxa"/>
        </w:tblCellMar>
      </w:tblPr>
      <w:tblGrid>
        <w:gridCol w:w="1737"/>
        <w:gridCol w:w="1527"/>
        <w:gridCol w:w="1536"/>
        <w:gridCol w:w="211"/>
        <w:gridCol w:w="721"/>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(excluding the three months ended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5218" w:type="dxa"/>
        <w:jc w:val="left"/>
        <w:tblInd w:w="0" w:type="dxa"/>
        <w:tblLayout w:type="fixed"/>
        <w:tblCellMar>
          <w:top w:w="28" w:type="dxa"/>
          <w:left w:w="28" w:type="dxa"/>
          <w:bottom w:w="28" w:type="dxa"/>
          <w:right w:w="28" w:type="dxa"/>
        </w:tblCellMar>
      </w:tblPr>
      <w:tblGrid>
        <w:gridCol w:w="1416"/>
        <w:gridCol w:w="1243"/>
        <w:gridCol w:w="1255"/>
        <w:gridCol w:w="264"/>
        <w:gridCol w:w="264"/>
        <w:gridCol w:w="776"/>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The Company accounts for its investment in Vasconia using the equity method of accounting and records its proportionate share of Vasconia’s net loss in the Company’s condensed consolidated statements of operations. Accordingly, the Company has recorded its proportionate share of Vasconia’s net loss for the three months ended March 31, 2024 and 2023 in the accompanying unaudited condensed consolidated statements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equity in losses, net of taxes, for the three months ended March 31, 2024 and 2023 included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085" w:type="dxa"/>
        <w:jc w:val="left"/>
        <w:tblInd w:w="0" w:type="dxa"/>
        <w:tblLayout w:type="fixed"/>
        <w:tblCellMar>
          <w:top w:w="28" w:type="dxa"/>
          <w:left w:w="28" w:type="dxa"/>
          <w:bottom w:w="28" w:type="dxa"/>
          <w:right w:w="28" w:type="dxa"/>
        </w:tblCellMar>
      </w:tblPr>
      <w:tblGrid>
        <w:gridCol w:w="1177"/>
        <w:gridCol w:w="1035"/>
        <w:gridCol w:w="1043"/>
        <w:gridCol w:w="211"/>
        <w:gridCol w:w="691"/>
        <w:gridCol w:w="109"/>
        <w:gridCol w:w="109"/>
        <w:gridCol w:w="109"/>
        <w:gridCol w:w="109"/>
        <w:gridCol w:w="211"/>
        <w:gridCol w:w="691"/>
        <w:gridCol w:w="109"/>
        <w:gridCol w:w="109"/>
        <w:gridCol w:w="109"/>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Vasconia equity in losses, net of taxes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on investment in Vasconia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the translation of the Company’s investment, as well as the translation of Vasconia’s balance sheet, resulted in an increase to the investment of $0.3 million and an increase of $0.7 million during the three months ended March 31, 2024 and 2023, respectively. These translation effects are recorded in accumulated other comprehensive loss. The carrying value of the Company’s investment in Vasconia, was zero and $1.8 million as of March 31, 2024 and December 31, 2023,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and from Vasconia are recorded in the Company’s unaudited condensed consolidated balance sheet within prepaid expenses, other current assets, accrued expenses and accounts payable. As of March 31, 2024 and December 31, 2023, these amounts were not material individually or in the aggregate.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2024, Vasconia’s shareholders’ approved a resolution to a reorganization process in terms of the Law of Commercial Bankruptcy in Mexico. In the second quarter of fiscal 2024, the Company will assess the impact of the approved reorganization process on its ability to exercise significant influence to determine if equity method accounting for its investment remains appropriate. In the event that the Company no longer exercises significant influence, the investment would not be accounted for using the equity method of accounting which may result in the recognition of a non-cash loss for amounts previously recognized in accumulated other comprehensive loss. At March 31, 2024, the accumulated other comprehensive loss related to the investment was $14.2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March 31, 2024 and December 31, 2023 (in thousands):</w:t>
      </w:r>
    </w:p>
    <w:tbl>
      <w:tblPr>
        <w:tblW w:w="10205" w:type="dxa"/>
        <w:jc w:val="left"/>
        <w:tblInd w:w="0" w:type="dxa"/>
        <w:tblLayout w:type="fixed"/>
        <w:tblCellMar>
          <w:top w:w="28" w:type="dxa"/>
          <w:left w:w="28" w:type="dxa"/>
          <w:bottom w:w="28" w:type="dxa"/>
          <w:right w:w="28" w:type="dxa"/>
        </w:tblCellMar>
      </w:tblPr>
      <w:tblGrid>
        <w:gridCol w:w="629"/>
        <w:gridCol w:w="552"/>
        <w:gridCol w:w="557"/>
        <w:gridCol w:w="196"/>
        <w:gridCol w:w="736"/>
        <w:gridCol w:w="109"/>
        <w:gridCol w:w="109"/>
        <w:gridCol w:w="109"/>
        <w:gridCol w:w="109"/>
        <w:gridCol w:w="109"/>
        <w:gridCol w:w="109"/>
        <w:gridCol w:w="196"/>
        <w:gridCol w:w="787"/>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87"/>
        <w:gridCol w:w="109"/>
        <w:gridCol w:w="109"/>
        <w:gridCol w:w="109"/>
        <w:gridCol w:w="109"/>
        <w:gridCol w:w="196"/>
        <w:gridCol w:w="736"/>
        <w:gridCol w:w="15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617" w:type="dxa"/>
            <w:gridSpan w:val="10"/>
            <w:tcBorders/>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Goodwill</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Indefinite-lived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Customer relationships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gross and net value at March 31, 2024 and December 31, 2023 reflect a reduction of $91.7 million in impairment charges on goodwill and $1.0 million in impairment charges on indefinite-lived intangible assets.</w:t>
      </w:r>
    </w:p>
    <w:p>
      <w:pPr>
        <w:pStyle w:val="TextBody"/>
        <w:bidi w:val="0"/>
        <w:spacing w:lineRule="auto" w:line="288" w:before="60" w:after="283"/>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gross value and accumulated amortization at March 31, 2024 and December 31, 2023 reflect a reduction of $44.1 million and $(29.3) million, respectively, for the net $14.8 million previous impairment charge on finite-lived intangible assets within the international segment and a $6.5 million reduction in gross value for previous impairment charges on finite-lived intangible assets within the U.S.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provides for a senior secured asset-based revolving credit facility in the maximum aggregate principal amount of $200.0 million, which facility will mature on August 26, 2027.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total availability under the ABL Agreement were as follows (in thousands):</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231"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43"/>
        <w:gridCol w:w="912"/>
        <w:gridCol w:w="135"/>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130,626 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March 31,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2024 was between 6.44% and 8.75%. The Company paid a commitment fee of 0.25% on the unused portion of the ABL Agreement during the three months ended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SOFR Adjustment) for the applicable interest period, but not less than 1.0%, plus a margin of 5.5%. The interest rate on outstanding borrowings under the Term Loan at March 31, 2024 was 10.94%.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in compliance with the covenants of the Debt Agreements at March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that it will continue to borrow, subject to availability, and repay funds under the ABL Agreement based on working capital and other corporate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7</w:t>
      </w:r>
      <w:r>
        <w:rPr>
          <w:color w:val="000000"/>
        </w:rPr>
        <w:t xml:space="preserve"> — </w:t>
      </w:r>
      <w:r>
        <w:rPr>
          <w:rFonts w:ascii="Times New Roman;sans-serif" w:hAnsi="Times New Roman;sans-serif"/>
          <w:b/>
          <w:color w:val="000000"/>
          <w:sz w:val="20"/>
        </w:rPr>
        <w:t xml:space="preserve">DERIVATIVES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March 31,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Exchange Contracts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gross notional value of foreign exchange contracts at March 31, 2024 was $7.0 million. These foreign exchange contracts have been designated as hedges in order to apply hedge accounting.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enter into such contracts for speculative purposes, and as of March 31,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presented as follows (in thousands):</w:t>
      </w:r>
    </w:p>
    <w:tbl>
      <w:tblPr>
        <w:tblW w:w="9952" w:type="dxa"/>
        <w:jc w:val="left"/>
        <w:tblInd w:w="0" w:type="dxa"/>
        <w:tblLayout w:type="fixed"/>
        <w:tblCellMar>
          <w:top w:w="28" w:type="dxa"/>
          <w:left w:w="28" w:type="dxa"/>
          <w:bottom w:w="28" w:type="dxa"/>
          <w:right w:w="28" w:type="dxa"/>
        </w:tblCellMar>
      </w:tblPr>
      <w:tblGrid>
        <w:gridCol w:w="1249"/>
        <w:gridCol w:w="1098"/>
        <w:gridCol w:w="1102"/>
        <w:gridCol w:w="1014"/>
        <w:gridCol w:w="1014"/>
        <w:gridCol w:w="1017"/>
        <w:gridCol w:w="109"/>
        <w:gridCol w:w="109"/>
        <w:gridCol w:w="109"/>
        <w:gridCol w:w="388"/>
        <w:gridCol w:w="656"/>
        <w:gridCol w:w="216"/>
        <w:gridCol w:w="109"/>
        <w:gridCol w:w="109"/>
        <w:gridCol w:w="109"/>
        <w:gridCol w:w="443"/>
        <w:gridCol w:w="750"/>
        <w:gridCol w:w="351"/>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346"/>
        <w:gridCol w:w="1184"/>
        <w:gridCol w:w="1188"/>
        <w:gridCol w:w="1010"/>
        <w:gridCol w:w="1010"/>
        <w:gridCol w:w="1013"/>
        <w:gridCol w:w="109"/>
        <w:gridCol w:w="109"/>
        <w:gridCol w:w="109"/>
        <w:gridCol w:w="339"/>
        <w:gridCol w:w="729"/>
        <w:gridCol w:w="188"/>
        <w:gridCol w:w="109"/>
        <w:gridCol w:w="109"/>
        <w:gridCol w:w="109"/>
        <w:gridCol w:w="398"/>
        <w:gridCol w:w="826"/>
        <w:gridCol w:w="320"/>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March 31, 2024, the Company did not anticipate non-performance by any of its counterparties.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6159" w:type="dxa"/>
        <w:jc w:val="left"/>
        <w:tblInd w:w="0" w:type="dxa"/>
        <w:tblLayout w:type="fixed"/>
        <w:tblCellMar>
          <w:top w:w="28" w:type="dxa"/>
          <w:left w:w="28" w:type="dxa"/>
          <w:bottom w:w="28" w:type="dxa"/>
          <w:right w:w="28" w:type="dxa"/>
        </w:tblCellMar>
      </w:tblPr>
      <w:tblGrid>
        <w:gridCol w:w="1338"/>
        <w:gridCol w:w="1172"/>
        <w:gridCol w:w="1179"/>
        <w:gridCol w:w="196"/>
        <w:gridCol w:w="421"/>
        <w:gridCol w:w="109"/>
        <w:gridCol w:w="109"/>
        <w:gridCol w:w="109"/>
        <w:gridCol w:w="109"/>
        <w:gridCol w:w="196"/>
        <w:gridCol w:w="631"/>
        <w:gridCol w:w="109"/>
        <w:gridCol w:w="109"/>
        <w:gridCol w:w="109"/>
        <w:gridCol w:w="109"/>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gains and losses on the interest rate swaps that are reported in other comprehensive income are reclassified into earnings as the interest expense on the debt is recognized. The Company’s interest rate swaps that were designated as hedging instruments had an aggregate notional value of $25.0 million and matured during the three months ended March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reclassified $0.1 million of cash flow hedges in accumulated other comprehensive losses to earnings. This was related to foreign exchange contracts recognized in cost of sales. At March 31, 2024, the estimated amount of existing net losses expected to be reclassified into earnings within the next 12 months was below $0.1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reclassified $0.9 million of cash flow hedges in accumulated other comprehensive losses to earnings. This was comprised of a gain of $0.1 million related to realized interest rate swap and a gain of $0.8 million related to foreign exchange contracts recognized in cost of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mark to market (losses)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432"/>
        <w:gridCol w:w="1256"/>
        <w:gridCol w:w="1263"/>
        <w:gridCol w:w="1171"/>
        <w:gridCol w:w="1171"/>
        <w:gridCol w:w="1174"/>
        <w:gridCol w:w="109"/>
        <w:gridCol w:w="109"/>
        <w:gridCol w:w="109"/>
        <w:gridCol w:w="196"/>
        <w:gridCol w:w="495"/>
        <w:gridCol w:w="109"/>
        <w:gridCol w:w="109"/>
        <w:gridCol w:w="109"/>
        <w:gridCol w:w="109"/>
        <w:gridCol w:w="196"/>
        <w:gridCol w:w="495"/>
        <w:gridCol w:w="109"/>
        <w:gridCol w:w="109"/>
        <w:gridCol w:w="109"/>
        <w:gridCol w:w="109"/>
        <w:gridCol w:w="157"/>
      </w:tblGrid>
      <w:tr>
        <w:trPr/>
        <w:tc>
          <w:tcPr>
            <w:tcW w:w="143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8</w:t>
      </w:r>
      <w:r>
        <w:rPr>
          <w:color w:val="000000"/>
        </w:rPr>
        <w:t xml:space="preserve"> — </w:t>
      </w:r>
      <w:r>
        <w:rPr>
          <w:rFonts w:ascii="Times New Roman;sans-serif" w:hAnsi="Times New Roman;sans-serif"/>
          <w:b/>
          <w:color w:val="000000"/>
          <w:sz w:val="20"/>
        </w:rPr>
        <w:t>STOCK COMPENSATION</w:t>
      </w:r>
    </w:p>
    <w:p>
      <w:pPr>
        <w:pStyle w:val="TextBody"/>
        <w:bidi w:val="0"/>
        <w:spacing w:lineRule="auto" w:line="288" w:before="120" w:after="283"/>
        <w:jc w:val="left"/>
        <w:rPr/>
      </w:pPr>
      <w:r>
        <w:rPr>
          <w:rFonts w:ascii="Times New Roman;sans-serif" w:hAnsi="Times New Roman;sans-serif"/>
          <w:b w:val="false"/>
          <w:color w:val="000000"/>
          <w:sz w:val="20"/>
        </w:rPr>
        <w:t>As of March 31, 2024, there were 242,448 shares available for the grant of awards under the Company's Amended and Restated 2000 Long Term Incentive Plan (</w:t>
      </w:r>
      <w:r>
        <w:rPr>
          <w:color w:val="000000"/>
        </w:rPr>
        <w:t>“</w:t>
      </w:r>
      <w:r>
        <w:rPr>
          <w:rFonts w:ascii="Times New Roman;sans-serif" w:hAnsi="Times New Roman;sans-serif"/>
          <w:b w:val="false"/>
          <w:color w:val="000000"/>
          <w:sz w:val="20"/>
        </w:rPr>
        <w:t>Plan</w:t>
      </w:r>
      <w:r>
        <w:rPr>
          <w:color w:val="000000"/>
        </w:rPr>
        <w:t>”</w:t>
      </w:r>
      <w:r>
        <w:rPr>
          <w:rFonts w:ascii="Times New Roman;sans-serif" w:hAnsi="Times New Roman;sans-serif"/>
          <w:b w:val="false"/>
          <w:color w:val="000000"/>
          <w:sz w:val="20"/>
        </w:rPr>
        <w:t>), assuming maximum performance of performance-based awards.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related information for the three months ended March 31, 2024 is as follows:</w:t>
      </w:r>
    </w:p>
    <w:tbl>
      <w:tblPr>
        <w:tblW w:w="10205" w:type="dxa"/>
        <w:jc w:val="left"/>
        <w:tblInd w:w="0" w:type="dxa"/>
        <w:tblLayout w:type="fixed"/>
        <w:tblCellMar>
          <w:top w:w="28" w:type="dxa"/>
          <w:left w:w="28" w:type="dxa"/>
          <w:bottom w:w="28" w:type="dxa"/>
          <w:right w:w="28" w:type="dxa"/>
        </w:tblCellMar>
      </w:tblPr>
      <w:tblGrid>
        <w:gridCol w:w="1816"/>
        <w:gridCol w:w="1574"/>
        <w:gridCol w:w="1577"/>
        <w:gridCol w:w="253"/>
        <w:gridCol w:w="552"/>
        <w:gridCol w:w="109"/>
        <w:gridCol w:w="109"/>
        <w:gridCol w:w="109"/>
        <w:gridCol w:w="109"/>
        <w:gridCol w:w="252"/>
        <w:gridCol w:w="717"/>
        <w:gridCol w:w="142"/>
        <w:gridCol w:w="109"/>
        <w:gridCol w:w="109"/>
        <w:gridCol w:w="109"/>
        <w:gridCol w:w="325"/>
        <w:gridCol w:w="325"/>
        <w:gridCol w:w="326"/>
        <w:gridCol w:w="109"/>
        <w:gridCol w:w="109"/>
        <w:gridCol w:w="109"/>
        <w:gridCol w:w="317"/>
        <w:gridCol w:w="683"/>
        <w:gridCol w:w="256"/>
      </w:tblGrid>
      <w:tr>
        <w:trPr/>
        <w:tc>
          <w:tcPr>
            <w:tcW w:w="181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br/>
              <w:t>(in thousands)</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January 1, 2024</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Expirations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March 31, 2024</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exercisable, March 31, 2024</w:t>
            </w:r>
          </w:p>
        </w:tc>
        <w:tc>
          <w:tcPr>
            <w:tcW w:w="8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stock option expense remaining (in thousands)</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that would have been received by the option holders had all option holders exercised their stock options on March 31, 2024. The intrinsic value is calculated for each in-the-money stock option as the difference between the closing price of the Company’s common stock on March 31, 2024 and the exercise price.</w:t>
      </w:r>
    </w:p>
    <w:p>
      <w:pPr>
        <w:pStyle w:val="TextBody"/>
        <w:bidi w:val="0"/>
        <w:spacing w:lineRule="auto" w:line="288" w:before="240" w:after="283"/>
        <w:jc w:val="left"/>
        <w:rPr/>
      </w:pPr>
      <w:r>
        <w:rPr>
          <w:rFonts w:ascii="Times New Roman;sans-serif" w:hAnsi="Times New Roman;sans-serif"/>
          <w:b w:val="false"/>
          <w:color w:val="000000"/>
          <w:sz w:val="20"/>
        </w:rPr>
        <w:t xml:space="preserve">On March 8, 2023, the exercise period for the Executive Chairman’s outstanding vested stock options were extended to remain exercisable until ninety days following termination of his service on the Company's Board of Directors (the </w:t>
      </w:r>
      <w:r>
        <w:rPr>
          <w:color w:val="000000"/>
        </w:rPr>
        <w:t>“</w:t>
      </w:r>
      <w:r>
        <w:rPr>
          <w:rFonts w:ascii="Times New Roman;sans-serif" w:hAnsi="Times New Roman;sans-serif"/>
          <w:b w:val="false"/>
          <w:color w:val="000000"/>
          <w:sz w:val="20"/>
        </w:rPr>
        <w:t>Board</w:t>
      </w:r>
      <w:r>
        <w:rPr>
          <w:color w:val="000000"/>
        </w:rPr>
        <w:t>”</w:t>
      </w:r>
      <w:r>
        <w:rPr>
          <w:rFonts w:ascii="Times New Roman;sans-serif" w:hAnsi="Times New Roman;sans-serif"/>
          <w:b w:val="false"/>
          <w:color w:val="000000"/>
          <w:sz w:val="20"/>
        </w:rPr>
        <w:t>). The outstanding stock options remain subject to original expiration dates of such awards. The Company recorded $0.1 million of stock compensation expense in connection with this extension during the three months ended March 31, 2023.</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activity and related information for the three months ended March 31, 2024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January 1,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March 31,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670,629 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three months ended March 31, 2024 was $1.4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The shares are subject to the terms and conditions of the Company’s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performance-based award activity and related information for the three months ended March 31, 2024 is as follows:</w:t>
      </w:r>
    </w:p>
    <w:tbl>
      <w:tblPr>
        <w:tblW w:w="8156" w:type="dxa"/>
        <w:jc w:val="left"/>
        <w:tblInd w:w="0" w:type="dxa"/>
        <w:tblLayout w:type="fixed"/>
        <w:tblCellMar>
          <w:top w:w="28" w:type="dxa"/>
          <w:left w:w="28" w:type="dxa"/>
          <w:bottom w:w="28" w:type="dxa"/>
          <w:right w:w="28" w:type="dxa"/>
        </w:tblCellMar>
      </w:tblPr>
      <w:tblGrid>
        <w:gridCol w:w="1989"/>
        <w:gridCol w:w="1746"/>
        <w:gridCol w:w="1754"/>
        <w:gridCol w:w="259"/>
        <w:gridCol w:w="736"/>
        <w:gridCol w:w="144"/>
        <w:gridCol w:w="109"/>
        <w:gridCol w:w="109"/>
        <w:gridCol w:w="109"/>
        <w:gridCol w:w="259"/>
        <w:gridCol w:w="737"/>
        <w:gridCol w:w="205"/>
      </w:tblGrid>
      <w:tr>
        <w:trPr/>
        <w:tc>
          <w:tcPr>
            <w:tcW w:w="19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based stock</w:t>
            </w:r>
          </w:p>
          <w:p>
            <w:pPr>
              <w:pStyle w:val="TableContents"/>
              <w:bidi w:val="0"/>
              <w:spacing w:lineRule="auto" w:line="240" w:before="0" w:after="0"/>
              <w:jc w:val="center"/>
              <w:rPr/>
            </w:pPr>
            <w:r>
              <w:rPr>
                <w:rFonts w:ascii="Times New Roman;sans-serif" w:hAnsi="Times New Roman;sans-serif"/>
                <w:b/>
                <w:color w:val="000000"/>
                <w:sz w:val="18"/>
              </w:rPr>
              <w:t xml:space="preserve">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January 1,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(152,188)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March 31,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The performance metric for the performance-based awards granted in 2022 is not probable of achievement. Therefore, no compensation expense has been recorded on these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performance-based awards that vested during the three months ended March 31, 2024 was $1.5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Cash-settled performance-based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The cash-settled performance-based awards are subject to the terms and conditions of the Company’s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cash-settled performance-based awards activity and related information for the three months ended March 31, 2024 is as follows:</w:t>
      </w:r>
    </w:p>
    <w:tbl>
      <w:tblPr>
        <w:tblW w:w="10205" w:type="dxa"/>
        <w:jc w:val="left"/>
        <w:tblInd w:w="0" w:type="dxa"/>
        <w:tblLayout w:type="fixed"/>
        <w:tblCellMar>
          <w:top w:w="28" w:type="dxa"/>
          <w:left w:w="28" w:type="dxa"/>
          <w:bottom w:w="28" w:type="dxa"/>
          <w:right w:w="28" w:type="dxa"/>
        </w:tblCellMar>
      </w:tblPr>
      <w:tblGrid>
        <w:gridCol w:w="1973"/>
        <w:gridCol w:w="1732"/>
        <w:gridCol w:w="1740"/>
        <w:gridCol w:w="931"/>
        <w:gridCol w:w="1931"/>
        <w:gridCol w:w="520"/>
        <w:gridCol w:w="109"/>
        <w:gridCol w:w="109"/>
        <w:gridCol w:w="109"/>
        <w:gridCol w:w="225"/>
        <w:gridCol w:w="643"/>
        <w:gridCol w:w="183"/>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Cash-settled performance-based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January 1, 2024</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2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March 31, 2024</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82,504 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performance metric for the cash-settled performance-based awards granted in 2022 is not probable of achievement. Therefore, no compensation expense has been recorded on these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 compensation expense as follows (in thousands):</w:t>
      </w:r>
    </w:p>
    <w:tbl>
      <w:tblPr>
        <w:tblW w:w="6474" w:type="dxa"/>
        <w:jc w:val="left"/>
        <w:tblInd w:w="0" w:type="dxa"/>
        <w:tblLayout w:type="fixed"/>
        <w:tblCellMar>
          <w:top w:w="28" w:type="dxa"/>
          <w:left w:w="28" w:type="dxa"/>
          <w:bottom w:w="28" w:type="dxa"/>
          <w:right w:w="28" w:type="dxa"/>
        </w:tblCellMar>
      </w:tblPr>
      <w:tblGrid>
        <w:gridCol w:w="1526"/>
        <w:gridCol w:w="1342"/>
        <w:gridCol w:w="1346"/>
        <w:gridCol w:w="196"/>
        <w:gridCol w:w="421"/>
        <w:gridCol w:w="109"/>
        <w:gridCol w:w="109"/>
        <w:gridCol w:w="109"/>
        <w:gridCol w:w="109"/>
        <w:gridCol w:w="196"/>
        <w:gridCol w:w="421"/>
        <w:gridCol w:w="109"/>
        <w:gridCol w:w="109"/>
        <w:gridCol w:w="109"/>
        <w:gridCol w:w="109"/>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Components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performance-based stock awards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for equity based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based stock option expense</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loss per common share for the three months ended March 31, 2024 and 2023 are as follows:</w:t>
      </w:r>
    </w:p>
    <w:tbl>
      <w:tblPr>
        <w:tblW w:w="7242" w:type="dxa"/>
        <w:jc w:val="left"/>
        <w:tblInd w:w="0" w:type="dxa"/>
        <w:tblLayout w:type="fixed"/>
        <w:tblCellMar>
          <w:top w:w="28" w:type="dxa"/>
          <w:left w:w="28" w:type="dxa"/>
          <w:bottom w:w="28" w:type="dxa"/>
          <w:right w:w="28" w:type="dxa"/>
        </w:tblCellMar>
      </w:tblPr>
      <w:tblGrid>
        <w:gridCol w:w="1362"/>
        <w:gridCol w:w="1199"/>
        <w:gridCol w:w="1204"/>
        <w:gridCol w:w="267"/>
        <w:gridCol w:w="861"/>
        <w:gridCol w:w="148"/>
        <w:gridCol w:w="148"/>
        <w:gridCol w:w="148"/>
        <w:gridCol w:w="148"/>
        <w:gridCol w:w="267"/>
        <w:gridCol w:w="861"/>
        <w:gridCol w:w="148"/>
        <w:gridCol w:w="109"/>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Weighted-average shares outstanding – Basic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dilutive securities: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Stock options and other stock awards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shares outstanding – Diluted</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Basic loss per common share</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Diluted loss per common share</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Antidilutive Securities</w:t>
            </w:r>
            <w:r>
              <w:rPr>
                <w:rFonts w:ascii="Times New Roman;sans-serif" w:hAnsi="Times New Roman;sans-serif"/>
                <w:b/>
                <w:color w:val="000000"/>
                <w:sz w:val="12"/>
              </w:rPr>
              <w:t>(1)</w:t>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$0.2 million and income tax benefit of $1.3 million for the three months ended March 31, 2024 and 2023, respectively, represent taxes on both U.S. and foreign earnings at a combined effective income tax provision rate of (5.3)% and benefit rate of 18.3%, respectively. The negative rate for the three months ended March 31, 2024 reflects tax expense on a pretax financial reporting loss. The effective tax rate for the three months ended March 31,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 The effective tax rate for the three months ended March 31, 2023 differs from the federal statutory income tax rate of 21.0% primarily due to state and local tax expense, the impact of non-deductible expenses,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jurisdictions as “major” tax jurisdictions: U.S. Federal, California, Massachusetts, New Jersey, New York and the United Kingdom.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March 31, 2024 and March 31,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tbl>
      <w:tblPr>
        <w:tblW w:w="6144" w:type="dxa"/>
        <w:jc w:val="left"/>
        <w:tblInd w:w="0" w:type="dxa"/>
        <w:tblLayout w:type="fixed"/>
        <w:tblCellMar>
          <w:top w:w="28" w:type="dxa"/>
          <w:left w:w="28" w:type="dxa"/>
          <w:bottom w:w="28" w:type="dxa"/>
          <w:right w:w="28" w:type="dxa"/>
        </w:tblCellMar>
      </w:tblPr>
      <w:tblGrid>
        <w:gridCol w:w="1097"/>
        <w:gridCol w:w="966"/>
        <w:gridCol w:w="981"/>
        <w:gridCol w:w="211"/>
        <w:gridCol w:w="826"/>
        <w:gridCol w:w="109"/>
        <w:gridCol w:w="109"/>
        <w:gridCol w:w="109"/>
        <w:gridCol w:w="109"/>
        <w:gridCol w:w="211"/>
        <w:gridCol w:w="826"/>
        <w:gridCol w:w="109"/>
        <w:gridCol w:w="109"/>
        <w:gridCol w:w="109"/>
        <w:gridCol w:w="109"/>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4696"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Wallace EPA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consented to the EPA’s access request, provided that the EPA received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(“Consent Decree”). On July 26, 2023, the U.S. Government filed a complaint in United States District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 for the District of Puerto Rico for the purpose of seeking judicial approval of the Consent Decree. As required by applicable regulations, the U.S. Government simultaneously lodged the Consent Decree for public comment. No comments were received during the public comment period. On September 6, 2023, at the conclusion of the public comment period, the U.S. Government filed a Motion to Enter the Consent Decree, which the court granted on December 1, 2023, thereby effectuating the Consent Decree.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 Customs and Border Protection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period of investigation covers a five-year period, the Company is compiling supporting documentation packages for all tableware collections imported during this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CBP accepts the evidence presented, then no additional duties or penalties will be owed. If CBP rejects the Company’s position, then the estimated amount of duties that could be owed is $0.3 million. In such event, it is reasonably possible that additional penalties could be assessed, depending upon the level of culpability found, of up to $0.6 million for negligence and up to $1.2 million for gross negligence. In the event penalties are assessed, the Company will have the opportunity to further contest CBP’s findings and seek cancellation or mitigation of such assessments.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13 </w:t>
      </w:r>
      <w:r>
        <w:rPr>
          <w:color w:val="000000"/>
        </w:rPr>
        <w:t>— </w:t>
      </w:r>
      <w:r>
        <w:rPr>
          <w:rFonts w:ascii="Times New Roman;sans-serif" w:hAnsi="Times New Roman;sans-serif"/>
          <w:b/>
          <w:color w:val="000000"/>
          <w:sz w:val="20"/>
        </w:rPr>
        <w:t>OTHER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declared in the three months ended March 31, 2024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5/15/2024</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paid dividends of $1.0 million. This included payments made on February 15, 2024 of $0.9 million to stockholders of record on February 1, 2024 and payments of $0.1 million for dividends payable upon the vesting of restricted shares and performance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the Company reduced retained earnings for the accrual of $0.9 million relating to the dividend payable on May 15,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three months ended March 31, 2024. As of March 31, 2024, the remaining dollar amount available for repurchases under the Board authorized plan was $11.1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6068" w:type="dxa"/>
        <w:jc w:val="left"/>
        <w:tblInd w:w="0" w:type="dxa"/>
        <w:tblLayout w:type="fixed"/>
        <w:tblCellMar>
          <w:top w:w="28" w:type="dxa"/>
          <w:left w:w="28" w:type="dxa"/>
          <w:bottom w:w="28" w:type="dxa"/>
          <w:right w:w="28" w:type="dxa"/>
        </w:tblCellMar>
      </w:tblPr>
      <w:tblGrid>
        <w:gridCol w:w="1441"/>
        <w:gridCol w:w="1263"/>
        <w:gridCol w:w="1270"/>
        <w:gridCol w:w="196"/>
        <w:gridCol w:w="556"/>
        <w:gridCol w:w="109"/>
        <w:gridCol w:w="109"/>
        <w:gridCol w:w="109"/>
        <w:gridCol w:w="109"/>
        <w:gridCol w:w="196"/>
        <w:gridCol w:w="55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accumulated other comprehensive loss, net</w:t>
      </w:r>
    </w:p>
    <w:tbl>
      <w:tblPr>
        <w:tblW w:w="7884" w:type="dxa"/>
        <w:jc w:val="left"/>
        <w:tblInd w:w="0" w:type="dxa"/>
        <w:tblLayout w:type="fixed"/>
        <w:tblCellMar>
          <w:top w:w="28" w:type="dxa"/>
          <w:left w:w="28" w:type="dxa"/>
          <w:bottom w:w="28" w:type="dxa"/>
          <w:right w:w="28" w:type="dxa"/>
        </w:tblCellMar>
      </w:tblPr>
      <w:tblGrid>
        <w:gridCol w:w="1818"/>
        <w:gridCol w:w="1601"/>
        <w:gridCol w:w="1605"/>
        <w:gridCol w:w="196"/>
        <w:gridCol w:w="721"/>
        <w:gridCol w:w="109"/>
        <w:gridCol w:w="109"/>
        <w:gridCol w:w="109"/>
        <w:gridCol w:w="109"/>
        <w:gridCol w:w="196"/>
        <w:gridCol w:w="721"/>
        <w:gridCol w:w="109"/>
        <w:gridCol w:w="109"/>
        <w:gridCol w:w="109"/>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deferred gains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gains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of cash flow hedge </w:t>
            </w:r>
            <w:r>
              <w:rPr>
                <w:rFonts w:ascii="Times New Roman;sans-serif" w:hAnsi="Times New Roman;sans-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flow hedges, net of taxes of $0, $(2)</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Amounts reclassified from accumulated other comprehensive loss:</w:t>
            </w:r>
            <w:r>
              <w:rPr>
                <w:color w:val="000000"/>
              </w:rPr>
              <w:t xml:space="preserve"> </w:t>
            </w:r>
            <w:r>
              <w:rPr>
                <w:rFonts w:ascii="Times New Roman;sans-serif" w:hAnsi="Times New Roman;sans-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loss, net of taxes of $(4), $(4)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at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Amounts reclassified are recorded in interest expense and cost of sales on the unaudited condensed consolidated statement of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ans-serif" w:hAnsi="Times New Roman;sans-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2023 (the “2023 Annual Report on Form 10-K”) in Part I, Item 1A under the heading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Macroeconomic conditions, including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United Kingdom's exit from the European Union on the Company's U.K.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Legislative or regulatory risks relating to climate change;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Geopolitical conditions, including war, conflict, unrest and sanctions, including those related to the conflicts in Ukraine, Israel and surrounding areas;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ans-serif" w:hAnsi="Times New Roman;sans-serif"/>
          <w:b w:val="false"/>
          <w:i/>
          <w:color w:val="000000"/>
          <w:sz w:val="20"/>
          <w:u w:val="single"/>
        </w:rPr>
        <w:t>http://www.lifetimebrands.com</w:t>
      </w:r>
      <w:r>
        <w:rPr>
          <w:rFonts w:ascii="Times New Roman;sans-serif" w:hAnsi="Times New Roman;sans-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ans-serif" w:hAnsi="Times New Roman;sans-serif"/>
          <w:b w:val="false"/>
          <w:i/>
          <w:color w:val="000000"/>
          <w:sz w:val="20"/>
          <w:u w:val="single"/>
        </w:rPr>
        <w:t>http://www.sec.gov.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ABOUT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ans-serif" w:hAnsi="Times New Roman;sans-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ans-serif" w:hAnsi="Times New Roman;sans-serif"/>
          <w:b w:val="false"/>
          <w:color w:val="000000"/>
          <w:sz w:val="13"/>
        </w:rPr>
        <w:t>®</w:t>
      </w:r>
      <w:r>
        <w:rPr>
          <w:rFonts w:ascii="Times New Roman;sans-serif" w:hAnsi="Times New Roman;sans-serif"/>
          <w:b w:val="false"/>
          <w:color w:val="000000"/>
          <w:sz w:val="20"/>
        </w:rPr>
        <w:t>, Mikasa</w:t>
      </w:r>
      <w:r>
        <w:rPr>
          <w:rFonts w:ascii="Times New Roman;sans-serif" w:hAnsi="Times New Roman;sans-serif"/>
          <w:b w:val="false"/>
          <w:color w:val="000000"/>
          <w:sz w:val="13"/>
        </w:rPr>
        <w:t>®</w:t>
      </w:r>
      <w:r>
        <w:rPr>
          <w:rFonts w:ascii="Times New Roman;sans-serif" w:hAnsi="Times New Roman;sans-serif"/>
          <w:b w:val="false"/>
          <w:color w:val="000000"/>
          <w:sz w:val="20"/>
        </w:rPr>
        <w:t>, KitchenAid</w:t>
      </w:r>
      <w:r>
        <w:rPr>
          <w:rFonts w:ascii="Times New Roman;sans-serif" w:hAnsi="Times New Roman;sans-serif"/>
          <w:b w:val="false"/>
          <w:color w:val="000000"/>
          <w:sz w:val="13"/>
        </w:rPr>
        <w:t>®</w:t>
      </w:r>
      <w:r>
        <w:rPr>
          <w:rFonts w:ascii="Times New Roman;sans-serif" w:hAnsi="Times New Roman;sans-serif"/>
          <w:b w:val="false"/>
          <w:color w:val="000000"/>
          <w:sz w:val="20"/>
        </w:rPr>
        <w:t>, Taylor</w:t>
      </w:r>
      <w:r>
        <w:rPr>
          <w:rFonts w:ascii="Times New Roman;sans-serif" w:hAnsi="Times New Roman;sans-serif"/>
          <w:b w:val="false"/>
          <w:color w:val="000000"/>
          <w:sz w:val="13"/>
        </w:rPr>
        <w:t>®</w:t>
      </w:r>
      <w:r>
        <w:rPr>
          <w:rFonts w:ascii="Times New Roman;sans-serif" w:hAnsi="Times New Roman;sans-serif"/>
          <w:b w:val="false"/>
          <w:color w:val="000000"/>
          <w:sz w:val="20"/>
        </w:rPr>
        <w:t>, Rabbit</w:t>
      </w:r>
      <w:r>
        <w:rPr>
          <w:rFonts w:ascii="Times New Roman;sans-serif" w:hAnsi="Times New Roman;sans-serif"/>
          <w:b w:val="false"/>
          <w:color w:val="000000"/>
          <w:sz w:val="13"/>
        </w:rPr>
        <w:t>®</w:t>
      </w:r>
      <w:r>
        <w:rPr>
          <w:rFonts w:ascii="Times New Roman;sans-serif" w:hAnsi="Times New Roman;sans-serif"/>
          <w:b w:val="false"/>
          <w:color w:val="000000"/>
          <w:sz w:val="20"/>
        </w:rPr>
        <w:t>, Pfaltzgraff</w:t>
      </w:r>
      <w:r>
        <w:rPr>
          <w:rFonts w:ascii="Times New Roman;sans-serif" w:hAnsi="Times New Roman;sans-serif"/>
          <w:b w:val="false"/>
          <w:color w:val="000000"/>
          <w:sz w:val="13"/>
        </w:rPr>
        <w:t>®</w:t>
      </w:r>
      <w:r>
        <w:rPr>
          <w:rFonts w:ascii="Times New Roman;sans-serif" w:hAnsi="Times New Roman;sans-serif"/>
          <w:b w:val="false"/>
          <w:color w:val="000000"/>
          <w:sz w:val="20"/>
        </w:rPr>
        <w:t>, Built NY</w:t>
      </w:r>
      <w:r>
        <w:rPr>
          <w:rFonts w:ascii="Times New Roman;sans-serif" w:hAnsi="Times New Roman;sans-serif"/>
          <w:b w:val="false"/>
          <w:color w:val="000000"/>
          <w:sz w:val="13"/>
        </w:rPr>
        <w:t>®</w:t>
      </w:r>
      <w:r>
        <w:rPr>
          <w:rFonts w:ascii="Times New Roman;sans-serif" w:hAnsi="Times New Roman;sans-serif"/>
          <w:b w:val="false"/>
          <w:color w:val="000000"/>
          <w:sz w:val="20"/>
        </w:rPr>
        <w:t>, Sabatier</w:t>
      </w:r>
      <w:r>
        <w:rPr>
          <w:rFonts w:ascii="Times New Roman;sans-serif" w:hAnsi="Times New Roman;sans-serif"/>
          <w:b w:val="false"/>
          <w:color w:val="000000"/>
          <w:sz w:val="13"/>
        </w:rPr>
        <w:t>®</w:t>
      </w:r>
      <w:r>
        <w:rPr>
          <w:rFonts w:ascii="Times New Roman;sans-serif" w:hAnsi="Times New Roman;sans-serif"/>
          <w:b w:val="false"/>
          <w:color w:val="000000"/>
          <w:sz w:val="20"/>
        </w:rPr>
        <w:t>, Fred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&amp; Friends, Kamenstein</w:t>
      </w:r>
      <w:r>
        <w:rPr>
          <w:rFonts w:ascii="Times New Roman;sans-serif" w:hAnsi="Times New Roman;sans-serif"/>
          <w:b w:val="false"/>
          <w:color w:val="000000"/>
          <w:sz w:val="13"/>
        </w:rPr>
        <w:t>®</w:t>
      </w:r>
      <w:r>
        <w:rPr>
          <w:rFonts w:ascii="Times New Roman;sans-serif" w:hAnsi="Times New Roman;sans-serif"/>
          <w:b w:val="false"/>
          <w:color w:val="000000"/>
          <w:sz w:val="20"/>
        </w:rPr>
        <w:t>, and S'well</w:t>
      </w:r>
      <w:r>
        <w:rPr>
          <w:rFonts w:ascii="Times New Roman;sans-serif" w:hAnsi="Times New Roman;sans-serif"/>
          <w:b w:val="false"/>
          <w:color w:val="000000"/>
          <w:sz w:val="13"/>
        </w:rPr>
        <w:t>®</w:t>
      </w:r>
      <w:r>
        <w:rPr>
          <w:rFonts w:ascii="Times New Roman;sans-serif" w:hAnsi="Times New Roman;sans-serif"/>
          <w:b w:val="false"/>
          <w:color w:val="000000"/>
          <w:sz w:val="20"/>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jc w:val="left"/>
        <w:rPr/>
      </w:pPr>
      <w:r>
        <w:rPr>
          <w:rFonts w:ascii="Times New Roman;sans-serif" w:hAnsi="Times New Roman;sans-serif"/>
          <w:b w:val="false"/>
          <w:color w:val="000000"/>
          <w:sz w:val="20"/>
        </w:rPr>
        <w:t xml:space="preserve">The global economy experienced relatively high inflation throughout 2023. As global inflation levels moderate, the impact of elevated inflation and high interest rates may negatively impact consumer spending and buying patterns in 2024. Shifts in consumer spending and buying patterns may directly impact our retailer ordering patterns, which may adversely impact the Company's results. In addition, disruptions in the global supply chain due to attacks on commercial vessels in the Red Sea, may adversely impact the Company’s results due to supply delays and an increase in transportation costs. </w:t>
      </w:r>
      <w:r>
        <w:rPr>
          <w:rFonts w:ascii="Times New Roman;sans-serif" w:hAnsi="Times New Roman;sans-serif"/>
          <w:b w:val="false"/>
          <w:color w:val="000000"/>
          <w:sz w:val="20"/>
          <w:shd w:fill="FFFFFF" w:val="clear"/>
        </w:rPr>
        <w:t xml:space="preserve">The Company expects </w:t>
      </w:r>
      <w:r>
        <w:rPr>
          <w:rFonts w:ascii="Times New Roman;sans-serif" w:hAnsi="Times New Roman;sans-serif"/>
          <w:b w:val="false"/>
          <w:color w:val="000000"/>
          <w:sz w:val="20"/>
        </w:rPr>
        <w:t xml:space="preserve">uncertainty as result of these trends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The Company accounts for its investment in Vasconia using the equity method of accounting and records its proportionate share of Vasconia’s net loss in the Company’s condensed consolidated statements of operations. Accordingly, the Company has recorded its proportionate share of Vasconia’s net loss for the three months ended March 31, 2024 and 2023 in the accompanying unaudited condensed consolidated statements of operations. Pursuant to a Shares Subscription Agreement, the Company may designate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 persons to be nominated as members of Vasconia’s Board of Directors (the "Vasconia Board"). As of March 31, 2024, the Vasconia Board was comprised of eleven members, of whom the Company had zero designated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the seasonality of the Company’s net sales and inventory levels, the Company also experiences seasonality in its inventory turnover and turnover days from one quarter to the next.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pPr>
      <w:r>
        <w:rPr>
          <w:rFonts w:ascii="Times New Roman;sans-serif" w:hAnsi="Times New Roman;sans-serif"/>
          <w:b w:val="false"/>
          <w:color w:val="000000"/>
          <w:sz w:val="20"/>
        </w:rPr>
        <w:t xml:space="preserve">There have been no material changes to the Company’s critical accounting estimates discussed in the 2023 Annual Report on Form 10-K in Item 7 under the heading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statements of operations data of the Company as a percentage of net sales for the periods indicated:</w:t>
      </w:r>
    </w:p>
    <w:tbl>
      <w:tblPr>
        <w:tblW w:w="6290" w:type="dxa"/>
        <w:jc w:val="left"/>
        <w:tblInd w:w="0" w:type="dxa"/>
        <w:tblLayout w:type="fixed"/>
        <w:tblCellMar>
          <w:top w:w="28" w:type="dxa"/>
          <w:left w:w="28" w:type="dxa"/>
          <w:bottom w:w="28" w:type="dxa"/>
          <w:right w:w="28" w:type="dxa"/>
        </w:tblCellMar>
      </w:tblPr>
      <w:tblGrid>
        <w:gridCol w:w="1237"/>
        <w:gridCol w:w="1091"/>
        <w:gridCol w:w="1106"/>
        <w:gridCol w:w="278"/>
        <w:gridCol w:w="278"/>
        <w:gridCol w:w="352"/>
        <w:gridCol w:w="150"/>
        <w:gridCol w:w="150"/>
        <w:gridCol w:w="150"/>
        <w:gridCol w:w="278"/>
        <w:gridCol w:w="278"/>
        <w:gridCol w:w="352"/>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 of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 COMPARED TO THE THREE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three months ended March 31, 2024 were $142.2 million, representing a decrease of $3.2 million, or 2.2%, as compared to net sales of $145.4 million for the corresponding period in 2023. In constant currency, a non-GAAP financial measure, which excludes the impact of foreign exchange fluctuations and was determined by applying 2024 average rates to 2023 local currency amounts, consolidated net sales decreased by $3.7 million, or 2.5%, as compared to consolidated net sales in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three months ended March 31, 2024 were $130.5 million, a decrease of $3.0 million, or 2.2%, as compared to net sales of $133.5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$83.5 million for the three months ended March 31, 2024, a decrease of $2.2 million, or 2.6%, as compared to $85.7 million for the corresponding period in 2023. The decrease was driven by sales for kitchen tools and gadgets and barware products, partially offset by higher sales for cutlery and boards.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Tableware product category were $25.8 million for the three months ended March 31, 2024, an increase of $1.8 million, or 7.5%, as compared to $24.0 million for the corresponding period in 2023. The increase was attributable to higher dinnerware sales due to a new warehouse club program in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$21.2 million for the three months ended March 31, 2024, a decrease of $2.6 million, or 10.9%, as compared to $23.8 million for the corresponding period in 2023. The decrease was in hydration products and Taylor branded bath measurement products, partially offset by higher sales for Home Décor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International segment were $11.7 million for the three months ended March 31, 2024, a decrease of $0.2 million, or 1.7%, as compared to net sales of $11.9 million for the corresponding period in 2023. In constant currency, a non-GAAP financial measure, which excludes the impact of foreign exchange fluctuations, net sales decreased $0.7 million, or 5.3%, as compared to consolidated net sales in the corresponding period in 2023. The decrease was attributable to lower replenishment orders for e-commerce and brick-and-mortar customers, partially offset by higher sales in Australia for the Company's global trading business in Asia.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three months ended March 31, 2024 was $57.5 million, or 40.5%, as compared to $53.8 million, or 37.0%,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U.S. segment was $53.3 million, or 40.8%, for the three months ended March 31, 2024, as compared to $48.9 million, or 36.6%, for the corresponding period in 2023. The increase in gross margin percentage was due to lower inbound freight costs and favorable product mix.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International segment was $4.2 million, or 35.9%, for the three months ended March 31, 2024, as compared to $5.0 million, or 42.0%, for the corresponding period in 2023. The decrease in the gross margin percentage was driven by higher product costs due to unfavorable fluctuations in foreign currency exchange rates.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three months ended March 31, 2024 were $16.2 million, as compared to $16.9 million for the corresponding period in 2023. Distribution expenses as a percentage of net sales were 11.4% for the three months ended March 31, 2024, as compared to 11.6% for the three months ended March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approximately 10.0% and 10.2% for the three months ended March 31, 2024 and 2023, respectively. As a percentage of sales shipped from the Company’s U.S. warehouses, distribution expenses were 10.5% for the three months ended March 31, 2024 and 2023, respectively. The expenses as a percentage of sales were impacted by improved labor management efficiencies resulting in a decrease of employee expenses and lower storage expenses from lower inventory levels, offset by higher freight out and facility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International segment were 27.2% for the three months ended March 31, 2024, compared to 28.0% for the corresponding period in 2023. As a percentage of sales shipped from the Company’s international warehouses distribution expenses were 23.6% and 24.0% for the three months ended March 31, 2024 and 2023, respectively. The decrease in expenses as a percentage of sales was attributable to lower freight costs.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March 31, 2024 were $39.5 million, an increase of $1.6 million, or 4.2%, as compared to $37.9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U.S. segment were $30.8 million for the three months ended March 31, 2024, as compared to $29.3 million for the corresponding period in 2023. As a percentage of net sales, selling, general and administrative expenses were 23.6% and 21.9% for the three months ended March 31, 2024 and 2023, respectively. The increase in expenses was attributable to higher employee expenses, including incentive compensation, legal expenses, expenses related to the start-up of the Company's manufacturing operations in Mexico, and inflationary increases across several expense categories. This was partially offset by a decrease in the provision for doubtful accounts in the current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International segment were $4.2 million for the three months ended March 31, 2024, as compared to $3.6 million for the corresponding period in 2023. As a percentage of net sales, selling, general and administrative expenses were 35.9% and 30.0% for the three months ended March 31, 2024 and 2023, respectively. The increase in expenses was attributable to increased employee expenses and commission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Unallocated corporate expenses for the three months ended March 31, 2024 were $4.5 million, as compared to $5.0 million for the corresponding period in 2023. The current period decrease was driven by lower professional services and legal expenses.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incurred $0.8 million of unallocated corporate expense related to the termination payment with its former Executive Chairman.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$5.6 million and $5.3 million for the three months ended March 31, 2024 and 2023, respectively. The increase in expense was a result of higher interest rates on outstanding borrowings, partially offset by lower average outstanding borrowings.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$0.2 million for the three months ended March 31, 2024 and 2023. The loss recognized for the three months ended March 31, 2024 and 2023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March 31, 2024,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of $0.2 million and income tax benefit of $1.3 million for the three months ended March 31, 2024 and 2023, respectively, represent taxes on both U.S. and foreign earnings at a combined effective income tax provision rate of (5.3)% and benefit rate of 18.3%, respectively. The negative rate for the three months ended March 31, 2024 reflects tax expense on a pretax financial reporting loss. The effective tax rate for the three months ended March 31,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 The effective tax rate for the three months ended March 31, 2023 differs from the federal statutory income tax rate of 21.0% primarily due to state and local tax expense, the impact of non-deductible expenses, and foreign losses for which no tax benefit is recognized as such amounts are fully offset with a valuation allowance.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losses of Vasconia, net of taxes, was $2.1 million for the three months ended March 31, 2024, as compared to equity in losses of Vasconia, net of taxes, of $0.7 million for the three months ended March 31, 2023.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 equity in losses included a non-cash impairment charge of $2.1 million, to reduce the carrying value of the Company’s investment in Vasconia to its 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Vasconia reported loss from operations of $6.9 million for the three months ended March 31, 2024, as compared to loss from operations of $1.0 million for the three months ended March 31, 2023. The increase in loss from operations was primarily attributable to decreased operating results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 </w:t>
      </w:r>
    </w:p>
    <w:p>
      <w:pPr>
        <w:pStyle w:val="TextBody"/>
        <w:bidi w:val="0"/>
        <w:spacing w:lineRule="auto" w:line="288" w:before="240" w:after="283"/>
        <w:jc w:val="left"/>
        <w:rPr/>
      </w:pPr>
      <w:r>
        <w:rPr>
          <w:rFonts w:ascii="Times New Roman;sans-serif" w:hAnsi="Times New Roman;sans-serif"/>
          <w:b w:val="false"/>
          <w:color w:val="000000"/>
          <w:sz w:val="20"/>
        </w:rPr>
        <w:t xml:space="preserve">At March 31, 2024, the Company had cash and cash equivalents of $4.6 million, compared to </w:t>
      </w:r>
      <w:r>
        <w:rPr>
          <w:rFonts w:ascii="Times New Roman;sans-serif" w:hAnsi="Times New Roman;sans-serif"/>
          <w:b w:val="false"/>
          <w:color w:val="000000"/>
          <w:sz w:val="20"/>
          <w:shd w:fill="FFFFFF" w:val="clear"/>
        </w:rPr>
        <w:t>$16.2 million</w:t>
      </w:r>
      <w:r>
        <w:rPr>
          <w:color w:val="000000"/>
        </w:rPr>
        <w:t xml:space="preserve"> </w:t>
      </w:r>
      <w:r>
        <w:rPr>
          <w:rFonts w:ascii="Times New Roman;sans-serif" w:hAnsi="Times New Roman;sans-serif"/>
          <w:b w:val="false"/>
          <w:color w:val="000000"/>
          <w:sz w:val="20"/>
        </w:rPr>
        <w:t xml:space="preserve">at December 31, 2023. Working capital was $199.0 million at March 31, 2024, compared to $224.4 million at December 31, 2023. Liquidity as of March 31, 2024 was $125.1 million, consisting of $4.6 million of cash and cash equivalents, </w:t>
      </w:r>
      <w:r>
        <w:rPr>
          <w:rFonts w:ascii="Times New Roman;sans-serif" w:hAnsi="Times New Roman;sans-serif"/>
          <w:b w:val="false"/>
          <w:color w:val="000000"/>
          <w:sz w:val="20"/>
          <w:shd w:fill="FFFFFF" w:val="clear"/>
        </w:rPr>
        <w:t>$96.7 million</w:t>
      </w:r>
      <w:r>
        <w:rPr>
          <w:color w:val="000000"/>
        </w:rPr>
        <w:t xml:space="preserve"> </w:t>
      </w:r>
      <w:r>
        <w:rPr>
          <w:rFonts w:ascii="Times New Roman;sans-serif" w:hAnsi="Times New Roman;sans-serif"/>
          <w:b w:val="false"/>
          <w:color w:val="000000"/>
          <w:sz w:val="20"/>
        </w:rPr>
        <w:t>of availability under the ABL Agreement, and $23.8 million of available funding under the Receivables Purchase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2024, inventory turnover was 1.8 times, or 203 days, as compared to 1.7 times, or 212 days, for the three months ended March 31, 2023. Inventory turns have remained relatively consistent.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2024, in connection with the Wallace EPA Matter, the Company provided financial assurance of $5.6 million in the form of a letter of credit. This reduced the availability under the revolving credit facility in the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 total availability under the ABL Agreement were as follows (in thousands): </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231"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43"/>
        <w:gridCol w:w="912"/>
        <w:gridCol w:w="135"/>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130,626 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March 31,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2024 was between 6.44% and 8.75%. The Company paid a commitment fee of 0.25% on the unused portion of the ABL Agreement during the three months ended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March 31, 2024 was 10.94%.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Calculations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adjusted EBITDA for the trailing twelve months ended March 31, 2024 was $59.5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the three months ended March 31, 2024 were $0.6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net (loss) income, as reported, to adjusted EBITDA, for each of the last four quarters and the 12 months ended March 31, 2024:</w:t>
      </w:r>
    </w:p>
    <w:tbl>
      <w:tblPr>
        <w:tblW w:w="10205" w:type="dxa"/>
        <w:jc w:val="left"/>
        <w:tblInd w:w="0" w:type="dxa"/>
        <w:tblLayout w:type="fixed"/>
        <w:tblCellMar>
          <w:top w:w="28" w:type="dxa"/>
          <w:left w:w="28" w:type="dxa"/>
          <w:bottom w:w="28" w:type="dxa"/>
          <w:right w:w="28" w:type="dxa"/>
        </w:tblCellMar>
      </w:tblPr>
      <w:tblGrid>
        <w:gridCol w:w="1134"/>
        <w:gridCol w:w="766"/>
        <w:gridCol w:w="769"/>
        <w:gridCol w:w="218"/>
        <w:gridCol w:w="719"/>
        <w:gridCol w:w="121"/>
        <w:gridCol w:w="109"/>
        <w:gridCol w:w="109"/>
        <w:gridCol w:w="109"/>
        <w:gridCol w:w="223"/>
        <w:gridCol w:w="735"/>
        <w:gridCol w:w="123"/>
        <w:gridCol w:w="109"/>
        <w:gridCol w:w="109"/>
        <w:gridCol w:w="109"/>
        <w:gridCol w:w="216"/>
        <w:gridCol w:w="714"/>
        <w:gridCol w:w="120"/>
        <w:gridCol w:w="109"/>
        <w:gridCol w:w="109"/>
        <w:gridCol w:w="109"/>
        <w:gridCol w:w="196"/>
        <w:gridCol w:w="602"/>
        <w:gridCol w:w="109"/>
        <w:gridCol w:w="109"/>
        <w:gridCol w:w="109"/>
        <w:gridCol w:w="109"/>
        <w:gridCol w:w="418"/>
        <w:gridCol w:w="1378"/>
        <w:gridCol w:w="336"/>
      </w:tblGrid>
      <w:tr>
        <w:trPr/>
        <w:tc>
          <w:tcPr>
            <w:tcW w:w="113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March 31, 2024</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as reported</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Undistributed equity losses, net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(gain) loss on interest rate derivatives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fair value adjustments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extinguishments of debt, net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expenses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Warehouse redesign expenses</w:t>
            </w:r>
            <w:r>
              <w:rPr>
                <w:rFonts w:ascii="Times New Roman;sans-serif" w:hAnsi="Times New Roman;sans-serif"/>
                <w:b w:val="false"/>
                <w:color w:val="000000"/>
                <w:sz w:val="12"/>
              </w:rPr>
              <w:t>(1)</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(2)</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59,532 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For the twelve months ended March 31, 2024, the warehouse redesign expenses were related to the U.S. segment.</w:t>
      </w:r>
    </w:p>
    <w:p>
      <w:pPr>
        <w:pStyle w:val="TextBody"/>
        <w:bidi w:val="0"/>
        <w:spacing w:lineRule="auto" w:line="288" w:before="6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6"/>
        </w:rPr>
        <w:t>Adjusted EBITDA is a non-GAAP financial measure that is defined in the Company’s debt agreements. Adjusted EBITDA is defined as net (loss) income, adjusted to exclude undistributed equity in losses, income tax provision, interest expense, depreciation and amortization, mark to market (gain) loss on interest rate derivatives, stock compensation expense, (gain) loss on extinguishments of debt, net, and other items detailed in the table above that are consistent with exclusions permitted by our debt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sell receivables to HSBC during the three months ended March 31, 2024 and March 31, 2023. At March 31, 2024, $23.8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March 31,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gross notional value of foreign exchange contracts at March 31, 2024 was $7.0 million. These foreign exchange contracts have been designated as hedges in order to apply hedge accounting.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$10.5 million for the three months ended March 31, 2024, as compared to net cash provided by operating activities of $12.1 million for the three months ended March 31, 2023. The decrease from 2024 compared to 2023 was attributable to higher use of cash related to inventory purchases, partially offset by timing of collections related to the Company's accounts receivables.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$0.6 million and $0.5 million for the three months ended March 31, 2024 and 2023, respectively.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$21.4 million for the three months ended March 31, 2024, as compared to net cash provided by financing activities of $5.7 million for the three months ended March 31, 2023. The change was attributable to the higher repayments of revolving credit facility in the 2024 period. The cash used in financing activities was partially offset by no payments for stock repurchases in the 2024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three months ended March 31, 2024. As of March 31, 2024, the remaining dollar amount available for repurchases under the Board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market risk for changes in foreign currency exchange rates and interest rates from the information provided in Item 7A – Quantitative and Qualitative Disclosures About Market Risk in the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and the Chief Financial Officer of the Company (its principal executive officer and principal financial officer, respectively) have concluded, based on their evaluation as of March 31, 2024,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(b)Changes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the Company’s internal controls over financial reporting that occurred during the Company’s most recent fiscal quarter that has materially affected, or is reasonably likely to materially affect, the Company’s internal controls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the Company’s legal proceedings, please see NOTE 12 — CONTINGENCIES, to the Company's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In addition to the other information set forth in this Quarterly Report on Form 10-Q, readers should carefully consider the factors discussed in Part I, Item 1A—Risk Factors in the 2023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2023 Annual Report on Form 10-K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Purchases of Equity Securities</w:t>
      </w:r>
    </w:p>
    <w:tbl>
      <w:tblPr>
        <w:tblW w:w="8965" w:type="dxa"/>
        <w:jc w:val="left"/>
        <w:tblInd w:w="0" w:type="dxa"/>
        <w:tblLayout w:type="fixed"/>
        <w:tblCellMar>
          <w:top w:w="28" w:type="dxa"/>
          <w:left w:w="28" w:type="dxa"/>
          <w:bottom w:w="28" w:type="dxa"/>
          <w:right w:w="28" w:type="dxa"/>
        </w:tblCellMar>
      </w:tblPr>
      <w:tblGrid>
        <w:gridCol w:w="724"/>
        <w:gridCol w:w="637"/>
        <w:gridCol w:w="648"/>
        <w:gridCol w:w="109"/>
        <w:gridCol w:w="109"/>
        <w:gridCol w:w="109"/>
        <w:gridCol w:w="455"/>
        <w:gridCol w:w="455"/>
        <w:gridCol w:w="456"/>
        <w:gridCol w:w="109"/>
        <w:gridCol w:w="109"/>
        <w:gridCol w:w="109"/>
        <w:gridCol w:w="309"/>
        <w:gridCol w:w="734"/>
        <w:gridCol w:w="173"/>
        <w:gridCol w:w="109"/>
        <w:gridCol w:w="109"/>
        <w:gridCol w:w="109"/>
        <w:gridCol w:w="500"/>
        <w:gridCol w:w="500"/>
        <w:gridCol w:w="501"/>
        <w:gridCol w:w="109"/>
        <w:gridCol w:w="109"/>
        <w:gridCol w:w="109"/>
        <w:gridCol w:w="218"/>
        <w:gridCol w:w="1071"/>
        <w:gridCol w:w="122"/>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bidi w:val="0"/>
              <w:spacing w:lineRule="auto" w:line="240" w:before="0" w:after="0"/>
              <w:jc w:val="center"/>
              <w:rPr/>
            </w:pPr>
            <w:r>
              <w:rPr>
                <w:rFonts w:ascii="Times New Roman;sans-serif" w:hAnsi="Times New Roman;sans-serif"/>
                <w:b/>
                <w:color w:val="000000"/>
                <w:sz w:val="18"/>
              </w:rPr>
              <w:t>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part of publicly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announced plans</w:t>
            </w:r>
          </w:p>
          <w:p>
            <w:pPr>
              <w:pStyle w:val="TableContents"/>
              <w:bidi w:val="0"/>
              <w:spacing w:lineRule="auto" w:line="240" w:before="0" w:after="0"/>
              <w:jc w:val="center"/>
              <w:rPr/>
            </w:pPr>
            <w:r>
              <w:rPr>
                <w:rFonts w:ascii="Times New Roman;sans-serif" w:hAnsi="Times New Roman;sans-serif"/>
                <w:b/>
                <w:color w:val="000000"/>
                <w:sz w:val="18"/>
              </w:rPr>
              <w:t>or programs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Maximum</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approximate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dollar value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that may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yet be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under the plans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 programs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subsequent to</w:t>
            </w:r>
          </w:p>
          <w:p>
            <w:pPr>
              <w:pStyle w:val="TableContents"/>
              <w:bidi w:val="0"/>
              <w:spacing w:lineRule="auto" w:line="240" w:before="0" w:after="0"/>
              <w:jc w:val="center"/>
              <w:rPr/>
            </w:pPr>
            <w:r>
              <w:rPr>
                <w:rFonts w:ascii="Times New Roman;sans-serif" w:hAnsi="Times New Roman;sans-serif"/>
                <w:b/>
                <w:color w:val="000000"/>
                <w:sz w:val="18"/>
              </w:rPr>
              <w:t xml:space="preserve">end of period </w:t>
            </w:r>
            <w:r>
              <w:rPr>
                <w:rFonts w:ascii="Times New Roman;sans-serif" w:hAnsi="Times New Roman;sans-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105,359 </w:t>
            </w:r>
          </w:p>
        </w:tc>
        <w:tc>
          <w:tcPr>
            <w:tcW w:w="4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On March 14, 2022, the Company announced that its Board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No repurchases occurred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below, which is incorporated by reference herein.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675"/>
        <w:gridCol w:w="2536"/>
        <w:gridCol w:w="358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 xml:space="preserve">Amendment No.4 to the Receivables Purchase Agreement, dated as of February 23, 2024 by and among the Company, as a Seller and as a Seller Agent and initial Servicer, for itself and each of its subsidiaries thereto as a Seller, and HSBC Bank USA, National Association, as Purchaser </w:t>
              </w:r>
            </w:hyperlink>
            <w:hyperlink r:id="rId3">
              <w:r>
                <w:rPr>
                  <w:rStyle w:val="InternetLink"/>
                  <w:rFonts w:ascii="Times New Roman;sans-serif" w:hAnsi="Times New Roman;sans-serif"/>
                  <w:b w:val="false"/>
                  <w:color w:val="000080"/>
                  <w:sz w:val="20"/>
                  <w:u w:val="single"/>
                </w:rPr>
                <w:t xml:space="preserve">(incorporated by reference to Exhibit 10.51 to </w:t>
              </w:r>
            </w:hyperlink>
            <w:hyperlink r:id="rId4">
              <w:r>
                <w:rPr>
                  <w:rStyle w:val="InternetLink"/>
                  <w:rFonts w:ascii="Times New Roman;sans-serif" w:hAnsi="Times New Roman;sans-serif"/>
                  <w:b w:val="false"/>
                  <w:color w:val="000080"/>
                  <w:sz w:val="20"/>
                  <w:u w:val="single"/>
                </w:rPr>
                <w:t>the C</w:t>
              </w:r>
            </w:hyperlink>
            <w:hyperlink r:id="rId5">
              <w:r>
                <w:rPr>
                  <w:rStyle w:val="InternetLink"/>
                  <w:rFonts w:ascii="Times New Roman;sans-serif" w:hAnsi="Times New Roman;sans-serif"/>
                  <w:b w:val="false"/>
                  <w:color w:val="000080"/>
                  <w:sz w:val="20"/>
                  <w:u w:val="single"/>
                </w:rPr>
                <w:t>omp</w:t>
              </w:r>
            </w:hyperlink>
            <w:hyperlink r:id="rId6">
              <w:r>
                <w:rPr>
                  <w:rStyle w:val="InternetLink"/>
                  <w:rFonts w:ascii="Times New Roman;sans-serif" w:hAnsi="Times New Roman;sans-serif"/>
                  <w:b w:val="false"/>
                  <w:color w:val="000080"/>
                  <w:sz w:val="20"/>
                  <w:u w:val="single"/>
                </w:rPr>
                <w:t>any's Annual Report on Form 10</w:t>
              </w:r>
            </w:hyperlink>
            <w:hyperlink r:id="rId7">
              <w:r>
                <w:rPr>
                  <w:rStyle w:val="InternetLink"/>
                  <w:rFonts w:ascii="Times New Roman;sans-serif" w:hAnsi="Times New Roman;sans-serif"/>
                  <w:b w:val="false"/>
                  <w:color w:val="000080"/>
                  <w:sz w:val="20"/>
                  <w:u w:val="single"/>
                </w:rPr>
                <w:t>-</w:t>
              </w:r>
            </w:hyperlink>
            <w:hyperlink r:id="rId8">
              <w:r>
                <w:rPr>
                  <w:rStyle w:val="InternetLink"/>
                  <w:rFonts w:ascii="Times New Roman;sans-serif" w:hAnsi="Times New Roman;sans-serif"/>
                  <w:b w:val="false"/>
                  <w:color w:val="000080"/>
                  <w:sz w:val="20"/>
                  <w:u w:val="single"/>
                </w:rPr>
                <w:t>K</w:t>
              </w:r>
            </w:hyperlink>
            <w:hyperlink r:id="rId9">
              <w:r>
                <w:rPr>
                  <w:rStyle w:val="InternetLink"/>
                  <w:rFonts w:ascii="Times New Roman;sans-serif" w:hAnsi="Times New Roman;sans-serif"/>
                  <w:b w:val="false"/>
                  <w:color w:val="000080"/>
                  <w:sz w:val="20"/>
                  <w:u w:val="single"/>
                </w:rPr>
                <w:t xml:space="preserve"> for the year ended Dece</w:t>
              </w:r>
            </w:hyperlink>
            <w:hyperlink r:id="rId10">
              <w:r>
                <w:rPr>
                  <w:rStyle w:val="InternetLink"/>
                  <w:rFonts w:ascii="Times New Roman;sans-serif" w:hAnsi="Times New Roman;sans-serif"/>
                  <w:b w:val="false"/>
                  <w:color w:val="000080"/>
                  <w:sz w:val="20"/>
                  <w:u w:val="single"/>
                </w:rPr>
                <w:t>mber 31,</w:t>
              </w:r>
            </w:hyperlink>
            <w:hyperlink r:id="rId11">
              <w:r>
                <w:rPr>
                  <w:rStyle w:val="InternetLink"/>
                  <w:rFonts w:ascii="Times New Roman;sans-serif" w:hAnsi="Times New Roman;sans-serif"/>
                  <w:b w:val="false"/>
                  <w:color w:val="000080"/>
                  <w:sz w:val="20"/>
                  <w:u w:val="single"/>
                </w:rPr>
                <w:t xml:space="preserve"> 2023)</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3312024.htm">
              <w:r>
                <w:rPr>
                  <w:rStyle w:val="InternetLink"/>
                  <w:rFonts w:ascii="Times New Roman;sans-serif" w:hAnsi="Times New Roman;sans-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3312024.htm">
              <w:r>
                <w:rPr>
                  <w:rStyle w:val="InternetLink"/>
                  <w:rFonts w:ascii="Times New Roman;sans-serif" w:hAnsi="Times New Roman;sans-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3312024.htm">
              <w:r>
                <w:rPr>
                  <w:rStyle w:val="InternetLink"/>
                  <w:rFonts w:ascii="Times New Roman;sans-serif" w:hAnsi="Times New Roman;sans-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38ed52b6dff1485cae524e8ddd9c1337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1"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Treasurer and Chief Financial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Laurence Winoker,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periodic report on Form 10-Q for the period ended March 31, 2024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4396/000162828024010568/lcutex105112312023.htm" TargetMode="External"/><Relationship Id="rId3" Type="http://schemas.openxmlformats.org/officeDocument/2006/relationships/hyperlink" Target="https://www.sec.gov/Archives/edgar/data/874396/000162828024010568/lcutex105112312023.htm" TargetMode="External"/><Relationship Id="rId4" Type="http://schemas.openxmlformats.org/officeDocument/2006/relationships/hyperlink" Target="https://www.sec.gov/Archives/edgar/data/874396/000162828024010568/lcutex105112312023.htm" TargetMode="External"/><Relationship Id="rId5" Type="http://schemas.openxmlformats.org/officeDocument/2006/relationships/hyperlink" Target="https://www.sec.gov/Archives/edgar/data/874396/000162828024010568/lcutex105112312023.htm" TargetMode="External"/><Relationship Id="rId6" Type="http://schemas.openxmlformats.org/officeDocument/2006/relationships/hyperlink" Target="https://www.sec.gov/Archives/edgar/data/874396/000162828024010568/lcutex105112312023.htm" TargetMode="External"/><Relationship Id="rId7" Type="http://schemas.openxmlformats.org/officeDocument/2006/relationships/hyperlink" Target="https://www.sec.gov/Archives/edgar/data/874396/000162828024010568/lcutex105112312023.htm" TargetMode="External"/><Relationship Id="rId8" Type="http://schemas.openxmlformats.org/officeDocument/2006/relationships/hyperlink" Target="https://www.sec.gov/Archives/edgar/data/874396/000162828024010568/lcutex105112312023.htm" TargetMode="External"/><Relationship Id="rId9" Type="http://schemas.openxmlformats.org/officeDocument/2006/relationships/hyperlink" Target="https://www.sec.gov/Archives/edgar/data/874396/000162828024010568/lcutex105112312023.htm" TargetMode="External"/><Relationship Id="rId10" Type="http://schemas.openxmlformats.org/officeDocument/2006/relationships/hyperlink" Target="https://www.sec.gov/Archives/edgar/data/874396/000162828024010568/lcutex105112312023.htm" TargetMode="External"/><Relationship Id="rId11" Type="http://schemas.openxmlformats.org/officeDocument/2006/relationships/hyperlink" Target="https://www.sec.gov/Archives/edgar/data/874396/000162828024010568/lcutex105112312023.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21326</Words>
  <Characters>118129</Characters>
  <CharactersWithSpaces>138206</CharactersWithSpaces>
  <Paragraphs>2006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