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0-19254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(516) 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April 30, 2026 was 22,855,008.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7"/>
        <w:gridCol w:w="253"/>
        <w:gridCol w:w="256"/>
        <w:gridCol w:w="2890"/>
        <w:gridCol w:w="2849"/>
        <w:gridCol w:w="2856"/>
        <w:gridCol w:w="237"/>
        <w:gridCol w:w="237"/>
        <w:gridCol w:w="340"/>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Page No.</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0">
              <w:r>
                <w:rPr>
                  <w:rStyle w:val="InternetLink"/>
                  <w:rFonts w:ascii="Times New Roman;serif" w:hAnsi="Times New Roman;serif"/>
                  <w:b/>
                  <w:color w:val="0000FF"/>
                  <w:sz w:val="20"/>
                  <w:u w:val="single"/>
                </w:rPr>
                <w:t>Financial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3">
              <w:r>
                <w:rPr>
                  <w:rStyle w:val="InternetLink"/>
                  <w:rFonts w:ascii="Times New Roman;serif" w:hAnsi="Times New Roman;serif"/>
                  <w:b w:val="false"/>
                  <w:color w:val="0000FF"/>
                  <w:sz w:val="20"/>
                  <w:u w:val="single"/>
                </w:rPr>
                <w:t>Financial Statements</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6">
              <w:r>
                <w:rPr>
                  <w:rStyle w:val="InternetLink"/>
                  <w:rFonts w:ascii="Times New Roman;serif" w:hAnsi="Times New Roman;serif"/>
                  <w:b w:val="false"/>
                  <w:color w:val="000080"/>
                  <w:sz w:val="20"/>
                  <w:u w:val="single"/>
                </w:rPr>
                <w:t xml:space="preserve">Condensed Consolidated Balance Sheets – </w:t>
              </w:r>
            </w:hyperlink>
            <w:r>
              <w:rPr>
                <w:rFonts w:ascii="Times New Roman;serif" w:hAnsi="Times New Roman;serif"/>
                <w:b w:val="false"/>
                <w:color w:val="0000FF"/>
                <w:sz w:val="20"/>
                <w:u w:val="single"/>
              </w:rPr>
              <w:t>March 31, 2026</w:t>
            </w:r>
            <w:hyperlink w:anchor="iea682ebdb9a345d3b24f20a2c308d66b_16">
              <w:r>
                <w:rPr>
                  <w:rStyle w:val="InternetLink"/>
                  <w:rFonts w:ascii="Times New Roman;serif" w:hAnsi="Times New Roman;serif"/>
                  <w:b w:val="false"/>
                  <w:color w:val="000080"/>
                  <w:sz w:val="20"/>
                  <w:u w:val="single"/>
                </w:rPr>
                <w:t xml:space="preserve"> (unaudited) and </w:t>
              </w:r>
            </w:hyperlink>
            <w:r>
              <w:rPr>
                <w:rFonts w:ascii="Times New Roman;serif" w:hAnsi="Times New Roman;serif"/>
                <w:b w:val="false"/>
                <w:color w:val="0000FF"/>
                <w:sz w:val="20"/>
                <w:u w:val="single"/>
              </w:rPr>
              <w:t>December 31, 2025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6">
              <w:r>
                <w:rPr>
                  <w:rStyle w:val="InternetLink"/>
                  <w:rFonts w:ascii="Times New Roman;serif" w:hAnsi="Times New Roman;serif"/>
                  <w:b w:val="false"/>
                  <w:color w:val="0000FF"/>
                  <w:sz w:val="20"/>
                  <w:u w:val="single"/>
                </w:rPr>
                <w:t>2</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9">
              <w:r>
                <w:rPr>
                  <w:rStyle w:val="InternetLink"/>
                  <w:rFonts w:ascii="Times New Roman;serif" w:hAnsi="Times New Roman;serif"/>
                  <w:b w:val="false"/>
                  <w:color w:val="000080"/>
                  <w:sz w:val="20"/>
                  <w:u w:val="single"/>
                </w:rPr>
                <w:t xml:space="preserve">Condensed Consolidated Statements of Operations (unaudited) – </w:t>
              </w:r>
            </w:hyperlink>
            <w:r>
              <w:rPr>
                <w:rFonts w:ascii="Times New Roman;serif" w:hAnsi="Times New Roman;serif"/>
                <w:b w:val="false"/>
                <w:color w:val="0000FF"/>
                <w:sz w:val="20"/>
                <w:u w:val="single"/>
              </w:rPr>
              <w:t>Three Months Ended</w:t>
            </w:r>
            <w:hyperlink w:anchor="iea682ebdb9a345d3b24f20a2c308d66b_1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March 31, 2026</w:t>
            </w:r>
            <w:hyperlink w:anchor="iea682ebdb9a345d3b24f20a2c308d66b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9">
              <w:r>
                <w:rPr>
                  <w:rStyle w:val="InternetLink"/>
                  <w:rFonts w:ascii="Times New Roman;serif" w:hAnsi="Times New Roman;serif"/>
                  <w:b w:val="false"/>
                  <w:color w:val="0000FF"/>
                  <w:sz w:val="20"/>
                  <w:u w:val="single"/>
                </w:rPr>
                <w:t>3</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22">
              <w:r>
                <w:rPr>
                  <w:rStyle w:val="InternetLink"/>
                  <w:rFonts w:ascii="Times New Roman;serif" w:hAnsi="Times New Roman;serif"/>
                  <w:b w:val="false"/>
                  <w:color w:val="000080"/>
                  <w:sz w:val="20"/>
                  <w:u w:val="single"/>
                </w:rPr>
                <w:t xml:space="preserve">Condensed Consolidated Statements of Comprehensive </w:t>
              </w:r>
            </w:hyperlink>
            <w:r>
              <w:rPr>
                <w:rFonts w:ascii="Times New Roman;serif" w:hAnsi="Times New Roman;serif"/>
                <w:b w:val="false"/>
                <w:color w:val="0000FF"/>
                <w:sz w:val="20"/>
                <w:u w:val="single"/>
              </w:rPr>
              <w:t>Loss (unaudited) – Three Months Ended March 31, 2026 and 2025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22">
              <w:r>
                <w:rPr>
                  <w:rStyle w:val="InternetLink"/>
                  <w:rFonts w:ascii="Times New Roman;serif" w:hAnsi="Times New Roman;serif"/>
                  <w:b w:val="false"/>
                  <w:color w:val="0000FF"/>
                  <w:sz w:val="20"/>
                  <w:u w:val="single"/>
                </w:rPr>
                <w:t>4</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25">
              <w:r>
                <w:rPr>
                  <w:rStyle w:val="InternetLink"/>
                  <w:rFonts w:ascii="Times New Roman;serif" w:hAnsi="Times New Roman;serif"/>
                  <w:b w:val="false"/>
                  <w:color w:val="000080"/>
                  <w:sz w:val="20"/>
                  <w:u w:val="single"/>
                </w:rPr>
                <w:t>Condensed Consolidated Statements of Stockholders’ Equity (unaudited) –</w:t>
              </w:r>
            </w:hyperlink>
            <w:r>
              <w:rPr>
                <w:rFonts w:ascii="Times New Roman;serif" w:hAnsi="Times New Roman;serif"/>
                <w:b w:val="false"/>
                <w:color w:val="0000FF"/>
                <w:sz w:val="20"/>
                <w:u w:val="single"/>
              </w:rPr>
              <w:t>Three Months Ended March 31, 2026 and 2025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25">
              <w:r>
                <w:rPr>
                  <w:rStyle w:val="InternetLink"/>
                  <w:rFonts w:ascii="Times New Roman;serif" w:hAnsi="Times New Roman;serif"/>
                  <w:b w:val="false"/>
                  <w:color w:val="0000FF"/>
                  <w:sz w:val="20"/>
                  <w:u w:val="single"/>
                </w:rPr>
                <w:t>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28">
              <w:r>
                <w:rPr>
                  <w:rStyle w:val="InternetLink"/>
                  <w:rFonts w:ascii="Times New Roman;serif" w:hAnsi="Times New Roman;serif"/>
                  <w:b w:val="false"/>
                  <w:color w:val="000080"/>
                  <w:sz w:val="20"/>
                  <w:u w:val="single"/>
                </w:rPr>
                <w:t>Condensed Consolidated Statements of Cash Flows (unaudited) –</w:t>
              </w:r>
            </w:hyperlink>
            <w:r>
              <w:rPr>
                <w:rFonts w:ascii="Times New Roman;serif" w:hAnsi="Times New Roman;serif"/>
                <w:b w:val="false"/>
                <w:color w:val="0000FF"/>
                <w:sz w:val="20"/>
                <w:u w:val="single"/>
              </w:rPr>
              <w:t xml:space="preserve"> Three Months Ended March 31, 2026 and 2025</w:t>
            </w:r>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28">
              <w:r>
                <w:rPr>
                  <w:rStyle w:val="InternetLink"/>
                  <w:rFonts w:ascii="Times New Roman;serif" w:hAnsi="Times New Roman;serif"/>
                  <w:b w:val="false"/>
                  <w:color w:val="0000FF"/>
                  <w:sz w:val="20"/>
                  <w:u w:val="single"/>
                </w:rPr>
                <w:t>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31">
              <w:r>
                <w:rPr>
                  <w:rStyle w:val="InternetLink"/>
                  <w:rFonts w:ascii="Times New Roman;serif" w:hAnsi="Times New Roman;serif"/>
                  <w:b w:val="false"/>
                  <w:color w:val="0000FF"/>
                  <w:sz w:val="20"/>
                  <w:u w:val="single"/>
                </w:rPr>
                <w:t>Notes to Condensed Consolidated Financial Statements (unaudited)</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31">
              <w:r>
                <w:rPr>
                  <w:rStyle w:val="InternetLink"/>
                  <w:rFonts w:ascii="Times New Roman;serif" w:hAnsi="Times New Roman;serif"/>
                  <w:b w:val="false"/>
                  <w:color w:val="0000FF"/>
                  <w:sz w:val="20"/>
                  <w:u w:val="single"/>
                </w:rPr>
                <w:t>7</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76">
              <w:r>
                <w:rPr>
                  <w:rStyle w:val="InternetLink"/>
                  <w:rFonts w:ascii="Times New Roman;serif" w:hAnsi="Times New Roman;serif"/>
                  <w:b w:val="false"/>
                  <w:color w:val="0000FF"/>
                  <w:sz w:val="20"/>
                  <w:u w:val="single"/>
                </w:rPr>
                <w:t>28</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09">
              <w:r>
                <w:rPr>
                  <w:rStyle w:val="InternetLink"/>
                  <w:rFonts w:ascii="Times New Roman;serif" w:hAnsi="Times New Roman;serif"/>
                  <w:b w:val="false"/>
                  <w:color w:val="0000FF"/>
                  <w:sz w:val="20"/>
                  <w:u w:val="single"/>
                </w:rPr>
                <w:t>Quantitative and Qualitative Disclosures About Market Risk</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09">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12">
              <w:r>
                <w:rPr>
                  <w:rStyle w:val="InternetLink"/>
                  <w:rFonts w:ascii="Times New Roman;serif" w:hAnsi="Times New Roman;serif"/>
                  <w:b w:val="false"/>
                  <w:color w:val="0000FF"/>
                  <w:sz w:val="20"/>
                  <w:u w:val="single"/>
                </w:rPr>
                <w:t>Controls and Procedures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12">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15">
              <w:r>
                <w:rPr>
                  <w:rStyle w:val="InternetLink"/>
                  <w:rFonts w:ascii="Times New Roman;serif" w:hAnsi="Times New Roman;serif"/>
                  <w:b/>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18">
              <w:r>
                <w:rPr>
                  <w:rStyle w:val="InternetLink"/>
                  <w:rFonts w:ascii="Times New Roman;serif" w:hAnsi="Times New Roman;serif"/>
                  <w:b w:val="false"/>
                  <w:color w:val="0000FF"/>
                  <w:sz w:val="20"/>
                  <w:u w:val="single"/>
                </w:rPr>
                <w:t>Legal Proceedings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15">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595"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ea682ebdb9a345d3b24f20a2c308d66b_121">
              <w:r>
                <w:rPr>
                  <w:rStyle w:val="InternetLink"/>
                  <w:rFonts w:ascii="Times New Roman;serif" w:hAnsi="Times New Roman;serif"/>
                  <w:b w:val="false"/>
                  <w:color w:val="0000FF"/>
                  <w:sz w:val="20"/>
                  <w:u w:val="single"/>
                </w:rPr>
                <w:t>Risk Factors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21">
              <w:r>
                <w:rPr>
                  <w:rStyle w:val="InternetLink"/>
                  <w:rFonts w:ascii="Times New Roman;serif" w:hAnsi="Times New Roman;serif"/>
                  <w:b w:val="false"/>
                  <w:color w:val="0000FF"/>
                  <w:sz w:val="20"/>
                  <w:u w:val="single"/>
                </w:rPr>
                <w:t>41</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24">
              <w:r>
                <w:rPr>
                  <w:rStyle w:val="InternetLink"/>
                  <w:rFonts w:ascii="Times New Roman;serif" w:hAnsi="Times New Roman;serif"/>
                  <w:b w:val="false"/>
                  <w:color w:val="0000FF"/>
                  <w:sz w:val="20"/>
                  <w:u w:val="single"/>
                </w:rPr>
                <w:t>Unregistered Sales of Equity Securities and Use of Proceeds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24">
              <w:r>
                <w:rPr>
                  <w:rStyle w:val="InternetLink"/>
                  <w:rFonts w:ascii="Times New Roman;serif" w:hAnsi="Times New Roman;serif"/>
                  <w:b w:val="false"/>
                  <w:color w:val="0000FF"/>
                  <w:sz w:val="20"/>
                  <w:u w:val="single"/>
                </w:rPr>
                <w:t>41</w:t>
              </w:r>
            </w:hyperlink>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8595"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27">
              <w:r>
                <w:rPr>
                  <w:rStyle w:val="InternetLink"/>
                  <w:rFonts w:ascii="Times New Roman;serif" w:hAnsi="Times New Roman;serif"/>
                  <w:b w:val="false"/>
                  <w:color w:val="0000FF"/>
                  <w:sz w:val="20"/>
                  <w:u w:val="single"/>
                </w:rPr>
                <w:t>Other Information</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27">
              <w:r>
                <w:rPr>
                  <w:rStyle w:val="InternetLink"/>
                  <w:rFonts w:ascii="Times New Roman;serif" w:hAnsi="Times New Roman;serif"/>
                  <w:b w:val="false"/>
                  <w:color w:val="0000FF"/>
                  <w:sz w:val="20"/>
                  <w:u w:val="single"/>
                </w:rPr>
                <w:t>42</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5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30">
              <w:r>
                <w:rPr>
                  <w:rStyle w:val="InternetLink"/>
                  <w:rFonts w:ascii="Times New Roman;serif" w:hAnsi="Times New Roman;serif"/>
                  <w:b w:val="false"/>
                  <w:color w:val="0000FF"/>
                  <w:sz w:val="20"/>
                  <w:u w:val="single"/>
                </w:rPr>
                <w:t>Exhibits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30">
              <w:r>
                <w:rPr>
                  <w:rStyle w:val="InternetLink"/>
                  <w:rFonts w:ascii="Times New Roman;serif" w:hAnsi="Times New Roman;serif"/>
                  <w:b w:val="false"/>
                  <w:color w:val="0000FF"/>
                  <w:sz w:val="20"/>
                  <w:u w:val="single"/>
                </w:rPr>
                <w:t>43</w:t>
              </w:r>
            </w:hyperlink>
          </w:p>
        </w:tc>
      </w:tr>
      <w:tr>
        <w:trPr/>
        <w:tc>
          <w:tcPr>
            <w:tcW w:w="9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682ebdb9a345d3b24f20a2c308d66b_133">
              <w:r>
                <w:rPr>
                  <w:rStyle w:val="InternetLink"/>
                  <w:rFonts w:ascii="Times New Roman;serif" w:hAnsi="Times New Roman;serif"/>
                  <w:b w:val="false"/>
                  <w:color w:val="0000FF"/>
                  <w:sz w:val="20"/>
                  <w:u w:val="single"/>
                </w:rPr>
                <w:t>Signatures</w:t>
              </w:r>
            </w:hyperlink>
          </w:p>
        </w:tc>
        <w:tc>
          <w:tcPr>
            <w:tcW w:w="8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682ebdb9a345d3b24f20a2c308d66b_133">
              <w:r>
                <w:rPr>
                  <w:rStyle w:val="InternetLink"/>
                  <w:rFonts w:ascii="Times New Roman;serif" w:hAnsi="Times New Roman;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7"/>
        <w:gridCol w:w="2251"/>
        <w:gridCol w:w="2261"/>
        <w:gridCol w:w="211"/>
        <w:gridCol w:w="826"/>
        <w:gridCol w:w="109"/>
        <w:gridCol w:w="109"/>
        <w:gridCol w:w="109"/>
        <w:gridCol w:w="109"/>
        <w:gridCol w:w="211"/>
        <w:gridCol w:w="826"/>
        <w:gridCol w:w="156"/>
      </w:tblGrid>
      <w:tr>
        <w:trPr/>
        <w:tc>
          <w:tcPr>
            <w:tcW w:w="3027"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less allowances of $11,042 at March 31, 2026 and $11,970 at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maturity of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shares authorized: 50,000,000 at March 31, 2026 and December 31, 2025; shares issued and outstanding: 22,855,008 at March 31, 2026 and 22,654,207 at December 31, 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7649" w:type="dxa"/>
        <w:jc w:val="center"/>
        <w:tblInd w:w="0" w:type="dxa"/>
        <w:tblLayout w:type="fixed"/>
        <w:tblCellMar>
          <w:top w:w="28" w:type="dxa"/>
          <w:left w:w="28" w:type="dxa"/>
          <w:bottom w:w="28" w:type="dxa"/>
          <w:right w:w="28" w:type="dxa"/>
        </w:tblCellMar>
      </w:tblPr>
      <w:tblGrid>
        <w:gridCol w:w="1612"/>
        <w:gridCol w:w="1405"/>
        <w:gridCol w:w="1423"/>
        <w:gridCol w:w="211"/>
        <w:gridCol w:w="826"/>
        <w:gridCol w:w="109"/>
        <w:gridCol w:w="109"/>
        <w:gridCol w:w="109"/>
        <w:gridCol w:w="109"/>
        <w:gridCol w:w="211"/>
        <w:gridCol w:w="826"/>
        <w:gridCol w:w="109"/>
        <w:gridCol w:w="109"/>
        <w:gridCol w:w="109"/>
        <w:gridCol w:w="109"/>
        <w:gridCol w:w="109"/>
        <w:gridCol w:w="154"/>
      </w:tblGrid>
      <w:tr>
        <w:trPr/>
        <w:tc>
          <w:tcPr>
            <w:tcW w:w="161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gain (loss)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LOSS PER COMMON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LOSS PER COMMON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399" w:type="dxa"/>
        <w:jc w:val="center"/>
        <w:tblInd w:w="0" w:type="dxa"/>
        <w:tblLayout w:type="fixed"/>
        <w:tblCellMar>
          <w:top w:w="28" w:type="dxa"/>
          <w:left w:w="28" w:type="dxa"/>
          <w:bottom w:w="28" w:type="dxa"/>
          <w:right w:w="28" w:type="dxa"/>
        </w:tblCellMar>
      </w:tblPr>
      <w:tblGrid>
        <w:gridCol w:w="1292"/>
        <w:gridCol w:w="1128"/>
        <w:gridCol w:w="1149"/>
        <w:gridCol w:w="211"/>
        <w:gridCol w:w="691"/>
        <w:gridCol w:w="109"/>
        <w:gridCol w:w="109"/>
        <w:gridCol w:w="109"/>
        <w:gridCol w:w="109"/>
        <w:gridCol w:w="211"/>
        <w:gridCol w:w="691"/>
        <w:gridCol w:w="109"/>
        <w:gridCol w:w="109"/>
        <w:gridCol w:w="109"/>
        <w:gridCol w:w="109"/>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translation adjustment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retirement benefit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(69,132)</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197,496 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(32,550)</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issuance of restricted shares granted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(37,736)</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Cash dividends declared per share of common stock were $0.0425 and $0.0425 in the three months ended March 31, 2026 and 2025, respectively.</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LIFETIME BRANDS,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thousands)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889" w:type="dxa"/>
        <w:jc w:val="center"/>
        <w:tblInd w:w="0" w:type="dxa"/>
        <w:tblLayout w:type="fixed"/>
        <w:tblCellMar>
          <w:top w:w="28" w:type="dxa"/>
          <w:left w:w="28" w:type="dxa"/>
          <w:bottom w:w="28" w:type="dxa"/>
          <w:right w:w="28" w:type="dxa"/>
        </w:tblCellMar>
      </w:tblPr>
      <w:tblGrid>
        <w:gridCol w:w="2332"/>
        <w:gridCol w:w="2049"/>
        <w:gridCol w:w="2054"/>
        <w:gridCol w:w="211"/>
        <w:gridCol w:w="721"/>
        <w:gridCol w:w="10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to market (gain) loss on interest rate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other current assets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finance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 AND SUMMARY OF ACCOUNTING POLICIES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Organization and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 (“the Company”) designs, sources and sells branded kitchenware, tableware and other home solution products used in the home and markets its products under a number of widely-recognized brand names and trademarks, which are either owned or licensed by the Company or through retailers’ private labels and their licensed brands. The Company’s products, which are targeted primarily to consumers purchasing moderately priced kitchenware, tableware and housewares, are sold through nearly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selection of its products directly to consumers through its own websites.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results for the three months ended March 31, 2026 are not necessarily indicative of the results that may be expected for the year ending December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primarily recognized at the point in time when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sales consist primarily of costs associated with the production and procurement of product, inbound freight costs, purchasing costs, handling costs, duties and tariffs, royalties, and other product procurement related charges.</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consist primarily of warehousing expenses and freight-out expenses.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also maintains an allowance for anticipated customer deductions. Contractual deductions for incentives and promotions granted to customers such as cooperative advertising, are recorded as a reduction to accounts receivable at the time of sale. These deductions are primarily fixed amounts; however, in certain cases, these deductions are not fixed and, therefore, the allowance is estimated based on currently available information and historical trends of deductions.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months ended March 31, 2026 and March 31,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$16.3 million of accounts receivable were available for sale to HSBC, net of applicable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194,046 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5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pPr>
      <w:r>
        <w:rPr>
          <w:rFonts w:ascii="Times New Roman;serif" w:hAnsi="Times New Roman;serif"/>
          <w:b w:val="false"/>
          <w:color w:val="000000"/>
          <w:sz w:val="20"/>
        </w:rPr>
        <w:t xml:space="preserve">The Company accounts for derivative instruments in accordance with Accounting Standard Codification (“ASC”) Topic 815, </w:t>
      </w:r>
      <w:r>
        <w:rPr>
          <w:rFonts w:ascii="Times New Roman;serif" w:hAnsi="Times New Roman;serif"/>
          <w:b w:val="false"/>
          <w:i/>
          <w:color w:val="000000"/>
          <w:sz w:val="20"/>
        </w:rPr>
        <w:t>Derivatives and Hedging (</w:t>
      </w:r>
      <w:r>
        <w:rPr>
          <w:color w:val="000000"/>
        </w:rPr>
        <w:t>“</w:t>
      </w:r>
      <w:r>
        <w:rPr>
          <w:rFonts w:ascii="Times New Roman;serif" w:hAnsi="Times New Roman;serif"/>
          <w:b w:val="false"/>
          <w:color w:val="000000"/>
          <w:sz w:val="20"/>
        </w:rPr>
        <w:t>ASC 815”</w:t>
      </w:r>
      <w:r>
        <w:rPr>
          <w:rFonts w:ascii="Times New Roman;serif" w:hAnsi="Times New Roman;serif"/>
          <w:b w:val="false"/>
          <w:i/>
          <w:color w:val="000000"/>
          <w:sz w:val="20"/>
        </w:rPr>
        <w:t>)</w:t>
      </w:r>
      <w:r>
        <w:rPr>
          <w:rFonts w:ascii="Times New Roman;serif" w:hAnsi="Times New Roman;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are included in accumulated other comprehensive loss and are subsequently recognized in the Company’s unaudited condensed consolidated statements of operations in the same period that the hedged items are recognized in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Goodwill, intangible assets and long-lived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had no recorded goodwill as of March 31, 2026 and December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NOTE 4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operating lease ROU asset may also include any lease payments made, adjusted for any prepaid or accrued rent payments, lease incentives, and initial direct costs incurred. Certain leases may include options to extend or terminate the lease. Periods to extend the lease are included in the lease term when the Company is reasonably certain that the extension option would be exercised, and the associated lease payments for such periods are reflected in the ROU asset and lease liability. Lease expense for minimum lease payments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certain equipment leases, the Company applies a portfolio approach to effectively account for its ROU assets and lease liabilities. Leases with an initial term of twelve months or less are not recorded on the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are recognized at fair value when the related liability is incurred. For severance and other employee-related costs, a liability is generally incurred on the date the restructuring plan is communicated to affected employees. In certain situations, severance or other employee-related benefits require employees to render service over a specified period in order to be eligible to receive the benefit, and that service period extends beyond a minimum retention period. In these circumstances, the fair value of the termination benefits is recognized ratably over the required service period, beginning on the communication date.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expenses for the three months ended March 31, 2026 related to the following activities: </w:t>
      </w:r>
    </w:p>
    <w:tbl>
      <w:tblPr>
        <w:tblW w:w="6037" w:type="dxa"/>
        <w:jc w:val="left"/>
        <w:tblInd w:w="0" w:type="dxa"/>
        <w:tblLayout w:type="fixed"/>
        <w:tblCellMar>
          <w:top w:w="28" w:type="dxa"/>
          <w:left w:w="28" w:type="dxa"/>
          <w:bottom w:w="28" w:type="dxa"/>
          <w:right w:w="28" w:type="dxa"/>
        </w:tblCellMar>
      </w:tblPr>
      <w:tblGrid>
        <w:gridCol w:w="1299"/>
        <w:gridCol w:w="1141"/>
        <w:gridCol w:w="1144"/>
        <w:gridCol w:w="395"/>
        <w:gridCol w:w="1155"/>
        <w:gridCol w:w="204"/>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699" w:type="dxa"/>
            <w:gridSpan w:val="6"/>
            <w:tcBorders/>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facility relocation</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Sterling flatware manufacturing operations</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Concord</w:t>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expenses</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Distribution Facility Relocation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announced the relocation of the Company’s East Coast distribution operations currently located in Robbinsville, NJ (the “Robbinsville Facility”) to Hagerstown, Maryland (the “Hagerstown Facility”). As a result of the relocation the Company will exit the Robbinsville Facility. During the three months ended March 31, 2026, the Company incurred $1.2 million related to employee severance expenses. The Company expects to complete the exit of the Robbinsville Facility by the third quarter of 2026 and expects additional exit costs of approximately $1.8 million related to employee severance and $3.0 million for other related costs in the second and third quarter of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Sterling Flatware Manufacturing Operations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2026, the Company approved a plan to close its manufacturing operations of its sterling flatware products. During the three months ended March 31, 2026, the Company incurred $0.1 million of employee severance expenses and $0.6 million of other costs which consisted of an inventory provision on remaining raw materials inventory. The Company expects to complete the closure of this operation by the end of the second quarter of 2026 and expects additional costs to be less than $0.1 million related to employee severance.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International segment incurred severance expenses associated with the reorganization of the International segment's workforce. The reorganization is related to Project Concord and primarily affects the structure of the International segment's merchandising and sales workforce. During the three months ended March 31, 2026, the Company incurred $0.2 million of employee severance expenses. The Company expects that restructuring activities related to this project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completed by the end of the second quarter of 2026 and expects to incur additional costs of $0.2 million related to employee severance.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accrued restructuring liability was $1.5 million, which included $1.2 million related to distribution facility relocation expenses, $0.1 million related to sterling silver manufacturing operations expenses, and $0.2 million related to Project concord. The accrued restructuring is expected to be paid by the end of 2026.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Updates not listed below were assessed and either determined not to be applicable or are expected to have a minimal effect on the Company’s financial position, results of operations,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The guidance requires additional disclosure in the notes to the financial statements for specified information about certain costs and expenses. The new guidance is effective for public business entities for annual periods beginning after December 15, 2026, and interim periods beginning after December 15, 2027. Early adoption is permitted. The amendments in this ASU may be applied either (1) prospectively to financial statements issued for reporting periods after the effective date of this ASU or (2) retrospectively to all prior periods presented in the financial statements.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2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products wholesale, to retailers and distributors, and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$0.7 million for the three months ended March 31, 2026 and $0.7 million for the three months ended March 31, 2025. Net sales exclude taxes that are collected from customers and remitted to the taxing authorities.</w:t>
      </w:r>
    </w:p>
    <w:p>
      <w:pPr>
        <w:pStyle w:val="TextBody"/>
        <w:bidi w:val="0"/>
        <w:spacing w:lineRule="auto" w:line="288" w:before="240" w:after="283"/>
        <w:jc w:val="left"/>
        <w:rPr/>
      </w:pPr>
      <w:r>
        <w:rPr>
          <w:rFonts w:ascii="Times New Roman;serif" w:hAnsi="Times New Roman;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erif" w:hAnsi="Times New Roman;serif"/>
          <w:b w:val="false"/>
          <w:color w:val="000000"/>
          <w:sz w:val="20"/>
          <w:shd w:fill="FFFFFF" w:val="clear"/>
        </w:rPr>
        <w:t>Payment terms vary by customer, but generally range from 30 to 90 days or at the point of sale for the Company’s retail direct sale</w:t>
      </w:r>
      <w:r>
        <w:rPr>
          <w:rFonts w:ascii="Times New Roman;serif" w:hAnsi="Times New Roman;serif"/>
          <w:b w:val="false"/>
          <w:color w:val="000000"/>
          <w:sz w:val="20"/>
        </w:rPr>
        <w:t>s.</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incurs certain direct incremental costs to obtain contracts with customers, such as sales-related co</w:t>
      </w:r>
      <w:r>
        <w:rPr>
          <w:rFonts w:ascii="Times New Roman;serif" w:hAnsi="Times New Roman;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net sales disaggregated by segment, product category and geographic region for the three months ended March 31, 2026 and 2025 (in thousands):</w:t>
      </w:r>
    </w:p>
    <w:tbl>
      <w:tblPr>
        <w:tblW w:w="507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months ended March 31, 2026 and 2025 were as follows (in thousands):</w:t>
      </w:r>
    </w:p>
    <w:tbl>
      <w:tblPr>
        <w:tblW w:w="5064"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for lease related liabilities and assets for the three months ended March 31, 2026 and 2025 were as follows (in thousands):</w:t>
      </w:r>
    </w:p>
    <w:tbl>
      <w:tblPr>
        <w:tblW w:w="8657" w:type="dxa"/>
        <w:jc w:val="left"/>
        <w:tblInd w:w="0" w:type="dxa"/>
        <w:tblLayout w:type="fixed"/>
        <w:tblCellMar>
          <w:top w:w="28" w:type="dxa"/>
          <w:left w:w="28" w:type="dxa"/>
          <w:bottom w:w="28" w:type="dxa"/>
          <w:right w:w="28" w:type="dxa"/>
        </w:tblCellMar>
      </w:tblPr>
      <w:tblGrid>
        <w:gridCol w:w="2197"/>
        <w:gridCol w:w="1933"/>
        <w:gridCol w:w="1944"/>
        <w:gridCol w:w="246"/>
        <w:gridCol w:w="721"/>
        <w:gridCol w:w="127"/>
        <w:gridCol w:w="127"/>
        <w:gridCol w:w="127"/>
        <w:gridCol w:w="127"/>
        <w:gridCol w:w="127"/>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paid for amounts included in the measurement of</w:t>
            </w:r>
            <w:r>
              <w:rPr>
                <w:color w:val="000000"/>
              </w:rPr>
              <w:t xml:space="preserve"> </w:t>
            </w:r>
            <w:r>
              <w:rPr>
                <w:rFonts w:ascii="Times New Roman;serif" w:hAnsi="Times New Roman;serif"/>
                <w:b/>
                <w:color w:val="000000"/>
                <w:sz w:val="20"/>
              </w:rPr>
              <w:t>lease liabilities: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85" w:type="dxa"/>
        <w:jc w:val="left"/>
        <w:tblInd w:w="0" w:type="dxa"/>
        <w:tblLayout w:type="fixed"/>
        <w:tblCellMar>
          <w:top w:w="28" w:type="dxa"/>
          <w:left w:w="28" w:type="dxa"/>
          <w:bottom w:w="28" w:type="dxa"/>
          <w:right w:w="28" w:type="dxa"/>
        </w:tblCellMar>
      </w:tblPr>
      <w:tblGrid>
        <w:gridCol w:w="1923"/>
        <w:gridCol w:w="1691"/>
        <w:gridCol w:w="1696"/>
        <w:gridCol w:w="277"/>
        <w:gridCol w:w="612"/>
        <w:gridCol w:w="143"/>
        <w:gridCol w:w="143"/>
        <w:gridCol w:w="143"/>
        <w:gridCol w:w="143"/>
        <w:gridCol w:w="143"/>
        <w:gridCol w:w="211"/>
        <w:gridCol w:w="40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77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future lease payments for operating leases as of March 31, 2026 were as follows (in thousands):</w:t>
      </w:r>
    </w:p>
    <w:tbl>
      <w:tblPr>
        <w:tblW w:w="5886" w:type="dxa"/>
        <w:jc w:val="left"/>
        <w:tblInd w:w="0" w:type="dxa"/>
        <w:tblLayout w:type="fixed"/>
        <w:tblCellMar>
          <w:top w:w="28" w:type="dxa"/>
          <w:left w:w="28" w:type="dxa"/>
          <w:bottom w:w="28" w:type="dxa"/>
          <w:right w:w="28" w:type="dxa"/>
        </w:tblCellMar>
      </w:tblPr>
      <w:tblGrid>
        <w:gridCol w:w="1737"/>
        <w:gridCol w:w="1527"/>
        <w:gridCol w:w="1536"/>
        <w:gridCol w:w="211"/>
        <w:gridCol w:w="721"/>
        <w:gridCol w:w="154"/>
      </w:tblGrid>
      <w:tr>
        <w:trPr/>
        <w:tc>
          <w:tcPr>
            <w:tcW w:w="173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three months ended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Average lease terms and discount rates were as follows:</w:t>
      </w:r>
    </w:p>
    <w:tbl>
      <w:tblPr>
        <w:tblW w:w="5218" w:type="dxa"/>
        <w:jc w:val="left"/>
        <w:tblInd w:w="0" w:type="dxa"/>
        <w:tblLayout w:type="fixed"/>
        <w:tblCellMar>
          <w:top w:w="28" w:type="dxa"/>
          <w:left w:w="28" w:type="dxa"/>
          <w:bottom w:w="28" w:type="dxa"/>
          <w:right w:w="28" w:type="dxa"/>
        </w:tblCellMar>
      </w:tblPr>
      <w:tblGrid>
        <w:gridCol w:w="1416"/>
        <w:gridCol w:w="1243"/>
        <w:gridCol w:w="1255"/>
        <w:gridCol w:w="264"/>
        <w:gridCol w:w="264"/>
        <w:gridCol w:w="776"/>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23, 2025, the Company entered into a lease agreement for a new distribution center in Hagerstown, Maryland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(“Hagerstown Facility”). The lease term commenced on April 30, 2026, following the satisfaction of all commencement conditions. The term of the lease is 180 months following the commencement date. Base rent for the first year of the lease is $7.3 million, escalating by 3% annually. A portion of the base rent will be abated for the first 36 months of the lease term at the applicable annual base rent for a total base rent abatement of $7.2 million. The lease agreement also includes a total tenant improvement allowance of approximately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INTANGIBLE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March 31, 2026 and December 31, 2025 (in thousands):</w:t>
      </w:r>
    </w:p>
    <w:tbl>
      <w:tblPr>
        <w:tblW w:w="10205" w:type="dxa"/>
        <w:jc w:val="left"/>
        <w:tblInd w:w="0" w:type="dxa"/>
        <w:tblLayout w:type="fixed"/>
        <w:tblCellMar>
          <w:top w:w="28" w:type="dxa"/>
          <w:left w:w="28" w:type="dxa"/>
          <w:bottom w:w="28" w:type="dxa"/>
          <w:right w:w="28" w:type="dxa"/>
        </w:tblCellMar>
      </w:tblPr>
      <w:tblGrid>
        <w:gridCol w:w="637"/>
        <w:gridCol w:w="541"/>
        <w:gridCol w:w="546"/>
        <w:gridCol w:w="196"/>
        <w:gridCol w:w="736"/>
        <w:gridCol w:w="109"/>
        <w:gridCol w:w="109"/>
        <w:gridCol w:w="109"/>
        <w:gridCol w:w="109"/>
        <w:gridCol w:w="109"/>
        <w:gridCol w:w="109"/>
        <w:gridCol w:w="196"/>
        <w:gridCol w:w="794"/>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94"/>
        <w:gridCol w:w="109"/>
        <w:gridCol w:w="109"/>
        <w:gridCol w:w="109"/>
        <w:gridCol w:w="109"/>
        <w:gridCol w:w="196"/>
        <w:gridCol w:w="736"/>
        <w:gridCol w:w="157"/>
      </w:tblGrid>
      <w:tr>
        <w:trPr/>
        <w:tc>
          <w:tcPr>
            <w:tcW w:w="6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5"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2842" w:type="dxa"/>
            <w:gridSpan w:val="1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Goodwill</w:t>
            </w:r>
            <w:r>
              <w:rPr>
                <w:rFonts w:ascii="Times New Roman;serif" w:hAnsi="Times New Roman;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132,922 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net value at March 31,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6"/>
        </w:rPr>
        <w:t>December 31, 2025 reflect a reduction of $113.0 million impairment charges within U.S. segment and $11.9 million impairment charges within International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 The ABL Agreement is subject to an earlier springing maturity date of May 28, 2027, 90 days prior to the Term Loan maturity date of August 26, 2027, if the Company’s Term Loan has not been repaid or refinanced by such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requires the Company to make quarterly payments of principal each equal to 1.25% of the aggregate principal amount of the Term Loan, which commenced on March 31, 2024, with the remaining balance payable on the maturity date. The Term Loan requires the Company to make an annual prepayment of principal, beginning with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Under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up to $250.0 million if certain conditions are met. One or more tranches of additional term loans (the “Incremental Term Facilities”) may be added under the Term Loan if certain conditions are met. The Incremental Term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total availability under the ABL Agreement were as follows (in thousands):</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March 31, 2026, the availability under the ABL Agreement, as limited by the Term Loan financial covenant, was $80.0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7007"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43"/>
        <w:gridCol w:w="912"/>
        <w:gridCol w:w="135"/>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estimates that no excess cash flow payment will be due for 2026. For the year ended December 31, 2025, there was no excess cash flow payment due for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2026 was between 3.33% and 7.13%. The Company paid a commitment fee of 0.25% on the unused portion of the ABL Agreement during the three months ended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March 31, 2026 was 9.29%.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6</w:t>
      </w:r>
      <w:r>
        <w:rPr>
          <w:color w:val="000000"/>
        </w:rPr>
        <w:t xml:space="preserve"> — </w:t>
      </w:r>
      <w:r>
        <w:rPr>
          <w:rFonts w:ascii="Times New Roman;serif" w:hAnsi="Times New Roman;serif"/>
          <w:b/>
          <w:color w:val="000000"/>
          <w:sz w:val="20"/>
        </w:rPr>
        <w:t xml:space="preserve">DERIVATIVES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expiring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Foreign Exchange Contracts </w:t>
      </w:r>
    </w:p>
    <w:p>
      <w:pPr>
        <w:pStyle w:val="TextBody"/>
        <w:bidi w:val="0"/>
        <w:spacing w:lineRule="auto" w:line="288" w:before="120" w:after="283"/>
        <w:jc w:val="left"/>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w:t>
      </w:r>
      <w:r>
        <w:rPr>
          <w:color w:val="000000"/>
        </w:rPr>
        <w:t xml:space="preserve"> </w:t>
      </w:r>
      <w:r>
        <w:rPr>
          <w:rFonts w:ascii="Times New Roman;serif" w:hAnsi="Times New Roman;serif"/>
          <w:b w:val="false"/>
          <w:color w:val="000000"/>
          <w:sz w:val="20"/>
        </w:rPr>
        <w:t>The Company designates these contracts for accounting purposes as cash flow hedges. The Company purchases foreign currency forward contracts with terms of less than 18 months. The aggregate gross notional value of foreign exchange contracts at March 31, 2026 was zero.</w:t>
      </w:r>
    </w:p>
    <w:p>
      <w:pPr>
        <w:pStyle w:val="TextBody"/>
        <w:bidi w:val="0"/>
        <w:spacing w:before="24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111" w:type="dxa"/>
        <w:jc w:val="left"/>
        <w:tblInd w:w="0" w:type="dxa"/>
        <w:tblLayout w:type="fixed"/>
        <w:tblCellMar>
          <w:top w:w="28" w:type="dxa"/>
          <w:left w:w="28" w:type="dxa"/>
          <w:bottom w:w="28" w:type="dxa"/>
          <w:right w:w="28" w:type="dxa"/>
        </w:tblCellMar>
      </w:tblPr>
      <w:tblGrid>
        <w:gridCol w:w="1352"/>
        <w:gridCol w:w="1189"/>
        <w:gridCol w:w="1193"/>
        <w:gridCol w:w="639"/>
        <w:gridCol w:w="639"/>
        <w:gridCol w:w="641"/>
        <w:gridCol w:w="109"/>
        <w:gridCol w:w="109"/>
        <w:gridCol w:w="109"/>
        <w:gridCol w:w="388"/>
        <w:gridCol w:w="656"/>
        <w:gridCol w:w="216"/>
        <w:gridCol w:w="109"/>
        <w:gridCol w:w="109"/>
        <w:gridCol w:w="109"/>
        <w:gridCol w:w="399"/>
        <w:gridCol w:w="828"/>
        <w:gridCol w:w="31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5934" w:type="dxa"/>
        <w:jc w:val="left"/>
        <w:tblInd w:w="0" w:type="dxa"/>
        <w:tblLayout w:type="fixed"/>
        <w:tblCellMar>
          <w:top w:w="28" w:type="dxa"/>
          <w:left w:w="28" w:type="dxa"/>
          <w:bottom w:w="28" w:type="dxa"/>
          <w:right w:w="28" w:type="dxa"/>
        </w:tblCellMar>
      </w:tblPr>
      <w:tblGrid>
        <w:gridCol w:w="1338"/>
        <w:gridCol w:w="1172"/>
        <w:gridCol w:w="1179"/>
        <w:gridCol w:w="196"/>
        <w:gridCol w:w="331"/>
        <w:gridCol w:w="109"/>
        <w:gridCol w:w="109"/>
        <w:gridCol w:w="109"/>
        <w:gridCol w:w="109"/>
        <w:gridCol w:w="196"/>
        <w:gridCol w:w="496"/>
        <w:gridCol w:w="109"/>
        <w:gridCol w:w="109"/>
        <w:gridCol w:w="109"/>
        <w:gridCol w:w="109"/>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reclassified approximately $0.1 million of cash flow hedges in accumulated other comprehensive losses to earnings, related to foreign exchange contracts recognized in cost of sales. At March 31, 2026, the estimated amount of existing net losses expected to be reclassified into earnings within the next 12 months was less than $0.1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and mark to market gain (loss)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377"/>
        <w:gridCol w:w="1208"/>
        <w:gridCol w:w="1214"/>
        <w:gridCol w:w="1247"/>
        <w:gridCol w:w="1247"/>
        <w:gridCol w:w="1251"/>
        <w:gridCol w:w="109"/>
        <w:gridCol w:w="109"/>
        <w:gridCol w:w="109"/>
        <w:gridCol w:w="196"/>
        <w:gridCol w:w="421"/>
        <w:gridCol w:w="109"/>
        <w:gridCol w:w="109"/>
        <w:gridCol w:w="109"/>
        <w:gridCol w:w="109"/>
        <w:gridCol w:w="196"/>
        <w:gridCol w:w="492"/>
        <w:gridCol w:w="109"/>
        <w:gridCol w:w="109"/>
        <w:gridCol w:w="109"/>
        <w:gridCol w:w="109"/>
        <w:gridCol w:w="157"/>
      </w:tblGrid>
      <w:tr>
        <w:trPr/>
        <w:tc>
          <w:tcPr>
            <w:tcW w:w="137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3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vAlign w:val="center"/>
          </w:tcPr>
          <w:p>
            <w:pPr>
              <w:pStyle w:val="TableContents"/>
              <w:bidi w:val="0"/>
              <w:spacing w:before="0" w:after="283"/>
              <w:jc w:val="left"/>
              <w:rPr>
                <w:sz w:val="4"/>
                <w:szCs w:val="4"/>
              </w:rPr>
            </w:pPr>
            <w:r>
              <w:rPr>
                <w:sz w:val="4"/>
                <w:szCs w:val="4"/>
              </w:rPr>
            </w:r>
          </w:p>
        </w:tc>
        <w:tc>
          <w:tcPr>
            <w:tcW w:w="3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7</w:t>
      </w:r>
      <w:r>
        <w:rPr>
          <w:color w:val="000000"/>
        </w:rPr>
        <w:t xml:space="preserve"> — </w:t>
      </w:r>
      <w:r>
        <w:rPr>
          <w:rFonts w:ascii="Times New Roman;serif" w:hAnsi="Times New Roman;serif"/>
          <w:b/>
          <w:color w:val="000000"/>
          <w:sz w:val="20"/>
        </w:rPr>
        <w:t>STOCK COMPENSATION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there were 543,284 shares available for the grant of awards under the Company’s Amended and Restated 2000 Long Term Incentive Plan (“Plan”), assuming maximum performance of performance-based awards.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Option Awards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stock option activity and related information for the three months ended March 31, 2026 is as follows:</w:t>
      </w:r>
    </w:p>
    <w:tbl>
      <w:tblPr>
        <w:tblW w:w="10205" w:type="dxa"/>
        <w:jc w:val="left"/>
        <w:tblInd w:w="0" w:type="dxa"/>
        <w:tblLayout w:type="fixed"/>
        <w:tblCellMar>
          <w:top w:w="28" w:type="dxa"/>
          <w:left w:w="28" w:type="dxa"/>
          <w:bottom w:w="28" w:type="dxa"/>
          <w:right w:w="28" w:type="dxa"/>
        </w:tblCellMar>
      </w:tblPr>
      <w:tblGrid>
        <w:gridCol w:w="1835"/>
        <w:gridCol w:w="1596"/>
        <w:gridCol w:w="1600"/>
        <w:gridCol w:w="233"/>
        <w:gridCol w:w="503"/>
        <w:gridCol w:w="109"/>
        <w:gridCol w:w="109"/>
        <w:gridCol w:w="109"/>
        <w:gridCol w:w="109"/>
        <w:gridCol w:w="252"/>
        <w:gridCol w:w="717"/>
        <w:gridCol w:w="142"/>
        <w:gridCol w:w="109"/>
        <w:gridCol w:w="109"/>
        <w:gridCol w:w="109"/>
        <w:gridCol w:w="325"/>
        <w:gridCol w:w="325"/>
        <w:gridCol w:w="326"/>
        <w:gridCol w:w="109"/>
        <w:gridCol w:w="109"/>
        <w:gridCol w:w="109"/>
        <w:gridCol w:w="361"/>
        <w:gridCol w:w="612"/>
        <w:gridCol w:w="288"/>
      </w:tblGrid>
      <w:tr>
        <w:trPr/>
        <w:tc>
          <w:tcPr>
            <w:tcW w:w="1835"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br/>
              <w:t>(in thousands)</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outstanding, January 1,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Options outstanding, March 31, 2026</w:t>
            </w:r>
            <w:r>
              <w:rPr>
                <w:rFonts w:ascii="Times New Roman;serif" w:hAnsi="Times New Roman;serif"/>
                <w:b/>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Options exercisable, March 31, 2026</w:t>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733,625 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stock option expense remaining (in thousands)</w:t>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a non-plan stock option award of 15,000 stock options granted in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in the table above represents the total pre-tax intrinsic value that would have been received by the option holders had all option holders exercised their exercisable, in-the-money stock options on March 31, 2026. The intrinsic value is calculated for each in-the-money stock option as the difference between the closing price of the Company’s common stock on March 31, 2026 and the exercise price.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restricted stock activity and related information for the three months ended March 31, 2026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January 1, 2026</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885,925 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restricted shares, March 31, 2026</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that vested during the three months ended March 31, 2026 was $0.7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award represents the right to receive up to 150% of the target number of shares of common stock. The number of shares of common stock earned will be determined at the end of the performance period, based on the attainment of specified performance goals at the time of grant, as determined by the Compensation Committee of the Company’s board of directors (the “Board of Directors”). The shares are subject to the terms and conditions of the Company’s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award activity and related information for the three months ended March 31, 2026 is as follows:</w:t>
      </w:r>
    </w:p>
    <w:tbl>
      <w:tblPr>
        <w:tblW w:w="8007" w:type="dxa"/>
        <w:jc w:val="left"/>
        <w:tblInd w:w="0" w:type="dxa"/>
        <w:tblLayout w:type="fixed"/>
        <w:tblCellMar>
          <w:top w:w="28" w:type="dxa"/>
          <w:left w:w="28" w:type="dxa"/>
          <w:bottom w:w="28" w:type="dxa"/>
          <w:right w:w="28" w:type="dxa"/>
        </w:tblCellMar>
      </w:tblPr>
      <w:tblGrid>
        <w:gridCol w:w="1935"/>
        <w:gridCol w:w="1699"/>
        <w:gridCol w:w="1706"/>
        <w:gridCol w:w="259"/>
        <w:gridCol w:w="736"/>
        <w:gridCol w:w="144"/>
        <w:gridCol w:w="109"/>
        <w:gridCol w:w="109"/>
        <w:gridCol w:w="109"/>
        <w:gridCol w:w="288"/>
        <w:gridCol w:w="685"/>
        <w:gridCol w:w="228"/>
      </w:tblGrid>
      <w:tr>
        <w:trPr/>
        <w:tc>
          <w:tcPr>
            <w:tcW w:w="193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based stock</w:t>
            </w:r>
          </w:p>
          <w:p>
            <w:pPr>
              <w:pStyle w:val="TableContents"/>
              <w:bidi w:val="0"/>
              <w:spacing w:lineRule="auto" w:line="240" w:before="0" w:after="0"/>
              <w:jc w:val="center"/>
              <w:rPr/>
            </w:pPr>
            <w:r>
              <w:rPr>
                <w:rFonts w:ascii="Times New Roman;serif" w:hAnsi="Times New Roman;serif"/>
                <w:b/>
                <w:color w:val="000000"/>
                <w:sz w:val="18"/>
              </w:rPr>
              <w:t xml:space="preserve">awards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January 1, 2026</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730,797 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259,731 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Forfeitures</w:t>
            </w:r>
            <w:r>
              <w:rPr>
                <w:rFonts w:ascii="Times New Roman;serif" w:hAnsi="Times New Roman;serif"/>
                <w:b w:val="false"/>
                <w:color w:val="000000"/>
                <w:sz w:val="12"/>
              </w:rPr>
              <w:t>(2)</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(186,181)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Non-vested performance-based awards, March 31, 2026</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804,347 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unrecognized compensation expense remaining (in thousands)</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years expected to be recognized over</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Includes the forfeiture of performance-based awards granted in 2023 as the performance metric was not attained.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stock compensation expense as follows (in thousands):</w:t>
      </w:r>
    </w:p>
    <w:tbl>
      <w:tblPr>
        <w:tblW w:w="6744"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556"/>
        <w:gridCol w:w="109"/>
        <w:gridCol w:w="109"/>
        <w:gridCol w:w="109"/>
        <w:gridCol w:w="109"/>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compensation expense for equity based awards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—LOSS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calculations of basic and diluted loss per common share for the three months ended March 31, 2026 and 2025 are as follows:</w:t>
      </w:r>
    </w:p>
    <w:tbl>
      <w:tblPr>
        <w:tblW w:w="7242" w:type="dxa"/>
        <w:jc w:val="left"/>
        <w:tblInd w:w="0" w:type="dxa"/>
        <w:tblLayout w:type="fixed"/>
        <w:tblCellMar>
          <w:top w:w="28" w:type="dxa"/>
          <w:left w:w="28" w:type="dxa"/>
          <w:bottom w:w="28" w:type="dxa"/>
          <w:right w:w="28" w:type="dxa"/>
        </w:tblCellMar>
      </w:tblPr>
      <w:tblGrid>
        <w:gridCol w:w="1362"/>
        <w:gridCol w:w="1199"/>
        <w:gridCol w:w="1204"/>
        <w:gridCol w:w="267"/>
        <w:gridCol w:w="861"/>
        <w:gridCol w:w="148"/>
        <w:gridCol w:w="148"/>
        <w:gridCol w:w="148"/>
        <w:gridCol w:w="148"/>
        <w:gridCol w:w="267"/>
        <w:gridCol w:w="861"/>
        <w:gridCol w:w="148"/>
        <w:gridCol w:w="109"/>
        <w:gridCol w:w="109"/>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amounts)</w:t>
            </w:r>
          </w:p>
        </w:tc>
        <w:tc>
          <w:tcPr>
            <w:tcW w:w="481" w:type="dxa"/>
            <w:gridSpan w:val="4"/>
            <w:tcBorders/>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 Basic and 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Weighted-average shares outstanding – Basic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dilutive securities: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Stock options and other stock awards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 outstanding – Diluted</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loss per common share</w:t>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Diluted loss per common share</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Antidilutive Securities</w:t>
            </w:r>
            <w:r>
              <w:rPr>
                <w:rFonts w:ascii="Times New Roman;serif" w:hAnsi="Times New Roman;serif"/>
                <w:b/>
                <w:color w:val="000000"/>
                <w:sz w:val="12"/>
              </w:rPr>
              <w:t>(1)</w:t>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$1.7 million and $0.1 million for the three months ended March 31, 2026 and 2025, respectively, represent taxes on both U.S. and foreign earnings at a combined effective income tax rate of 26.0% and 3.3%, respectively. The effective tax rate for the three months ended March 31, 2026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The effective tax rate for the three months ended March 31, 2025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identified the following jurisdictions as “major” tax jurisdictions: U.S. Federal, California, New Jersey, New York and the United Kingdom.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March 31, 2026 and March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with various provisions impacting the Company, none of which are material to the 2026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 BUSINESS SEGMENTS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Company’s Chief Executive Officer. The Company has segmented its operations to reflect the manner in which the CODM reviews and evaluates the results of its operations. The CODM allocates operating and capital resources and evaluates the performance of the Company’s segments based on segment net sales, segment gross margin, and segment (loss) income from operations. Such measures give recognition to specifically identifiable operating costs. Significant segment expenses that are included in segment operating income consist of cost of sales, distribution expenses (which include freight-out expenses and warehouse expenses) and selling, general and administrative expenses.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general and administrative expenses are not allocated to the Company’s segments as these represent corporate level activities and are reflected below as unallocated corporate expenses. These costs primarily include senior executive salaries and benefits, stock compensation, director fees and accounting, legal fees and consulting fees.</w:t>
      </w:r>
    </w:p>
    <w:tbl>
      <w:tblPr>
        <w:tblW w:w="6729" w:type="dxa"/>
        <w:jc w:val="left"/>
        <w:tblInd w:w="0" w:type="dxa"/>
        <w:tblLayout w:type="fixed"/>
        <w:tblCellMar>
          <w:top w:w="28" w:type="dxa"/>
          <w:left w:w="28" w:type="dxa"/>
          <w:bottom w:w="28" w:type="dxa"/>
          <w:right w:w="28" w:type="dxa"/>
        </w:tblCellMar>
      </w:tblPr>
      <w:tblGrid>
        <w:gridCol w:w="1315"/>
        <w:gridCol w:w="1155"/>
        <w:gridCol w:w="1159"/>
        <w:gridCol w:w="211"/>
        <w:gridCol w:w="826"/>
        <w:gridCol w:w="109"/>
        <w:gridCol w:w="109"/>
        <w:gridCol w:w="109"/>
        <w:gridCol w:w="109"/>
        <w:gridCol w:w="211"/>
        <w:gridCol w:w="826"/>
        <w:gridCol w:w="109"/>
        <w:gridCol w:w="109"/>
        <w:gridCol w:w="109"/>
        <w:gridCol w:w="109"/>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Performance Measures: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Unallocated corporate (expenses) income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Unallocated corporate income for the three months ended March 31, 2025 included a net legal settlement gain of $6.4 million. Details see NOTE 11 — CONTINGENCIES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8035" w:type="dxa"/>
        <w:jc w:val="left"/>
        <w:tblInd w:w="0" w:type="dxa"/>
        <w:tblLayout w:type="fixed"/>
        <w:tblCellMar>
          <w:top w:w="28" w:type="dxa"/>
          <w:left w:w="28" w:type="dxa"/>
          <w:bottom w:w="28" w:type="dxa"/>
          <w:right w:w="28" w:type="dxa"/>
        </w:tblCellMar>
      </w:tblPr>
      <w:tblGrid>
        <w:gridCol w:w="1863"/>
        <w:gridCol w:w="1637"/>
        <w:gridCol w:w="1645"/>
        <w:gridCol w:w="211"/>
        <w:gridCol w:w="721"/>
        <w:gridCol w:w="109"/>
        <w:gridCol w:w="109"/>
        <w:gridCol w:w="109"/>
        <w:gridCol w:w="109"/>
        <w:gridCol w:w="211"/>
        <w:gridCol w:w="721"/>
        <w:gridCol w:w="109"/>
        <w:gridCol w:w="109"/>
        <w:gridCol w:w="109"/>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 for significant segment expenses:</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Freight-out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freight-out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Warehouse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warehouse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Restructuring expenses: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24" w:type="dxa"/>
        <w:jc w:val="left"/>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4583"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11"/>
        <w:gridCol w:w="82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11</w:t>
      </w:r>
      <w:r>
        <w:rPr>
          <w:color w:val="000000"/>
        </w:rPr>
        <w:t xml:space="preserve"> — </w:t>
      </w:r>
      <w:r>
        <w:rPr>
          <w:rFonts w:ascii="Times New Roman;serif" w:hAnsi="Times New Roman;serif"/>
          <w:b/>
          <w:color w:val="000000"/>
          <w:sz w:val="20"/>
        </w:rPr>
        <w:t>CONTINGENCIES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Wallace EPA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organic compounds present in the local drinking water supply.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In order to protect the health of its employees and continue its business operations, WSPR has implemented corrective action measures to respond to vapor intrusion, such as sealing the floors of the building and conducting periodic air monitoring to address potential exposure.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damage at and from the Site and to determine the nature of the remedial action needed to address the damage. The EPA requested access to the property occupied by WSPR to install monitoring wells and to undertake groundwater sampling as part of this expanded investigation. WSPR consented to the EPA’s access request, provided that the EPA received PRIDCO’s consent as the property owner. The EPA has also issued notices of potential liability to a number of other entities affiliated with the Site, which used the organic compounds of concern.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In October 2025, the U.S. government requested that the parties extend the tolling agreement until November 10, 2026. WSPR agreed to the extension.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(“Decree”). On July 26, 2023, the U.S. Government filed a complaint in United States District Court for the District of Puerto Rico for the purpose of seeking judicial approval of the Decree. As required by applicable regulations, the U.S. Government simultaneously lodged the Decree for public comment. No comments were received during the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pPr>
      <w:r>
        <w:rPr>
          <w:rFonts w:ascii="Times New Roman;serif" w:hAnsi="Times New Roman;serif"/>
          <w:b w:val="false"/>
          <w:color w:val="000000"/>
          <w:sz w:val="20"/>
        </w:rPr>
        <w:t>comment period. On September 6, 2023, at the conclusion of the public comment period, the U.S. Government filed a Motion to Enter the Decree, and the court entered the Decree on December 14, 2023, thereby effectuating the Decree. On January 10, 2024, the EPA issued a notice to proceed with the OU-1 remedial work.</w:t>
      </w:r>
      <w:r>
        <w:rPr>
          <w:color w:val="000000"/>
        </w:rPr>
        <w:t xml:space="preserve"> </w:t>
      </w:r>
      <w:r>
        <w:rPr>
          <w:rFonts w:ascii="Times New Roman;serif" w:hAnsi="Times New Roman;serif"/>
          <w:b w:val="false"/>
          <w:color w:val="000000"/>
          <w:sz w:val="20"/>
        </w:rPr>
        <w:t xml:space="preserve">The Company thereafter commenced remedial work on OU-1 in accordance with the Decree. WSPR submitted the final draft Remedial Design Work Plan, Supplemental Pre-Design Investigation Work Plan, and Pilot Study Work Plan to the EPA on May 30, 2025, and awaits the EPA’s approval on those documents to move forward with the remediation.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reserved $5.6 million to cover probable and estimable liabilities with respect to the above remedial design and remedial action for OU-1.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 As of March 31, 2026, the remaining probable and reasonably estimable liability related to the above remedial design and remedial action for OU-1 is $5.3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Legal Settlement Gain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2015, Taylor Precision Products, Inc. (“Taylor” and/or the “Plaintiff”), which was acquired by the Company on March 2, 2018, commenced a legal action related to a 2013 acquisition, alleging that the seller failed to sufficiently disclose certain adverse information as part of the acquisition. In February 2025, the Company received a net settlement of $6.4 million, which consisted of a $7.0 million settlement less $0.6 million in legal fees related to this case. The Company recognized the gain in selling, general and administrative expenses in the condensed consolidated statement of operations for the quarter ended March 31,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is, from time to time, involved in other legal proceedings. The Company believes that other such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360" w:after="283"/>
        <w:jc w:val="left"/>
        <w:rPr/>
      </w:pPr>
      <w:r>
        <w:rPr>
          <w:rFonts w:ascii="Times New Roman;serif" w:hAnsi="Times New Roman;serif"/>
          <w:b/>
          <w:color w:val="000000"/>
          <w:sz w:val="20"/>
        </w:rPr>
        <w:t>NOTE 12 </w:t>
      </w:r>
      <w:r>
        <w:rPr>
          <w:color w:val="000000"/>
        </w:rPr>
        <w:t>— </w:t>
      </w:r>
      <w:r>
        <w:rPr>
          <w:rFonts w:ascii="Times New Roman;serif" w:hAnsi="Times New Roman;serif"/>
          <w:b/>
          <w:color w:val="000000"/>
          <w:sz w:val="20"/>
        </w:rPr>
        <w:t>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declared in the three months ended March 31, 2026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5/15/2026</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paid dividends of $1.0 million. This included payments made on February 13, 2026 of $0.9 million to stockholders of record on January 30, 2026 and payments of $0.1 million for dividends payable upon the vesting of restricted shares.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three months ended March 31, 2026, the Company reduced retained earnings for the accrual of $1.0 million relating to the dividend payable on May 15,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three months ended March 31, 2026. As of March 31, 2026, the remaining dollar amount available for repurchases under the Board of Directors’ authorized plan was $11.1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bl>
      <w:tblPr>
        <w:tblW w:w="6068" w:type="dxa"/>
        <w:jc w:val="left"/>
        <w:tblInd w:w="0" w:type="dxa"/>
        <w:tblLayout w:type="fixed"/>
        <w:tblCellMar>
          <w:top w:w="28" w:type="dxa"/>
          <w:left w:w="28" w:type="dxa"/>
          <w:bottom w:w="28" w:type="dxa"/>
          <w:right w:w="28" w:type="dxa"/>
        </w:tblCellMar>
      </w:tblPr>
      <w:tblGrid>
        <w:gridCol w:w="1441"/>
        <w:gridCol w:w="1263"/>
        <w:gridCol w:w="1270"/>
        <w:gridCol w:w="196"/>
        <w:gridCol w:w="556"/>
        <w:gridCol w:w="109"/>
        <w:gridCol w:w="109"/>
        <w:gridCol w:w="109"/>
        <w:gridCol w:w="109"/>
        <w:gridCol w:w="196"/>
        <w:gridCol w:w="55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Components of accumulated other comprehensive loss, net</w:t>
      </w:r>
    </w:p>
    <w:tbl>
      <w:tblPr>
        <w:tblW w:w="7885" w:type="dxa"/>
        <w:jc w:val="left"/>
        <w:tblInd w:w="0" w:type="dxa"/>
        <w:tblLayout w:type="fixed"/>
        <w:tblCellMar>
          <w:top w:w="28" w:type="dxa"/>
          <w:left w:w="28" w:type="dxa"/>
          <w:bottom w:w="28" w:type="dxa"/>
          <w:right w:w="28" w:type="dxa"/>
        </w:tblCellMar>
      </w:tblPr>
      <w:tblGrid>
        <w:gridCol w:w="1818"/>
        <w:gridCol w:w="1601"/>
        <w:gridCol w:w="1606"/>
        <w:gridCol w:w="196"/>
        <w:gridCol w:w="721"/>
        <w:gridCol w:w="109"/>
        <w:gridCol w:w="109"/>
        <w:gridCol w:w="109"/>
        <w:gridCol w:w="109"/>
        <w:gridCol w:w="196"/>
        <w:gridCol w:w="721"/>
        <w:gridCol w:w="109"/>
        <w:gridCol w:w="109"/>
        <w:gridCol w:w="109"/>
        <w:gridCol w:w="109"/>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Accumulated deferred gains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unrealized gains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of cash flow hedge </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cash flow hedges, net of taxes of $0, $0,</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reclassified from accumulated other comprehensive loss:</w:t>
            </w:r>
            <w:r>
              <w:rPr>
                <w:color w:val="000000"/>
              </w:rPr>
              <w:t xml:space="preserve"> </w:t>
            </w:r>
            <w:r>
              <w:rPr>
                <w:rFonts w:ascii="Times New Roman;serif" w:hAnsi="Times New Roman;serif"/>
                <w:b w:val="false"/>
                <w:color w:val="000000"/>
                <w:sz w:val="12"/>
              </w:rPr>
              <w:t>(2)</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 net of taxes of $(2), $(1)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accumulated other comprehensive loss at end of period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(17,906)</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Amounts reclassified are recorded in cost of sales on the unaudited condensed consolidated statement of operations.</w:t>
      </w:r>
    </w:p>
    <w:p>
      <w:pPr>
        <w:pStyle w:val="TextBody"/>
        <w:bidi w:val="0"/>
        <w:spacing w:lineRule="auto" w:line="28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erif" w:hAnsi="Times New Roman;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erif" w:hAnsi="Times New Roman;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2025 (the “2025 Annual Report on Form 10-K”) in Part I, Item 1A under the heading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Macroeconomic conditions, including labor disputes, depreciation of the U.S. dollar, volatility in the capital markets,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Geopolitical conditions, including political instability in the U.S. and abroad, unrest, sanctions, war and armed conflicts, increasing regional and global tensions, and associated disruptions and volatility in energy and oil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Legislative and regulatory risk;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Reputational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erif" w:hAnsi="Times New Roman;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erif" w:hAnsi="Times New Roman;serif"/>
          <w:b w:val="false"/>
          <w:i/>
          <w:color w:val="000000"/>
          <w:sz w:val="20"/>
          <w:u w:val="single"/>
        </w:rPr>
        <w:t>http://www.lifetimebrands.com</w:t>
      </w:r>
      <w:r>
        <w:rPr>
          <w:rFonts w:ascii="Times New Roman;serif" w:hAnsi="Times New Roman;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erif" w:hAnsi="Times New Roman;serif"/>
          <w:b w:val="false"/>
          <w:i/>
          <w:color w:val="000000"/>
          <w:sz w:val="20"/>
          <w:u w:val="single"/>
        </w:rPr>
        <w:t>http://www.sec.gov.</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ABOUT THE 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erif" w:hAnsi="Times New Roman;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erif" w:hAnsi="Times New Roman;serif"/>
          <w:b w:val="false"/>
          <w:color w:val="000000"/>
          <w:sz w:val="13"/>
        </w:rPr>
        <w:t>®</w:t>
      </w:r>
      <w:r>
        <w:rPr>
          <w:rFonts w:ascii="Times New Roman;serif" w:hAnsi="Times New Roman;serif"/>
          <w:b w:val="false"/>
          <w:color w:val="000000"/>
          <w:sz w:val="20"/>
        </w:rPr>
        <w:t>, KitchenAid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Mikasa</w:t>
      </w:r>
      <w:r>
        <w:rPr>
          <w:rFonts w:ascii="Times New Roman;serif" w:hAnsi="Times New Roman;serif"/>
          <w:b w:val="false"/>
          <w:color w:val="000000"/>
          <w:sz w:val="13"/>
        </w:rPr>
        <w:t>®</w:t>
      </w:r>
      <w:r>
        <w:rPr>
          <w:rFonts w:ascii="Times New Roman;serif" w:hAnsi="Times New Roman;serif"/>
          <w:b w:val="false"/>
          <w:color w:val="000000"/>
          <w:sz w:val="20"/>
        </w:rPr>
        <w:t>, Taylor</w:t>
      </w:r>
      <w:r>
        <w:rPr>
          <w:rFonts w:ascii="Times New Roman;serif" w:hAnsi="Times New Roman;serif"/>
          <w:b w:val="false"/>
          <w:color w:val="000000"/>
          <w:sz w:val="13"/>
        </w:rPr>
        <w:t>®</w:t>
      </w:r>
      <w:r>
        <w:rPr>
          <w:rFonts w:ascii="Times New Roman;serif" w:hAnsi="Times New Roman;serif"/>
          <w:b w:val="false"/>
          <w:color w:val="000000"/>
          <w:sz w:val="20"/>
        </w:rPr>
        <w:t>, Pfaltzgraff</w:t>
      </w:r>
      <w:r>
        <w:rPr>
          <w:rFonts w:ascii="Times New Roman;serif" w:hAnsi="Times New Roman;serif"/>
          <w:b w:val="false"/>
          <w:color w:val="000000"/>
          <w:sz w:val="13"/>
        </w:rPr>
        <w:t>®</w:t>
      </w:r>
      <w:r>
        <w:rPr>
          <w:rFonts w:ascii="Times New Roman;serif" w:hAnsi="Times New Roman;serif"/>
          <w:b w:val="false"/>
          <w:color w:val="000000"/>
          <w:sz w:val="20"/>
        </w:rPr>
        <w:t>, Built NY</w:t>
      </w:r>
      <w:r>
        <w:rPr>
          <w:rFonts w:ascii="Times New Roman;serif" w:hAnsi="Times New Roman;serif"/>
          <w:b w:val="false"/>
          <w:color w:val="000000"/>
          <w:sz w:val="13"/>
        </w:rPr>
        <w:t>®</w:t>
      </w:r>
      <w:r>
        <w:rPr>
          <w:rFonts w:ascii="Times New Roman;serif" w:hAnsi="Times New Roman;serif"/>
          <w:b w:val="false"/>
          <w:color w:val="000000"/>
          <w:sz w:val="20"/>
        </w:rPr>
        <w:t>, S’well</w:t>
      </w:r>
      <w:r>
        <w:rPr>
          <w:rFonts w:ascii="Times New Roman;serif" w:hAnsi="Times New Roman;serif"/>
          <w:b w:val="false"/>
          <w:color w:val="000000"/>
          <w:sz w:val="13"/>
        </w:rPr>
        <w:t>®</w:t>
      </w:r>
      <w:r>
        <w:rPr>
          <w:rFonts w:ascii="Times New Roman;serif" w:hAnsi="Times New Roman;serif"/>
          <w:b w:val="false"/>
          <w:color w:val="000000"/>
          <w:sz w:val="20"/>
        </w:rPr>
        <w:t>, Fred</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&amp; Friends, KitchenCraft</w:t>
      </w:r>
      <w:r>
        <w:rPr>
          <w:rFonts w:ascii="Times New Roman;serif" w:hAnsi="Times New Roman;serif"/>
          <w:b w:val="false"/>
          <w:color w:val="000000"/>
          <w:sz w:val="13"/>
        </w:rPr>
        <w:t xml:space="preserve">® </w:t>
      </w:r>
      <w:r>
        <w:rPr>
          <w:rFonts w:ascii="Times New Roman;serif" w:hAnsi="Times New Roman;serif"/>
          <w:b w:val="false"/>
          <w:color w:val="000000"/>
          <w:sz w:val="20"/>
        </w:rPr>
        <w:t>, Rabbit</w:t>
      </w:r>
      <w:r>
        <w:rPr>
          <w:rFonts w:ascii="Times New Roman;serif" w:hAnsi="Times New Roman;serif"/>
          <w:b w:val="false"/>
          <w:color w:val="000000"/>
          <w:sz w:val="13"/>
        </w:rPr>
        <w:t>®</w:t>
      </w:r>
      <w:r>
        <w:rPr>
          <w:rFonts w:ascii="Times New Roman;serif" w:hAnsi="Times New Roman;serif"/>
          <w:b w:val="false"/>
          <w:color w:val="000000"/>
          <w:sz w:val="20"/>
        </w:rPr>
        <w:t>, Kamenstein</w:t>
      </w:r>
      <w:r>
        <w:rPr>
          <w:rFonts w:ascii="Times New Roman;serif" w:hAnsi="Times New Roman;serif"/>
          <w:b w:val="false"/>
          <w:color w:val="000000"/>
          <w:sz w:val="13"/>
        </w:rPr>
        <w:t>®</w:t>
      </w:r>
      <w:r>
        <w:rPr>
          <w:rFonts w:ascii="Times New Roman;serif" w:hAnsi="Times New Roman;serif"/>
          <w:b w:val="false"/>
          <w:color w:val="000000"/>
          <w:sz w:val="20"/>
        </w:rPr>
        <w:t>, and Dolly</w:t>
      </w:r>
      <w:r>
        <w:rPr>
          <w:rFonts w:ascii="Times New Roman;serif" w:hAnsi="Times New Roman;serif"/>
          <w:b w:val="false"/>
          <w:color w:val="000000"/>
          <w:sz w:val="13"/>
        </w:rPr>
        <w:t>®</w:t>
      </w:r>
      <w:r>
        <w:rPr>
          <w:rFonts w:ascii="Times New Roman;serif" w:hAnsi="Times New Roman;serif"/>
          <w:b w:val="false"/>
          <w:color w:val="000000"/>
          <w:sz w:val="20"/>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 and Supply Chain Considerations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sources almost all of its product from third-party manufacturers outside the U.S., primarily in China. This geographic concentration in suppliers exposes the Company to risks associated with doing business globally, including risks relating to changes in U.S. tariff and trade policies. New or increased tariffs, quotas, embargoes, or other trade barriers could adversely impact our supply chain and cost structure. In 2025, the Company implemented several actions to mitigate the impact of the tariffs imposed by the U.S. administration. For example, the Company negotiated price increases to its U.S. customers which went into effect in the third quarter of 2025. The Company’s tariff mitigation strategy was intended to maintain the Company’s gross margin dollars and therefore, may result in a decline in gross margin percentage.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held that the U.S. administration’s imposition of tariffs pursuant to the International Emergency Economic Powers Act (“IEEPA”) was unlawful, striking down the 10% global baseline tariff, as well as the higher tariffs imposed on certain U.S. trading partners. The U.S. Supreme Court’s ruling did not affect all of the recently imposed tariffs, including those imposed following trade remedy investigations by the Department of Commerce or the U.S. Trade Representative. Nor did it prohibit the imposition of future tariffs through alternative trade authorities available to the U.S. administration. On February 20, 2026, shortly after the announced U.S. Supreme Court decision, the U.S. administration announced that it would be imposing a new 10% global tariff for a period of 150 days pursuant to a balance-of-payments provision in Section 122 of the Trade Act of 1974, to become effective February 24, 2026. The U.S. administration further announced that it would begin additional trade remedy investigations into unidentified trading partners pursuant to Section 301 of the Trade Act of 1974 and with respect to certain unidentified product sectors pursuant to Section 232 of the Trade Expansion Act of 1962. The U.S. Government has stated publicly that companies will need to litigate to obtain refunds, which could take years. While guidance and processes relating to refunds continue to develop, it remains challenging to predict if, and when, any refunds will, in fact, be obtained and whether refunds would be paid in cash or credits against future duties or tariffs. As of April 20, 2026, the CBP has launched Phase One of the Consolidated Administration and Processing of Entries ("CAPE") program to process refunds.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actively engaging with its custom brokers and outside legal counsel to assess and pursue potential refund claims related to the the IEEPA tariffs paid. The Company estimates that the total tariff payments made related to the IEEPA tariffs totaled $41.7 million. While the Company plans to pursue the recovery of the IEEPA tariffs paid, these amounts represent a gain contingency and have not been recognized in the consolidated financial statements as of March 31,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first quarter of 2026 U.S. sales were favorably impacted by higher selling prices, however volume was impacted in certain channels due to softening consumer discretionary demand. For the first quarter of 2026, U.S. gross margin percentage improved by 170 basis points compared to the first quarter of 2025. This improvement was in part driven by favorable product mix, which offset the combined impact of tariffs and our mitigation strategy. We expect continued margin pressure through 2026 as higher-cost inventory is sold through, reflecting the full impact of these tariffs.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cannot predict what additional changes to trade policy will be made by the U.S. administration or Congress, including whether existing tariff policies will be maintained or modified, what products may be subject to such policies, or whether the entry into new bilateral or multilateral trade agreements will occur, nor can we predict the effects that any such changes would have on our business, capital expenditures, and results of operations. The Company is actively monitoring the rapidly evolving tariff and global trade policies that become effective, as well as potential retaliatory actions by other countries.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tariffs rates were to increase further and the Company is unable to mitigate the impact of the increase in cost, it would result in lower gross margin from the sale of its products. The broader macroeconomic impacts related to the changes in tariff policies including potential mitigation efforts by retailers may negatively impact consumer spending and buying patterns of the Company’s products. This could materially adversely affect the Company’s results of operations and financial condition.</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w:t>
      </w:r>
    </w:p>
    <w:p>
      <w:pPr>
        <w:pStyle w:val="TextBody"/>
        <w:bidi w:val="0"/>
        <w:spacing w:lineRule="auto" w:line="288" w:before="120" w:after="283"/>
        <w:jc w:val="left"/>
        <w:rPr/>
      </w:pPr>
      <w:r>
        <w:rPr>
          <w:rFonts w:ascii="Times New Roman;serif" w:hAnsi="Times New Roman;serif"/>
          <w:b w:val="false"/>
          <w:color w:val="000000"/>
          <w:sz w:val="20"/>
          <w:shd w:fill="FFFFFF" w:val="clear"/>
        </w:rPr>
        <w:t xml:space="preserve">Escalating geopolitical conflicts in the Middle East, including shipping disruptions in the Strait of Hormuz, </w:t>
      </w:r>
      <w:r>
        <w:rPr>
          <w:rFonts w:ascii="Times New Roman;serif" w:hAnsi="Times New Roman;serif"/>
          <w:b w:val="false"/>
          <w:color w:val="000000"/>
          <w:sz w:val="20"/>
        </w:rPr>
        <w:t>have lead to increased volatility on global energy prices. Sustained increases in energy costs could materially increase the Company’s product and transportation costs, including through higher input costs and increased fuel prices, which typically lead to fuel surcharges and higher freight rates from third-party logistics providers. This could increase the Company’s distribution and inbound freight costs. T</w:t>
      </w:r>
      <w:r>
        <w:rPr>
          <w:rFonts w:ascii="Times New Roman;serif" w:hAnsi="Times New Roman;serif"/>
          <w:b w:val="false"/>
          <w:color w:val="000000"/>
          <w:sz w:val="20"/>
          <w:shd w:fill="FFFFFF" w:val="clear"/>
        </w:rPr>
        <w:t xml:space="preserve">he duration of the conflict and the potential for further escalation, including military actions, sanctions, or </w:t>
      </w:r>
      <w:r>
        <w:rPr>
          <w:rFonts w:ascii="Times New Roman;serif" w:hAnsi="Times New Roman;serif"/>
          <w:b w:val="false"/>
          <w:color w:val="000000"/>
          <w:sz w:val="20"/>
        </w:rPr>
        <w:t>disruptions to key trade routes, could adversely affect the global macroeconomic environment, and in turn, negatively impact consumer spending and demand for the Company’s products. The Company continues to monitor these developments, however the extent and duration of their impact remain uncertain. If energy prices remain elevated or if macroeconomic conditions deteriorate, the Company’s results of operations and financial condition could be materially adversely affected.</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Hagerstown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announced the relocation of the Company’s east coast distribution operations currently located in Robbinsville, NJ (the “Robbinsville Facility”) to Hagerstown, Maryland (the “Hagerstown Facility”). In connection with the relocation, the Company expects to incur exit costs of approximately $6.0 million for employee severance, certain employee relocation costs, and remaining lease costs for the Robbinsville Facility. For the three months ended March 31, 2026, the Company has incurred $1.2 million, primarily related to employee severance costs. The remaining costs are expected to be incurred in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Hagerstown Facility will require capital expenditures for equipment and certain leasehold improvements that are estimated to be approximately $9.6 million, of which $3.9 million remains to be purchased as of March 31, 2026. The Company incurred capital expenditures related to this relocation of $3.4 million during the three months ended March 31, 2026 and $2.3 million during the year-ended December 31, 2025. Start-up costs are estimated to be approximately $7.0 million, which includes recruitment, relocation of inventory, set up costs and lease expenses prior to the Hagerstown Facility being fully operational. These one-time costs are expected to be incurred in 2026. The Company expects that the Hagerstown Facility will be operational in the second quarter of 2026. Additionally, in connection with the relocation to the Hagerstown Facility, the Company will receive tax abatement and incentives over the term of the lease from the State of Maryland and Washington County, Maryland totaling approximately $13.1 million. These incentives include real property tax abatement, employee state withholding tax credit, conditional grants and income tax credits.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Project Concord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launched Project Concord, management’s comprehensive plan to propel growth and streamline the cost structure of its International operations. The Company expects this plan to improve future results of its International segment through sales growth and the identified costs efficiencies. This project resulted in several reorganizations and restructuring of the international workforce which have primarily affected the structure of the International segment’s merchandising and sale workforce. The following actions were taken under this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July 8, 2025 the Company announced a reorganization of its international workforce in connection with Project Concord. The restructuring expenses related to severance associated with the reorganization of $0.3 million was recorded in the third quarter of 2025.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On March 26, 2026 the Company announced a second reorganization of its international workforce in connection with Project Concord. The restructuring expenses related to severance associated with the reorganization of $0.2 million was recorded in the three months ended March 31,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expects to record additional approximately $0.2 million of restructuring charges in connection with Project Concord for severance and related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two reportable segments: U.S. and International. The U.S. segment is the Company’s domestic business that designs, markets and distributes its products to retailers and distributors, as well as directly to consumers through third parties and its own internet websites primarily in the U.S. The International segment is the Company’s international business that sells and distributes products to consumers primarily in the U.K., the European Union and the Asia Pacific region.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Company’s reportable segments is included in NOTE 10 – BUSINESS SEGMENTS of the Notes to the condensed consolidated financial statements included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business and working capital needs are seasonal, with a majority of sales occurring in the third and fourth quarters. In 2025 and 2024, net sales for the third and fourth quarters accounted for 58% of total annual net sales, for both periods. In anticipation of the pre-holiday shipping season, inventory levels increase primarily in the June through October time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left"/>
        <w:rPr/>
      </w:pPr>
      <w:r>
        <w:rPr>
          <w:rFonts w:ascii="Times New Roman;serif" w:hAnsi="Times New Roman;serif"/>
          <w:b w:val="false"/>
          <w:color w:val="000000"/>
          <w:sz w:val="20"/>
        </w:rPr>
        <w:t xml:space="preserve">There have been no material changes to the Company’s critical accounting estimates discussed in the 2025 Annual Report on Form 10-K in Item 7 under the heading </w:t>
      </w:r>
      <w:r>
        <w:rPr>
          <w:rFonts w:ascii="Times New Roman;serif" w:hAnsi="Times New Roman;serif"/>
          <w:b w:val="false"/>
          <w:i/>
          <w:color w:val="000000"/>
          <w:sz w:val="20"/>
        </w:rPr>
        <w:t>Management’s Discussion and Analysis of Financial Condition and Results of Operations – Critical Accounting Policies and Estimates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statements of operations data of the Company as a percentage of net sales for the periods indicated:</w:t>
      </w:r>
    </w:p>
    <w:tbl>
      <w:tblPr>
        <w:tblW w:w="6756" w:type="dxa"/>
        <w:jc w:val="left"/>
        <w:tblInd w:w="0" w:type="dxa"/>
        <w:tblLayout w:type="fixed"/>
        <w:tblCellMar>
          <w:top w:w="28" w:type="dxa"/>
          <w:left w:w="28" w:type="dxa"/>
          <w:bottom w:w="28" w:type="dxa"/>
          <w:right w:w="28" w:type="dxa"/>
        </w:tblCellMar>
      </w:tblPr>
      <w:tblGrid>
        <w:gridCol w:w="1405"/>
        <w:gridCol w:w="1239"/>
        <w:gridCol w:w="1256"/>
        <w:gridCol w:w="278"/>
        <w:gridCol w:w="278"/>
        <w:gridCol w:w="352"/>
        <w:gridCol w:w="150"/>
        <w:gridCol w:w="150"/>
        <w:gridCol w:w="150"/>
        <w:gridCol w:w="278"/>
        <w:gridCol w:w="278"/>
        <w:gridCol w:w="352"/>
        <w:gridCol w:w="109"/>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gain (loss)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 2026 COMPARED TO THE THREE MONTHS ENDED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MARCH 31, 2025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 for the three months ended March 31, 2026 were $143.5 million, representing an increase of $3.4 million, or 2.4%, as compared to net sales of $140.1 million for the corresponding period in 2025. In constant currency, a non-GAAP financial measure, which excludes the impact of foreign exchange fluctuations and was determined by applying 2026 average rates to 2025 local currency amounts, consolidated net sales increased by $2.5 million, or 1.8%, as compared to consolidated net sales in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 for the three months ended March 31, 2026 were $130.7 million, an increase of $2.2 million, or 1.7%, as compared to net sales of $128.5 million for the corresponding period in 2025. For the three months ended March 31, 2026, net sales were favorably impacted by higher selling prices, reflecting the implementation of price increases for the Company’s U.S. customers that went into effect during the third quarter of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Kitchenware product category were $78.5 million for the three months ended March 31, 2026, a decrease of $1.0 million, or 1.3%, as compared to $79.5 million for the corresponding period in 2025. The decrease was driven by a decrease in sales for cutlery and boards and kitchen measurement products. These decreases were partially offset by an increase in sales for kitchen tools.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U.S. segment’s Tableware product category were $25.9 million for the three months ended March 31, 2026, a decrease of $1.7 million, or 6.2%, as compared to $27.6 million for the corresponding period in 2025. The decrease was primarily attributable to lower sales in the dollar channel for dinnerware.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sales for the U.S. segment’s Home Solutions product category were $26.3 million for the three months ended March 31, 2026, an increase of $4.9 million, or 22.9%, as compared to $21.4 million for the corresponding period in 2025. The increase was primarily attributable to higher sales for home décor products in the dollar channel and warehouse club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International segment were $12.8 million for the three months ended March 31, 2026, an increase of $1.2 million, or 10.3%, as compared to net sales of $11.6 million for the corresponding period in 2025. In constant currency, a non-GAAP financial measure, which excludes the impact of foreign exchange fluctuations, net sales increased by $0.3 million, or 2.5%, as compared to consolidated net sales in the corresponding period in 2025. The increase in net sales was driven by higher sales in the Asia Pacific region.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Gross margin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Gross margin for the three months ended March 31, 2026 was $54.2 million, or 37.7%, as compared to $50.6 million, or 36.1%,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U.S. segment was $49.5 million, or 37.9%, for the three months ended March 31, 2026, as compared to $46.5 million, or 36.2%, for the corresponding period in 2025. The improvement in the gross margin percentage was attributable to favorable product mix, higher selling prices, offset by higher tariffs.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margin for the International segment was $4.7 million, or 36.7%, for the three months ended March 31, 2026, as compared to $4.1 million, or 35.3%, for the corresponding period in 2025. The increase in gross margin percentage was driven by customer and product mix.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Distribution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for the three months ended March 31, 2026 were $17.6 million, as compared to $18.1 million for the corresponding period in 2025. Distribution expenses as a percentage of net sales were 12.3% for the three months ended March 31, 2026, as compared to 12.9% for the three months ended March 31,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expenses as a percentage of net sales for the U.S. segment were 10.9% and 11.5% for the three months ended March 31, 2026 and 2025, respectively. Distribution expense during the three months ended March 31, 2026 included $0.2 million for relocation and redesign costs related to the Company’s warehouses. As a percentage of sales shipped from the Company’s U.S. warehouses, excluding non-recurring expenses, distribution expenses were 10.9% and 11.9% for the three months ended March 31, 2026 and 2025, respectively. The decrease in expenses as a percentage of sales was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higher sales resulting in a favorable impact of fixed expenses, lower volume due to sales mix resulting in a decrease of employee expenses, and lower facility supply expenses. The decrease was partially offset by higher freight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Distribution expenses as a percentage of net sales for the International segment were 26.4% for the three months ended March 31, 2026, compared to 28.3% for the corresponding period in 2025. As a percentage of sales shipped from the Company’s international warehouses distribution expenses were 23.2% and 25.0% for the three months ended March 31, 2026 and 2025, respectively. The decrease in expenses as a percentage of sales was attributable to higher sales resulting in a favorable impact of fixed expenses and a decrease in variable warehouse expenses at third-party operated distribution facilities.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March 31, 2026 were $36.8 million, an increase of $5.3 million, or 16.8%, as compared to $31.5 million for the corresponding period in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U.S. segment were $28.2 million for the three months ended March 31, 2026, as compared to $30.0 million for the corresponding period in 2025. As a percentage of net sales, selling, general and administrative expenses were 21.6% and 23.3% for the three months ended March 31, 2026 and 2025, respectively. The decrease in selling, general and administrative expenses was attributable to lower employee expenses, a decrease in the provision for doubtful accounts in the current period, and lower advertising expenses. This was partially offset by an increase in insurance expenses. The decrease in selling, general and administrative expenses as a percentage of net sales, was also attributable to the impact of fixed costs on higher sales volume.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International segment were $3.7 million for both the three months ended March 31, 2026 and 2025. As a percentage of net sales, selling, general and administrative expenses were 28.9% and 31.9% for the three months ended March 31, 2026 and 2025, respectively. Selling, general and administrative expenses remained flat year-over-year, as decreases in employee expenses and commission expenses were fully offset by unfavorable foreign currency exchange impacts. The decrease in selling, general and administrative expenses as a percentage of net sales, was attributable to the impact of fixed costs on higher sales volume.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 for the three months ended March 31, 2026 was $4.9 million, as compared to unallocated corporate income of $2.2 million for the corresponding period in 2025. The decrease compared to the prior period was due to the recognition of a net legal settlement gain of $6.4 million in the prior period, partially offset by an increase in professional fees and legal expenses in the current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Restructuring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 for the three months ended March 31, 2026 were $2.0 million, which consist of employee severance expenses related to the east coast distribution facility relocation of $1.2 million, sterling flatware manufacturing operations restructuring expense of $0.7 million, and Project Concord severance expense of $0.1 million. See NOTE 1 — BASIS OF PRESENTATION AND SUMMARY OF ACCOUNTING POLICIES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was $4.5 million and $4.9 million for the three months ended March 31, 2026 and 2025, respectively. The decrease in expense was a result of lower average outstanding borrowings in the current period, partially offset by higher interest rates on outstanding borrowings.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to market gain (loss) on interest rate 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 to market gain on interest rate derivatives was $0.3 million for the three months ended March 31, 2026, as compared to mark to market loss of $0.5 million for the three months ended March 31, 2025. The gain (loss) recognized for the three months ended March 31, 2026 and 2025,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March 31, 2026, the intent of the Company is to hold these derivative contracts until their maturity.</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of $1.7 million and $0.1 million for the three months ended March 31, 2026 and 2025, respectively, represent taxes on both U.S. and foreign earnings at a combined effective income tax rate of 26.0% and 3.3%, respectively. The effective tax rate for the three months ended March 31, 2026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The effective tax rate for the three months ended March 31, 2025 differs from the federal statutory income tax rate of 21.0% primarily due to foreign losses for which no tax benefit is recognized as such amounts are fully offset with a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erif" w:hAnsi="Times New Roman;serif"/>
          <w:b w:val="false"/>
          <w:color w:val="000000"/>
          <w:sz w:val="20"/>
        </w:rPr>
        <w:t xml:space="preserve">At March 31, 2026, the Company had cash and cash equivalents of $13.9 million, compared to </w:t>
      </w:r>
      <w:r>
        <w:rPr>
          <w:rFonts w:ascii="Times New Roman;serif" w:hAnsi="Times New Roman;serif"/>
          <w:b w:val="false"/>
          <w:color w:val="000000"/>
          <w:sz w:val="20"/>
          <w:shd w:fill="FFFFFF" w:val="clear"/>
        </w:rPr>
        <w:t>$4.3 million</w:t>
      </w:r>
      <w:r>
        <w:rPr>
          <w:color w:val="000000"/>
        </w:rPr>
        <w:t xml:space="preserve"> </w:t>
      </w:r>
      <w:r>
        <w:rPr>
          <w:rFonts w:ascii="Times New Roman;serif" w:hAnsi="Times New Roman;serif"/>
          <w:b w:val="false"/>
          <w:color w:val="000000"/>
          <w:sz w:val="20"/>
        </w:rPr>
        <w:t>at December 31, 2025. Working capital was $220.1 million at March 31, 2026, compared to $242.6 million at December 31, 2025. Liquidity as of March 31, 2026 was $110.2 million, consisting of $13.9 million of cash and cash equivalents, $80.0 million of availability under the ABL Agreement, limited by the Term Loan financial covenant, and $16.3 million of available funding under the Receivables Purchase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March 31, 2026, inventory turnover was 1.9 times, or 194 days, as compared to 1.8 times, or 208 days, for the three months ended March 31, 2025. Inventory turns have remained relatively consistent.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Indebtedness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 The ABL Agreement is subject to an earlier springing maturity date of May 28, 2027, 90 days prior to the Term Loan maturity date of August 26, 2027, if the Company’s Term Loan has not been repaid or refinanced by such 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 requires the Company to make quarterly payments of principal each equal to 1.25% of the aggregate principal amount of the Term Loan, which commenced on March 31, 2024, with the remaining balance payable on the maturity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Term Loan requires the Company to make an annual prepayment of principal, beginning with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Under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maximum borrowing amount under the ABL Agreement may be increased up to $250.0 million if certain conditions are met. One or more tranches of additional term loans (the “Incremental Term Facilities”) may be added under the Term Loan if certain conditions are met. The Incremental Term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total availability under the ABL Agreement were as follows (in thousands): </w:t>
      </w:r>
    </w:p>
    <w:tbl>
      <w:tblPr>
        <w:tblW w:w="7329"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43"/>
        <w:gridCol w:w="912"/>
        <w:gridCol w:w="135"/>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149,735 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March 31, 2026, the availability under the ABL Agreement, as limited by the Term Loan financial covenant, was $80.0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current and non-current portions of the Company’s Term Loan included in the condensed consolidated balance sheets were as follows (in thousands):</w:t>
      </w:r>
    </w:p>
    <w:tbl>
      <w:tblPr>
        <w:tblW w:w="7007" w:type="dxa"/>
        <w:jc w:val="left"/>
        <w:tblInd w:w="0" w:type="dxa"/>
        <w:tblLayout w:type="fixed"/>
        <w:tblCellMar>
          <w:top w:w="28" w:type="dxa"/>
          <w:left w:w="28" w:type="dxa"/>
          <w:bottom w:w="28" w:type="dxa"/>
          <w:right w:w="28" w:type="dxa"/>
        </w:tblCellMar>
      </w:tblPr>
      <w:tblGrid>
        <w:gridCol w:w="1177"/>
        <w:gridCol w:w="1034"/>
        <w:gridCol w:w="1044"/>
        <w:gridCol w:w="109"/>
        <w:gridCol w:w="109"/>
        <w:gridCol w:w="109"/>
        <w:gridCol w:w="243"/>
        <w:gridCol w:w="912"/>
        <w:gridCol w:w="135"/>
        <w:gridCol w:w="109"/>
        <w:gridCol w:w="109"/>
        <w:gridCol w:w="109"/>
        <w:gridCol w:w="291"/>
        <w:gridCol w:w="1093"/>
        <w:gridCol w:w="161"/>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124,650 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125,927 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estimates that no excess cash flow payment will be due for 2026. For the year ended December 31, 2025, there was no excess cash flow payment due for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March 31, 2026 was between 3.33% and 7.13%. The Company paid a commitment fee of 0.25% on the unused portion of the ABL Agreement during the three months ended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March 31, 2026 was 9.29%.</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the covenants of the Debt Agreements at March 31, 2026.</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Covenant Calculations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adjusted EBITDA (including pro forma adjustments), for the trailing twelve months ended March 31, 2026 was $52.7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expenditures for the three months ended March 31, 2026 were $3.8 million.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Non-GAAP financial measure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within the meaning of Regulation G and Item 10(e) of Regulation S-K, each promulgated by the SEC. This measure is provided because management of the Company uses this financial measure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net (loss) income, as reported, to Adjusted EBITDA, for each of the last four quarters and the 12 months ended March 31, 2026:</w:t>
      </w:r>
    </w:p>
    <w:tbl>
      <w:tblPr>
        <w:tblW w:w="10205" w:type="dxa"/>
        <w:jc w:val="left"/>
        <w:tblInd w:w="0" w:type="dxa"/>
        <w:tblLayout w:type="fixed"/>
        <w:tblCellMar>
          <w:top w:w="28" w:type="dxa"/>
          <w:left w:w="28" w:type="dxa"/>
          <w:bottom w:w="28" w:type="dxa"/>
          <w:right w:w="28" w:type="dxa"/>
        </w:tblCellMar>
      </w:tblPr>
      <w:tblGrid>
        <w:gridCol w:w="1218"/>
        <w:gridCol w:w="745"/>
        <w:gridCol w:w="748"/>
        <w:gridCol w:w="208"/>
        <w:gridCol w:w="738"/>
        <w:gridCol w:w="115"/>
        <w:gridCol w:w="109"/>
        <w:gridCol w:w="109"/>
        <w:gridCol w:w="109"/>
        <w:gridCol w:w="222"/>
        <w:gridCol w:w="732"/>
        <w:gridCol w:w="123"/>
        <w:gridCol w:w="109"/>
        <w:gridCol w:w="109"/>
        <w:gridCol w:w="109"/>
        <w:gridCol w:w="215"/>
        <w:gridCol w:w="711"/>
        <w:gridCol w:w="119"/>
        <w:gridCol w:w="109"/>
        <w:gridCol w:w="109"/>
        <w:gridCol w:w="109"/>
        <w:gridCol w:w="196"/>
        <w:gridCol w:w="601"/>
        <w:gridCol w:w="109"/>
        <w:gridCol w:w="109"/>
        <w:gridCol w:w="109"/>
        <w:gridCol w:w="109"/>
        <w:gridCol w:w="387"/>
        <w:gridCol w:w="1397"/>
        <w:gridCol w:w="313"/>
      </w:tblGrid>
      <w:tr>
        <w:trPr/>
        <w:tc>
          <w:tcPr>
            <w:tcW w:w="1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March 31, 2026</w:t>
            </w:r>
          </w:p>
        </w:tc>
      </w:tr>
      <w:tr>
        <w:trPr/>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as reported</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(27,508)</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disposition of fixed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loss (gain) on interest rate derivatives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Acquisition-related diligence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Warehouse relocation and redesign expenses</w:t>
            </w:r>
            <w:r>
              <w:rPr>
                <w:rFonts w:ascii="Times New Roman;serif" w:hAnsi="Times New Roman;serif"/>
                <w:b w:val="false"/>
                <w:color w:val="000000"/>
                <w:sz w:val="12"/>
              </w:rPr>
              <w:t>(1)</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 forma adjustments</w:t>
            </w:r>
            <w:r>
              <w:rPr>
                <w:rFonts w:ascii="Times New Roman;serif" w:hAnsi="Times New Roman;serif"/>
                <w:b w:val="false"/>
                <w:color w:val="000000"/>
                <w:sz w:val="12"/>
              </w:rPr>
              <w:t>(2)</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r>
        <w:trPr/>
        <w:tc>
          <w:tcPr>
            <w:tcW w:w="2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w:t>
            </w:r>
            <w:r>
              <w:rPr>
                <w:rFonts w:ascii="Times New Roman;serif" w:hAnsi="Times New Roman;serif"/>
                <w:b w:val="false"/>
                <w:color w:val="000000"/>
                <w:sz w:val="12"/>
              </w:rPr>
              <w:t>(3)</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52,708 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twelve months ended March 31, 2026, warehouse relocation and redesign expenses were related to the U.S. segment.</w:t>
      </w:r>
    </w:p>
    <w:p>
      <w:pPr>
        <w:pStyle w:val="TextBody"/>
        <w:bidi w:val="0"/>
        <w:spacing w:lineRule="auto" w:line="288" w:before="60" w:after="283"/>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Pro forma adjustments represent operating expense reductions projected by the Company as a result of actions taken through March 31, 2026 or expected to be taken within 18 months of March 31, 2026, net of the benefits realized during the twelve months ended March 31, 2026. These actions include cost savings initiatives for the U.S. segment related to reductions in employee expenses and cost savings for the International segment related to Project Concord. </w:t>
      </w:r>
    </w:p>
    <w:p>
      <w:pPr>
        <w:pStyle w:val="TextBody"/>
        <w:bidi w:val="0"/>
        <w:spacing w:lineRule="auto" w:line="288" w:before="60" w:after="283"/>
        <w:jc w:val="left"/>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6"/>
        </w:rPr>
        <w:t>Adjusted EBITDA is a non-GAAP financial measure that is defined in the Company’s debt agreements. Adjusted EBITDA is defined as net (loss) income, adjusted to exclude income tax (benefit) provision, interest expense, depreciation and amortization, gain on disposition of fixed assets, mark to market loss (gain) on interest rate derivatives, goodwill impairment, stock compensation expense, and other items detailed in the table above that are consistent with exclusions permitted by the Company’s debt agreements.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Accounts Receivable Purchase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sell receivables to HSBC during the three months ended March 31, 2026 and March 31, 2025. At March 31, 2026, $16.3 million of accounts receivable were available for sale to HSBC, net of applicable charges.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risk management strategy includes the use of derivative financial instruments to manage its exposure to interest rate movements and to reduce the volatility of earnings and cash flows associated with changes in foreign currency exchange rates primarily to offset the earnings impact related to inventory purchases. The Company does not enter into derivative transactions for trading purposes. The Company classifies cash flows from its derivative transactions as cash flows from operating activities in the consolidated statements of 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derivatives expose it to credit risks from possible non-performance by counterparties. The Company has limited its credit risk by entering into derivative transactions exclusively with investment-grade rated financial institutions and monitors the creditworthiness of these financial institutions on an ongoing basis. The Company utilizes standard counterparty master netting agreements that net certain foreign currency and interest rate swap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anticipate non-performance by any of its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Swaps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its exposures to interest rate movements, the Company primarily uses interest rate swaps as part of its interest rate risk management strategy. These interest rate swaps involve the receipt of variable amounts from a counterparty in exchange for the Company making fixed-rate payments over the life of the agreements without exchange of the underlying notional amount.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and October 2024, the Company entered into interest rate swap agreements, each with an aggregate notional value of $25.0 million and expiring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March 31,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Exchange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reduce the impact of changes in foreign currency exchange rates on its results, from time to time the Company is a party to certain foreign exchange contracts, primarily to offset the earnings impact related to fluctuations in foreign currency exchange rates associated with inventory purchases. The Company designates these contracts for accounting purposes as cash flow hedges. The Company purchases foreign currency forward contracts with terms of less than 18 months. The aggregate gross notional value of foreign exchange contracts at March 31, 2026 was zero.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$33.8 million for the three months ended March 31, 2026, as compared to net cash provided by operating activities of $16.7 million for the three months ended March 31, 2025. The increase from 2026 compared to 2025 was attributable to lower investment in inventory, timing of collections related to the Company's accounts receivables, and timing of payments for accounts payable and accrued expenses, partially offset by lower operating results in the current period.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$3.8 million and $1.6 million for the three months ended March 31, 2026 and 2025, respectively. The increase in investment activities was driven by purchases of equipment for the Hagerstown Facility.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$20.3 million for the three months ended March 31, 2026, as compared to net cash used in financing activities of $7.8 million for the three months ended March 31, 2025. The change was attributable to higher net repayments of revolving credit facility in the 2026 period.</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14, 2022, the Company announced that its Board of Directors authorized the repurchase of up to $20.0 million of the Company’s common stock, replacing the Company’s previously-authorized $10.0 million share repurchase program. The repurchase authorization permits the Company to effect repurchases from time to time through open market purchases and privately negotiated transactions. No shares were repurchased during the three months ended March 31, 2026. As of March 31, 2026, the remaining dollar amount available for repurchases under the Board of Directors’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in market risk for changes in foreign currency exchange rates and interest rates from the information provided in Item 7A – Quantitative and Qualitative Disclosures About Market Risk in the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Chief Executive Officer and the Chief Financial Officer of the Company (its principal executive officer and principal financial officer, respectively) have concluded, based on their evaluation as of March 31, 2026,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40" w:after="283"/>
        <w:ind w:left="0" w:right="0" w:hanging="540"/>
        <w:jc w:val="left"/>
        <w:rPr>
          <w:rFonts w:ascii="Times New Roman;serif" w:hAnsi="Times New Roman;serif"/>
          <w:b/>
          <w:color w:val="000000"/>
          <w:sz w:val="20"/>
        </w:rPr>
      </w:pPr>
      <w:r>
        <w:rPr>
          <w:rFonts w:ascii="Times New Roman;serif" w:hAnsi="Times New Roman;serif"/>
          <w:b/>
          <w:color w:val="000000"/>
          <w:sz w:val="20"/>
        </w:rPr>
        <w:t>(b)Changes in Internal Controls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 description of the Company’s legal proceedings, please see NOTE 11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Quarterly Report on Form 10-Q, readers should carefully consider the factors discussed in Part I, Item 1A—Risk Factors in the 2025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Issuer Purchases of Equity Securities</w:t>
      </w:r>
    </w:p>
    <w:tbl>
      <w:tblPr>
        <w:tblW w:w="8965" w:type="dxa"/>
        <w:jc w:val="left"/>
        <w:tblInd w:w="0" w:type="dxa"/>
        <w:tblLayout w:type="fixed"/>
        <w:tblCellMar>
          <w:top w:w="28" w:type="dxa"/>
          <w:left w:w="28" w:type="dxa"/>
          <w:bottom w:w="28" w:type="dxa"/>
          <w:right w:w="28" w:type="dxa"/>
        </w:tblCellMar>
      </w:tblPr>
      <w:tblGrid>
        <w:gridCol w:w="724"/>
        <w:gridCol w:w="637"/>
        <w:gridCol w:w="648"/>
        <w:gridCol w:w="109"/>
        <w:gridCol w:w="109"/>
        <w:gridCol w:w="109"/>
        <w:gridCol w:w="455"/>
        <w:gridCol w:w="455"/>
        <w:gridCol w:w="456"/>
        <w:gridCol w:w="109"/>
        <w:gridCol w:w="109"/>
        <w:gridCol w:w="109"/>
        <w:gridCol w:w="309"/>
        <w:gridCol w:w="734"/>
        <w:gridCol w:w="173"/>
        <w:gridCol w:w="109"/>
        <w:gridCol w:w="109"/>
        <w:gridCol w:w="109"/>
        <w:gridCol w:w="500"/>
        <w:gridCol w:w="500"/>
        <w:gridCol w:w="501"/>
        <w:gridCol w:w="109"/>
        <w:gridCol w:w="109"/>
        <w:gridCol w:w="109"/>
        <w:gridCol w:w="218"/>
        <w:gridCol w:w="1071"/>
        <w:gridCol w:w="122"/>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p>
            <w:pPr>
              <w:pStyle w:val="TableContents"/>
              <w:bidi w:val="0"/>
              <w:spacing w:lineRule="auto" w:line="240" w:before="0" w:after="0"/>
              <w:jc w:val="center"/>
              <w:rPr/>
            </w:pPr>
            <w:r>
              <w:rPr>
                <w:rFonts w:ascii="Times New Roman;serif" w:hAnsi="Times New Roman;serif"/>
                <w:b/>
                <w:color w:val="000000"/>
                <w:sz w:val="18"/>
              </w:rPr>
              <w:t>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 purchased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part of publicly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announced plans</w:t>
            </w:r>
          </w:p>
          <w:p>
            <w:pPr>
              <w:pStyle w:val="TableContents"/>
              <w:bidi w:val="0"/>
              <w:spacing w:lineRule="auto" w:line="240" w:before="0" w:after="0"/>
              <w:jc w:val="center"/>
              <w:rPr/>
            </w:pPr>
            <w:r>
              <w:rPr>
                <w:rFonts w:ascii="Times New Roman;serif" w:hAnsi="Times New Roman;serif"/>
                <w:b/>
                <w:color w:val="000000"/>
                <w:sz w:val="18"/>
              </w:rPr>
              <w:t>or programs</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Maximum</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approximate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dollar value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 that may</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yet be purchased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under the plans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 programs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subsequent to</w:t>
            </w:r>
          </w:p>
          <w:p>
            <w:pPr>
              <w:pStyle w:val="TableContents"/>
              <w:bidi w:val="0"/>
              <w:spacing w:lineRule="auto" w:line="240" w:before="0" w:after="0"/>
              <w:jc w:val="center"/>
              <w:rPr/>
            </w:pPr>
            <w:r>
              <w:rPr>
                <w:rFonts w:ascii="Times New Roman;serif" w:hAnsi="Times New Roman;serif"/>
                <w:b/>
                <w:color w:val="000000"/>
                <w:sz w:val="18"/>
              </w:rPr>
              <w:t xml:space="preserve">end of period </w:t>
            </w:r>
            <w:r>
              <w:rPr>
                <w:rFonts w:ascii="Times New Roman;serif" w:hAnsi="Times New Roman;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1 - March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58,930 </w:t>
            </w:r>
          </w:p>
        </w:tc>
        <w:tc>
          <w:tcPr>
            <w:tcW w:w="4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11,140,752 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pStyle w:val="TextBody"/>
        <w:bidi w:val="0"/>
        <w:spacing w:lineRule="auto" w:line="268" w:before="60" w:after="283"/>
        <w:ind w:left="0" w:right="0" w:hanging="360"/>
        <w:jc w:val="left"/>
        <w:rPr/>
      </w:pPr>
      <w:r>
        <w:rPr>
          <w:rFonts w:ascii="Times New Roman;serif" w:hAnsi="Times New Roman;serif"/>
          <w:b w:val="false"/>
          <w:color w:val="000000"/>
          <w:sz w:val="10"/>
        </w:rPr>
        <w:t>(2)</w:t>
      </w:r>
      <w:r>
        <w:rPr>
          <w:rFonts w:ascii="Times New Roman;serif" w:hAnsi="Times New Roman;serif"/>
          <w:b w:val="false"/>
          <w:color w:val="000000"/>
          <w:sz w:val="16"/>
        </w:rPr>
        <w:t>On March 14, 2022, the Company announced that its Board of Directors’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No repurchases under the program occurred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Company’s fiscal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See the Exhibit Index below, which is incorporated by reference herein.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3312026.htm">
              <w:r>
                <w:rPr>
                  <w:rStyle w:val="InternetLink"/>
                  <w:rFonts w:ascii="Times New Roman;serif" w:hAnsi="Times New Roman;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3312026.htm">
              <w:r>
                <w:rPr>
                  <w:rStyle w:val="InternetLink"/>
                  <w:rFonts w:ascii="Times New Roman;serif" w:hAnsi="Times New Roman;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3312026.htm">
              <w:r>
                <w:rPr>
                  <w:rStyle w:val="InternetLink"/>
                  <w:rFonts w:ascii="Times New Roman;serif" w:hAnsi="Times New Roman;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ea682ebdb9a345d3b24f20a2c308d66b_7">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761"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347"/>
        <w:gridCol w:w="347"/>
        <w:gridCol w:w="4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Lifetime Brands, Inc.</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May 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Treasurer and Chief Financial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Laurence Winoker,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periodic report on Form 10-Q for the period ended March 31, 2026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21060</Words>
  <Characters>116733</Characters>
  <CharactersWithSpaces>136491</CharactersWithSpaces>
  <Paragraphs>2026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