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383540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73"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8"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0" w:lineRule="exact"/>
        <w:rPr>
          <w:sz w:val="24"/>
          <w:szCs w:val="24"/>
          <w:color w:val="auto"/>
        </w:rPr>
      </w:pPr>
    </w:p>
    <w:p>
      <w:pPr>
        <w:ind w:left="460" w:right="26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40" w:lineRule="exact"/>
        <w:rPr>
          <w:sz w:val="24"/>
          <w:szCs w:val="24"/>
          <w:color w:val="auto"/>
        </w:rPr>
      </w:pPr>
    </w:p>
    <w:p>
      <w:pPr>
        <w:ind w:left="460" w:right="240" w:hanging="387"/>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43"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3000" w:type="dxa"/>
            <w:vAlign w:val="bottom"/>
          </w:tcPr>
          <w:p>
            <w:pPr>
              <w:spacing w:after="0"/>
              <w:rPr>
                <w:sz w:val="17"/>
                <w:szCs w:val="17"/>
                <w:color w:val="auto"/>
              </w:rPr>
            </w:pPr>
          </w:p>
        </w:tc>
        <w:tc>
          <w:tcPr>
            <w:tcW w:w="2740" w:type="dxa"/>
            <w:vAlign w:val="bottom"/>
            <w:gridSpan w:val="3"/>
          </w:tcPr>
          <w:p>
            <w:pPr>
              <w:ind w:left="380"/>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gridSpan w:val="3"/>
          </w:tcPr>
          <w:p>
            <w:pPr>
              <w:spacing w:after="0"/>
              <w:rPr>
                <w:sz w:val="17"/>
                <w:szCs w:val="17"/>
                <w:color w:val="auto"/>
              </w:rPr>
            </w:pPr>
          </w:p>
        </w:tc>
        <w:tc>
          <w:tcPr>
            <w:tcW w:w="3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3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8"/>
                <w:szCs w:val="18"/>
                <w:b w:val="1"/>
                <w:bCs w:val="1"/>
                <w:color w:val="auto"/>
                <w:w w:val="91"/>
              </w:rPr>
              <w:t>Commission File Number: 0-19254</w:t>
            </w:r>
          </w:p>
        </w:tc>
        <w:tc>
          <w:tcPr>
            <w:tcW w:w="0" w:type="dxa"/>
            <w:vAlign w:val="bottom"/>
          </w:tcPr>
          <w:p>
            <w:pPr>
              <w:spacing w:after="0"/>
              <w:rPr>
                <w:sz w:val="1"/>
                <w:szCs w:val="1"/>
                <w:color w:val="auto"/>
              </w:rPr>
            </w:pPr>
          </w:p>
        </w:tc>
      </w:tr>
      <w:tr>
        <w:trPr>
          <w:trHeight w:val="391"/>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43"/>
                <w:szCs w:val="43"/>
                <w:b w:val="1"/>
                <w:bCs w:val="1"/>
                <w:color w:val="auto"/>
              </w:rPr>
              <w:t>LIFETIME BRANDS, INC.</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p>
        </w:tc>
        <w:tc>
          <w:tcPr>
            <w:tcW w:w="8180" w:type="dxa"/>
            <w:vAlign w:val="bottom"/>
            <w:gridSpan w:val="9"/>
          </w:tcPr>
          <w:p>
            <w:pPr>
              <w:jc w:val="center"/>
              <w:ind w:right="2924"/>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0" w:type="dxa"/>
            <w:vAlign w:val="bottom"/>
          </w:tcPr>
          <w:p>
            <w:pPr>
              <w:spacing w:after="0"/>
              <w:rPr>
                <w:sz w:val="1"/>
                <w:szCs w:val="1"/>
                <w:color w:val="auto"/>
              </w:rPr>
            </w:pPr>
          </w:p>
        </w:tc>
      </w:tr>
      <w:tr>
        <w:trPr>
          <w:trHeight w:val="392"/>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640" w:type="dxa"/>
            <w:vAlign w:val="bottom"/>
            <w:gridSpan w:val="5"/>
          </w:tcPr>
          <w:p>
            <w:pPr>
              <w:jc w:val="center"/>
              <w:ind w:right="1080"/>
              <w:spacing w:after="0"/>
              <w:rPr>
                <w:sz w:val="20"/>
                <w:szCs w:val="20"/>
                <w:color w:val="auto"/>
              </w:rPr>
            </w:pPr>
            <w:r>
              <w:rPr>
                <w:rFonts w:ascii="Arial" w:cs="Arial" w:eastAsia="Arial" w:hAnsi="Arial"/>
                <w:sz w:val="18"/>
                <w:szCs w:val="18"/>
                <w:b w:val="1"/>
                <w:bCs w:val="1"/>
                <w:color w:val="auto"/>
                <w:w w:val="91"/>
              </w:rPr>
              <w:t>Delaware</w:t>
            </w:r>
          </w:p>
        </w:tc>
        <w:tc>
          <w:tcPr>
            <w:tcW w:w="4540" w:type="dxa"/>
            <w:vAlign w:val="bottom"/>
            <w:gridSpan w:val="5"/>
          </w:tcPr>
          <w:p>
            <w:pPr>
              <w:jc w:val="center"/>
              <w:ind w:right="1004"/>
              <w:spacing w:after="0"/>
              <w:rPr>
                <w:sz w:val="20"/>
                <w:szCs w:val="20"/>
                <w:color w:val="auto"/>
              </w:rPr>
            </w:pPr>
            <w:r>
              <w:rPr>
                <w:rFonts w:ascii="Arial" w:cs="Arial" w:eastAsia="Arial" w:hAnsi="Arial"/>
                <w:sz w:val="18"/>
                <w:szCs w:val="18"/>
                <w:b w:val="1"/>
                <w:bCs w:val="1"/>
                <w:color w:val="auto"/>
                <w:w w:val="89"/>
              </w:rPr>
              <w:t>11-2682486</w:t>
            </w:r>
          </w:p>
        </w:tc>
        <w:tc>
          <w:tcPr>
            <w:tcW w:w="0" w:type="dxa"/>
            <w:vAlign w:val="bottom"/>
          </w:tcPr>
          <w:p>
            <w:pPr>
              <w:spacing w:after="0"/>
              <w:rPr>
                <w:sz w:val="1"/>
                <w:szCs w:val="1"/>
                <w:color w:val="auto"/>
              </w:rPr>
            </w:pPr>
          </w:p>
        </w:tc>
      </w:tr>
      <w:tr>
        <w:trPr>
          <w:trHeight w:val="148"/>
        </w:trPr>
        <w:tc>
          <w:tcPr>
            <w:tcW w:w="6640" w:type="dxa"/>
            <w:vAlign w:val="bottom"/>
            <w:gridSpan w:val="5"/>
          </w:tcPr>
          <w:p>
            <w:pPr>
              <w:jc w:val="center"/>
              <w:ind w:right="108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0" w:type="dxa"/>
            <w:vAlign w:val="bottom"/>
          </w:tcPr>
          <w:p>
            <w:pPr>
              <w:jc w:val="center"/>
              <w:ind w:right="212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640" w:type="dxa"/>
            <w:vAlign w:val="bottom"/>
            <w:gridSpan w:val="5"/>
          </w:tcPr>
          <w:p>
            <w:pPr>
              <w:jc w:val="center"/>
              <w:ind w:right="1080"/>
              <w:spacing w:after="0"/>
              <w:rPr>
                <w:sz w:val="20"/>
                <w:szCs w:val="20"/>
                <w:color w:val="auto"/>
              </w:rPr>
            </w:pPr>
            <w:r>
              <w:rPr>
                <w:rFonts w:ascii="Arial" w:cs="Arial" w:eastAsia="Arial" w:hAnsi="Arial"/>
                <w:sz w:val="14"/>
                <w:szCs w:val="14"/>
                <w:b w:val="1"/>
                <w:bCs w:val="1"/>
                <w:color w:val="auto"/>
                <w:w w:val="94"/>
              </w:rPr>
              <w:t>incorporation or organization)</w:t>
            </w: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tcPr>
          <w:p>
            <w:pPr>
              <w:jc w:val="center"/>
              <w:ind w:right="2124"/>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75"/>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90"/>
              </w:rPr>
              <w:t>1000 Stewart Avenue, Garden City, New York, 11530</w:t>
            </w: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0" w:type="dxa"/>
            <w:vAlign w:val="bottom"/>
          </w:tcPr>
          <w:p>
            <w:pPr>
              <w:spacing w:after="0"/>
              <w:rPr>
                <w:sz w:val="1"/>
                <w:szCs w:val="1"/>
                <w:color w:val="auto"/>
              </w:rPr>
            </w:pPr>
          </w:p>
        </w:tc>
      </w:tr>
      <w:tr>
        <w:trPr>
          <w:trHeight w:val="381"/>
        </w:trPr>
        <w:tc>
          <w:tcPr>
            <w:tcW w:w="3000" w:type="dxa"/>
            <w:vAlign w:val="bottom"/>
          </w:tcPr>
          <w:p>
            <w:pPr>
              <w:spacing w:after="0"/>
              <w:rPr>
                <w:sz w:val="24"/>
                <w:szCs w:val="24"/>
                <w:color w:val="auto"/>
              </w:rPr>
            </w:pPr>
          </w:p>
        </w:tc>
        <w:tc>
          <w:tcPr>
            <w:tcW w:w="3640" w:type="dxa"/>
            <w:vAlign w:val="bottom"/>
            <w:gridSpan w:val="4"/>
          </w:tcPr>
          <w:p>
            <w:pPr>
              <w:jc w:val="center"/>
              <w:ind w:left="1416"/>
              <w:spacing w:after="0"/>
              <w:rPr>
                <w:sz w:val="20"/>
                <w:szCs w:val="20"/>
                <w:color w:val="auto"/>
              </w:rPr>
            </w:pPr>
            <w:r>
              <w:rPr>
                <w:rFonts w:ascii="Arial" w:cs="Arial" w:eastAsia="Arial" w:hAnsi="Arial"/>
                <w:sz w:val="18"/>
                <w:szCs w:val="18"/>
                <w:b w:val="1"/>
                <w:bCs w:val="1"/>
                <w:color w:val="auto"/>
                <w:w w:val="90"/>
              </w:rPr>
              <w:t>(516) 683-6000</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40" w:type="dxa"/>
            <w:vAlign w:val="bottom"/>
            <w:gridSpan w:val="7"/>
          </w:tcPr>
          <w:p>
            <w:pPr>
              <w:jc w:val="center"/>
              <w:ind w:right="3684"/>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0" w:type="dxa"/>
            <w:vAlign w:val="bottom"/>
          </w:tcPr>
          <w:p>
            <w:pPr>
              <w:spacing w:after="0"/>
              <w:rPr>
                <w:sz w:val="1"/>
                <w:szCs w:val="1"/>
                <w:color w:val="auto"/>
              </w:rPr>
            </w:pPr>
          </w:p>
        </w:tc>
      </w:tr>
      <w:tr>
        <w:trPr>
          <w:trHeight w:val="404"/>
        </w:trPr>
        <w:tc>
          <w:tcPr>
            <w:tcW w:w="3000" w:type="dxa"/>
            <w:vAlign w:val="bottom"/>
          </w:tcPr>
          <w:p>
            <w:pPr>
              <w:spacing w:after="0"/>
              <w:rPr>
                <w:sz w:val="24"/>
                <w:szCs w:val="24"/>
                <w:color w:val="auto"/>
              </w:rPr>
            </w:pPr>
          </w:p>
        </w:tc>
        <w:tc>
          <w:tcPr>
            <w:tcW w:w="3880" w:type="dxa"/>
            <w:vAlign w:val="bottom"/>
            <w:gridSpan w:val="5"/>
          </w:tcPr>
          <w:p>
            <w:pPr>
              <w:jc w:val="center"/>
              <w:ind w:left="1196"/>
              <w:spacing w:after="0"/>
              <w:rPr>
                <w:sz w:val="20"/>
                <w:szCs w:val="20"/>
                <w:color w:val="auto"/>
              </w:rPr>
            </w:pPr>
            <w:r>
              <w:rPr>
                <w:rFonts w:ascii="Arial" w:cs="Arial" w:eastAsia="Arial" w:hAnsi="Arial"/>
                <w:sz w:val="18"/>
                <w:szCs w:val="18"/>
                <w:b w:val="1"/>
                <w:bCs w:val="1"/>
                <w:color w:val="auto"/>
                <w:w w:val="89"/>
              </w:rPr>
              <w:t>__________________________</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000" w:type="dxa"/>
            <w:vAlign w:val="bottom"/>
          </w:tcPr>
          <w:p>
            <w:pPr>
              <w:spacing w:after="0"/>
              <w:rPr>
                <w:sz w:val="24"/>
                <w:szCs w:val="24"/>
                <w:color w:val="auto"/>
              </w:rPr>
            </w:pPr>
          </w:p>
        </w:tc>
        <w:tc>
          <w:tcPr>
            <w:tcW w:w="8180" w:type="dxa"/>
            <w:vAlign w:val="bottom"/>
            <w:gridSpan w:val="9"/>
          </w:tcPr>
          <w:p>
            <w:pPr>
              <w:jc w:val="center"/>
              <w:ind w:right="2944"/>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62"/>
        </w:trPr>
        <w:tc>
          <w:tcPr>
            <w:tcW w:w="3000" w:type="dxa"/>
            <w:vAlign w:val="bottom"/>
            <w:vMerge w:val="restart"/>
          </w:tcPr>
          <w:p>
            <w:pPr>
              <w:jc w:val="center"/>
              <w:ind w:left="561"/>
              <w:spacing w:after="0"/>
              <w:rPr>
                <w:sz w:val="20"/>
                <w:szCs w:val="20"/>
                <w:color w:val="auto"/>
              </w:rPr>
            </w:pPr>
            <w:r>
              <w:rPr>
                <w:rFonts w:ascii="Arial" w:cs="Arial" w:eastAsia="Arial" w:hAnsi="Arial"/>
                <w:sz w:val="14"/>
                <w:szCs w:val="14"/>
                <w:b w:val="1"/>
                <w:bCs w:val="1"/>
                <w:color w:val="auto"/>
                <w:w w:val="89"/>
              </w:rPr>
              <w:t>Title of each class</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4"/>
                <w:szCs w:val="14"/>
                <w:b w:val="1"/>
                <w:bCs w:val="1"/>
                <w:color w:val="auto"/>
                <w:w w:val="97"/>
              </w:rPr>
              <w:t>Trading</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0" w:type="dxa"/>
            <w:vAlign w:val="bottom"/>
          </w:tcPr>
          <w:p>
            <w:pPr>
              <w:jc w:val="center"/>
              <w:ind w:right="204"/>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96"/>
        </w:trPr>
        <w:tc>
          <w:tcPr>
            <w:tcW w:w="300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00" w:type="dxa"/>
            <w:vAlign w:val="bottom"/>
            <w:tcBorders>
              <w:bottom w:val="single" w:sz="8" w:color="auto"/>
            </w:tcBorders>
            <w:gridSpan w:val="2"/>
          </w:tcPr>
          <w:p>
            <w:pPr>
              <w:jc w:val="center"/>
              <w:ind w:left="682"/>
              <w:spacing w:after="0"/>
              <w:rPr>
                <w:sz w:val="20"/>
                <w:szCs w:val="20"/>
                <w:color w:val="auto"/>
              </w:rPr>
            </w:pPr>
            <w:r>
              <w:rPr>
                <w:rFonts w:ascii="Arial" w:cs="Arial" w:eastAsia="Arial" w:hAnsi="Arial"/>
                <w:sz w:val="14"/>
                <w:szCs w:val="14"/>
                <w:b w:val="1"/>
                <w:bCs w:val="1"/>
                <w:color w:val="auto"/>
                <w:w w:val="91"/>
              </w:rPr>
              <w:t>Symbol(s)</w:t>
            </w:r>
          </w:p>
        </w:tc>
        <w:tc>
          <w:tcPr>
            <w:tcW w:w="2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34"/>
        </w:trPr>
        <w:tc>
          <w:tcPr>
            <w:tcW w:w="3000" w:type="dxa"/>
            <w:vAlign w:val="bottom"/>
          </w:tcPr>
          <w:p>
            <w:pPr>
              <w:jc w:val="center"/>
              <w:ind w:left="561"/>
              <w:spacing w:after="0"/>
              <w:rPr>
                <w:sz w:val="20"/>
                <w:szCs w:val="20"/>
                <w:color w:val="auto"/>
              </w:rPr>
            </w:pPr>
            <w:r>
              <w:rPr>
                <w:rFonts w:ascii="Arial" w:cs="Arial" w:eastAsia="Arial" w:hAnsi="Arial"/>
                <w:sz w:val="18"/>
                <w:szCs w:val="18"/>
                <w:b w:val="1"/>
                <w:bCs w:val="1"/>
                <w:color w:val="auto"/>
                <w:w w:val="90"/>
              </w:rPr>
              <w:t>Common Stock, $.01 par value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00" w:type="dxa"/>
            <w:vAlign w:val="bottom"/>
            <w:gridSpan w:val="2"/>
          </w:tcPr>
          <w:p>
            <w:pPr>
              <w:jc w:val="center"/>
              <w:ind w:left="682"/>
              <w:spacing w:after="0"/>
              <w:rPr>
                <w:sz w:val="20"/>
                <w:szCs w:val="20"/>
                <w:color w:val="auto"/>
              </w:rPr>
            </w:pPr>
            <w:r>
              <w:rPr>
                <w:rFonts w:ascii="Arial" w:cs="Arial" w:eastAsia="Arial" w:hAnsi="Arial"/>
                <w:sz w:val="18"/>
                <w:szCs w:val="18"/>
                <w:b w:val="1"/>
                <w:bCs w:val="1"/>
                <w:color w:val="auto"/>
              </w:rPr>
              <w:t>LCUT</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0" w:type="dxa"/>
            <w:vAlign w:val="bottom"/>
          </w:tcPr>
          <w:p>
            <w:pPr>
              <w:jc w:val="center"/>
              <w:ind w:right="204"/>
              <w:spacing w:after="0"/>
              <w:rPr>
                <w:sz w:val="20"/>
                <w:szCs w:val="20"/>
                <w:color w:val="auto"/>
              </w:rPr>
            </w:pPr>
            <w:r>
              <w:rPr>
                <w:rFonts w:ascii="Arial" w:cs="Arial" w:eastAsia="Arial" w:hAnsi="Arial"/>
                <w:sz w:val="18"/>
                <w:szCs w:val="18"/>
                <w:b w:val="1"/>
                <w:bCs w:val="1"/>
                <w:color w:val="auto"/>
                <w:w w:val="91"/>
              </w:rPr>
              <w:t>The Nasdaq Global Select Market</w:t>
            </w:r>
          </w:p>
        </w:tc>
        <w:tc>
          <w:tcPr>
            <w:tcW w:w="0" w:type="dxa"/>
            <w:vAlign w:val="bottom"/>
          </w:tcPr>
          <w:p>
            <w:pPr>
              <w:spacing w:after="0"/>
              <w:rPr>
                <w:sz w:val="1"/>
                <w:szCs w:val="1"/>
                <w:color w:val="auto"/>
              </w:rPr>
            </w:pPr>
          </w:p>
        </w:tc>
      </w:tr>
    </w:tbl>
    <w:p>
      <w:pPr>
        <w:spacing w:after="0" w:line="251" w:lineRule="exact"/>
        <w:rPr>
          <w:sz w:val="24"/>
          <w:szCs w:val="24"/>
          <w:color w:val="auto"/>
        </w:rPr>
      </w:pPr>
    </w:p>
    <w:p>
      <w:pPr>
        <w:ind w:right="2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4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20" w:type="dxa"/>
        <w:tblCellMar>
          <w:top w:w="0" w:type="dxa"/>
          <w:left w:w="0" w:type="dxa"/>
          <w:bottom w:w="0" w:type="dxa"/>
          <w:right w:w="0" w:type="dxa"/>
        </w:tblCellMar>
      </w:tblPr>
      <w:tr>
        <w:trPr>
          <w:trHeight w:val="277"/>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6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40" w:type="dxa"/>
            <w:vAlign w:val="bottom"/>
          </w:tcPr>
          <w:p>
            <w:pPr>
              <w:ind w:left="296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36"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3"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ectPr>
          <w:pgSz w:w="11900" w:h="16838" w:orient="portrait"/>
          <w:cols w:equalWidth="0" w:num="1">
            <w:col w:w="11220"/>
          </w:cols>
          <w:pgMar w:left="320" w:top="233" w:right="359" w:bottom="138"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The number of shares of the registrant’s common stock outstanding as of October 31, 2022 was 22,004,268.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848360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80645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 ENDED SEPTEMBER 30, 2022</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pacing w:after="0" w:line="2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30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17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b w:val="1"/>
                <w:bCs w:val="1"/>
                <w:color w:val="0000FF"/>
                <w:w w:val="92"/>
              </w:rPr>
              <w:t>Financial Information</w:t>
            </w:r>
          </w:p>
        </w:tc>
        <w:tc>
          <w:tcPr>
            <w:tcW w:w="7440" w:type="dxa"/>
            <w:vAlign w:val="bottom"/>
            <w:gridSpan w:val="11"/>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8"/>
              </w:rPr>
              <w:t>Financial Statements</w:t>
            </w:r>
          </w:p>
        </w:tc>
        <w:tc>
          <w:tcPr>
            <w:tcW w:w="7640" w:type="dxa"/>
            <w:vAlign w:val="bottom"/>
            <w:gridSpan w:val="12"/>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4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 – September 30, 2022 (unaudited) and December 31, 2021</w:t>
            </w: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40" w:type="dxa"/>
            <w:vAlign w:val="bottom"/>
            <w:gridSpan w:val="19"/>
          </w:tcPr>
          <w:p>
            <w:pPr>
              <w:spacing w:after="0"/>
              <w:rPr>
                <w:sz w:val="20"/>
                <w:szCs w:val="20"/>
                <w:color w:val="auto"/>
              </w:rPr>
            </w:pPr>
            <w:r>
              <w:rPr>
                <w:rFonts w:ascii="Arial" w:cs="Arial" w:eastAsia="Arial" w:hAnsi="Arial"/>
                <w:sz w:val="18"/>
                <w:szCs w:val="18"/>
                <w:color w:val="0000FF"/>
                <w:w w:val="93"/>
              </w:rPr>
              <w:t>Condensed Consolidated Statements of Operations (unaudited) – Three and Nine Months Ended September 30, 2022 and</w:t>
            </w:r>
          </w:p>
        </w:tc>
        <w:tc>
          <w:tcPr>
            <w:tcW w:w="860" w:type="dxa"/>
            <w:vAlign w:val="bottom"/>
            <w:gridSpan w:val="2"/>
            <w:vMerge w:val="restart"/>
          </w:tcPr>
          <w:p>
            <w:pPr>
              <w:spacing w:after="0"/>
              <w:rPr>
                <w:sz w:val="22"/>
                <w:szCs w:val="22"/>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0000FF"/>
                <w:w w:val="79"/>
              </w:rPr>
              <w:t>3</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2021</w:t>
            </w:r>
          </w:p>
        </w:tc>
        <w:tc>
          <w:tcPr>
            <w:tcW w:w="2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200" w:type="dxa"/>
            <w:vAlign w:val="bottom"/>
            <w:tcBorders>
              <w:top w:val="single" w:sz="8" w:color="0000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1580" w:type="dxa"/>
            <w:vAlign w:val="bottom"/>
            <w:tcBorders>
              <w:top w:val="single" w:sz="8" w:color="0000FF"/>
            </w:tcBorders>
          </w:tcPr>
          <w:p>
            <w:pPr>
              <w:spacing w:after="0"/>
              <w:rPr>
                <w:sz w:val="14"/>
                <w:szCs w:val="14"/>
                <w:color w:val="auto"/>
              </w:rPr>
            </w:pPr>
          </w:p>
        </w:tc>
        <w:tc>
          <w:tcPr>
            <w:tcW w:w="740" w:type="dxa"/>
            <w:vAlign w:val="bottom"/>
            <w:tcBorders>
              <w:top w:val="single" w:sz="8" w:color="0000FF"/>
            </w:tcBorders>
          </w:tcPr>
          <w:p>
            <w:pPr>
              <w:spacing w:after="0"/>
              <w:rPr>
                <w:sz w:val="14"/>
                <w:szCs w:val="14"/>
                <w:color w:val="auto"/>
              </w:rPr>
            </w:pPr>
          </w:p>
        </w:tc>
        <w:tc>
          <w:tcPr>
            <w:tcW w:w="1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40" w:type="dxa"/>
            <w:vAlign w:val="bottom"/>
            <w:gridSpan w:val="19"/>
          </w:tcPr>
          <w:p>
            <w:pPr>
              <w:spacing w:after="0"/>
              <w:rPr>
                <w:sz w:val="20"/>
                <w:szCs w:val="20"/>
                <w:color w:val="auto"/>
              </w:rPr>
            </w:pPr>
            <w:r>
              <w:rPr>
                <w:rFonts w:ascii="Arial" w:cs="Arial" w:eastAsia="Arial" w:hAnsi="Arial"/>
                <w:sz w:val="18"/>
                <w:szCs w:val="18"/>
                <w:color w:val="0000FF"/>
                <w:w w:val="98"/>
              </w:rPr>
              <w:t>Condensed Consolidated Statements of Comprehensive (Loss) Income (unaudited) – Three and Nine Months Ended</w:t>
            </w: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360" w:type="dxa"/>
            <w:vAlign w:val="bottom"/>
            <w:tcBorders>
              <w:top w:val="single" w:sz="8" w:color="0000FF"/>
            </w:tcBorders>
            <w:gridSpan w:val="15"/>
          </w:tcPr>
          <w:p>
            <w:pPr>
              <w:spacing w:after="0" w:line="169" w:lineRule="exact"/>
              <w:rPr>
                <w:sz w:val="20"/>
                <w:szCs w:val="20"/>
                <w:color w:val="auto"/>
              </w:rPr>
            </w:pPr>
            <w:r>
              <w:rPr>
                <w:rFonts w:ascii="Arial" w:cs="Arial" w:eastAsia="Arial" w:hAnsi="Arial"/>
                <w:sz w:val="18"/>
                <w:szCs w:val="18"/>
                <w:color w:val="0000FF"/>
              </w:rPr>
              <w:t>September 30, 2022 and 2021</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40" w:type="dxa"/>
            <w:vAlign w:val="bottom"/>
            <w:gridSpan w:val="19"/>
          </w:tcPr>
          <w:p>
            <w:pPr>
              <w:spacing w:after="0"/>
              <w:rPr>
                <w:sz w:val="20"/>
                <w:szCs w:val="20"/>
                <w:color w:val="auto"/>
              </w:rPr>
            </w:pPr>
            <w:r>
              <w:rPr>
                <w:rFonts w:ascii="Arial" w:cs="Arial" w:eastAsia="Arial" w:hAnsi="Arial"/>
                <w:sz w:val="18"/>
                <w:szCs w:val="18"/>
                <w:color w:val="0000FF"/>
                <w:w w:val="94"/>
              </w:rPr>
              <w:t>Condensed Consolidated Statements of Stockholders’ Equity (unaudited) –Three and Nine Months Ended September 30,</w:t>
            </w: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700" w:type="dxa"/>
            <w:vAlign w:val="bottom"/>
            <w:tcBorders>
              <w:top w:val="single" w:sz="8" w:color="0000FF"/>
            </w:tcBorders>
            <w:gridSpan w:val="17"/>
          </w:tcPr>
          <w:p>
            <w:pPr>
              <w:spacing w:after="0" w:line="169" w:lineRule="exact"/>
              <w:rPr>
                <w:sz w:val="20"/>
                <w:szCs w:val="20"/>
                <w:color w:val="auto"/>
              </w:rPr>
            </w:pPr>
            <w:r>
              <w:rPr>
                <w:rFonts w:ascii="Arial" w:cs="Arial" w:eastAsia="Arial" w:hAnsi="Arial"/>
                <w:sz w:val="18"/>
                <w:szCs w:val="18"/>
                <w:color w:val="0000FF"/>
              </w:rPr>
              <w:t>2022 and 2021</w:t>
            </w:r>
          </w:p>
        </w:tc>
        <w:tc>
          <w:tcPr>
            <w:tcW w:w="440" w:type="dxa"/>
            <w:vAlign w:val="bottom"/>
            <w:gridSpan w:val="2"/>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140" w:type="dxa"/>
            <w:vAlign w:val="bottom"/>
            <w:gridSpan w:val="19"/>
          </w:tcPr>
          <w:p>
            <w:pPr>
              <w:spacing w:after="0"/>
              <w:rPr>
                <w:sz w:val="20"/>
                <w:szCs w:val="20"/>
                <w:color w:val="auto"/>
              </w:rPr>
            </w:pPr>
            <w:r>
              <w:rPr>
                <w:rFonts w:ascii="Arial" w:cs="Arial" w:eastAsia="Arial" w:hAnsi="Arial"/>
                <w:sz w:val="18"/>
                <w:szCs w:val="18"/>
                <w:color w:val="0000FF"/>
                <w:w w:val="97"/>
              </w:rPr>
              <w:t>Condensed Consolidated Statements of Cash Flows (unaudited) – Nine Months Ended September 30, 2022 and 2021</w:t>
            </w: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64"/>
        </w:trPr>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6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8"/>
                <w:szCs w:val="18"/>
                <w:color w:val="0000FF"/>
                <w:w w:val="89"/>
              </w:rPr>
              <w:t>Notes to Condensed Consolidated Financial Statements (unaudited)</w:t>
            </w:r>
          </w:p>
        </w:tc>
        <w:tc>
          <w:tcPr>
            <w:tcW w:w="3540" w:type="dxa"/>
            <w:vAlign w:val="bottom"/>
            <w:tcBorders>
              <w:top w:val="single" w:sz="8" w:color="0000FF"/>
            </w:tcBorders>
            <w:gridSpan w:val="4"/>
          </w:tcPr>
          <w:p>
            <w:pPr>
              <w:spacing w:after="0"/>
              <w:rPr>
                <w:sz w:val="22"/>
                <w:szCs w:val="22"/>
                <w:color w:val="auto"/>
              </w:rPr>
            </w:pPr>
          </w:p>
        </w:tc>
        <w:tc>
          <w:tcPr>
            <w:tcW w:w="740" w:type="dxa"/>
            <w:vAlign w:val="bottom"/>
            <w:gridSpan w:val="3"/>
          </w:tcPr>
          <w:p>
            <w:pPr>
              <w:spacing w:after="0"/>
              <w:rPr>
                <w:sz w:val="22"/>
                <w:szCs w:val="22"/>
                <w:color w:val="auto"/>
              </w:rPr>
            </w:pPr>
          </w:p>
        </w:tc>
        <w:tc>
          <w:tcPr>
            <w:tcW w:w="860" w:type="dxa"/>
            <w:vAlign w:val="bottom"/>
            <w:gridSpan w:val="2"/>
          </w:tcPr>
          <w:p>
            <w:pPr>
              <w:spacing w:after="0"/>
              <w:rPr>
                <w:sz w:val="22"/>
                <w:szCs w:val="22"/>
                <w:color w:val="auto"/>
              </w:rPr>
            </w:pPr>
          </w:p>
        </w:tc>
        <w:tc>
          <w:tcPr>
            <w:tcW w:w="100" w:type="dxa"/>
            <w:vAlign w:val="bottom"/>
            <w:tcBorders>
              <w:top w:val="single" w:sz="8" w:color="0000FF"/>
              <w:bottom w:val="single" w:sz="8" w:color="0000FF"/>
            </w:tcBorders>
          </w:tcPr>
          <w:p>
            <w:pPr>
              <w:jc w:val="right"/>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40" w:type="dxa"/>
            <w:vAlign w:val="bottom"/>
            <w:gridSpan w:val="19"/>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32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1"/>
          </w:tcPr>
          <w:p>
            <w:pPr>
              <w:spacing w:after="0"/>
              <w:rPr>
                <w:sz w:val="20"/>
                <w:szCs w:val="20"/>
                <w:color w:val="auto"/>
              </w:rPr>
            </w:pPr>
            <w:r>
              <w:rPr>
                <w:rFonts w:ascii="Arial" w:cs="Arial" w:eastAsia="Arial" w:hAnsi="Arial"/>
                <w:sz w:val="18"/>
                <w:szCs w:val="18"/>
                <w:color w:val="0000FF"/>
                <w:w w:val="91"/>
              </w:rPr>
              <w:t>Quantitative and Qualitative Disclosures About Market Risk</w:t>
            </w:r>
          </w:p>
        </w:tc>
        <w:tc>
          <w:tcPr>
            <w:tcW w:w="2100" w:type="dxa"/>
            <w:vAlign w:val="bottom"/>
            <w:gridSpan w:val="2"/>
          </w:tcPr>
          <w:p>
            <w:pPr>
              <w:spacing w:after="0"/>
              <w:rPr>
                <w:sz w:val="22"/>
                <w:szCs w:val="22"/>
                <w:color w:val="auto"/>
              </w:rPr>
            </w:pPr>
          </w:p>
        </w:tc>
        <w:tc>
          <w:tcPr>
            <w:tcW w:w="2700" w:type="dxa"/>
            <w:vAlign w:val="bottom"/>
            <w:gridSpan w:val="6"/>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2580" w:type="dxa"/>
            <w:vAlign w:val="bottom"/>
            <w:gridSpan w:val="2"/>
            <w:shd w:val="clear" w:color="auto" w:fill="0000FF"/>
          </w:tcPr>
          <w:p>
            <w:pPr>
              <w:spacing w:after="0" w:line="20" w:lineRule="exact"/>
              <w:rPr>
                <w:sz w:val="1"/>
                <w:szCs w:val="1"/>
                <w:color w:val="auto"/>
              </w:rPr>
            </w:pPr>
          </w:p>
        </w:tc>
        <w:tc>
          <w:tcPr>
            <w:tcW w:w="4800" w:type="dxa"/>
            <w:vAlign w:val="bottom"/>
            <w:tcBorders>
              <w:left w:val="single" w:sz="8" w:color="0000FF"/>
            </w:tcBorders>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1"/>
          </w:tcPr>
          <w:p>
            <w:pPr>
              <w:spacing w:after="0"/>
              <w:rPr>
                <w:sz w:val="20"/>
                <w:szCs w:val="20"/>
                <w:color w:val="auto"/>
              </w:rPr>
            </w:pPr>
            <w:r>
              <w:rPr>
                <w:rFonts w:ascii="Arial" w:cs="Arial" w:eastAsia="Arial" w:hAnsi="Arial"/>
                <w:sz w:val="18"/>
                <w:szCs w:val="18"/>
                <w:color w:val="0000FF"/>
              </w:rPr>
              <w:t>Controls and Procedures</w:t>
            </w:r>
          </w:p>
        </w:tc>
        <w:tc>
          <w:tcPr>
            <w:tcW w:w="4800" w:type="dxa"/>
            <w:vAlign w:val="bottom"/>
            <w:gridSpan w:val="8"/>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4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b w:val="1"/>
                <w:bCs w:val="1"/>
                <w:color w:val="0000FF"/>
                <w:w w:val="93"/>
              </w:rPr>
              <w:t>Other Information</w:t>
            </w:r>
          </w:p>
        </w:tc>
        <w:tc>
          <w:tcPr>
            <w:tcW w:w="320" w:type="dxa"/>
            <w:vAlign w:val="bottom"/>
            <w:tcBorders>
              <w:top w:val="single" w:sz="8" w:color="0000FF"/>
            </w:tcBorders>
            <w:gridSpan w:val="3"/>
          </w:tcPr>
          <w:p>
            <w:pPr>
              <w:spacing w:after="0"/>
              <w:rPr>
                <w:sz w:val="22"/>
                <w:szCs w:val="22"/>
                <w:color w:val="auto"/>
              </w:rPr>
            </w:pPr>
          </w:p>
        </w:tc>
        <w:tc>
          <w:tcPr>
            <w:tcW w:w="7380" w:type="dxa"/>
            <w:vAlign w:val="bottom"/>
            <w:gridSpan w:val="10"/>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40" w:type="dxa"/>
            <w:vAlign w:val="bottom"/>
            <w:gridSpan w:val="19"/>
          </w:tcPr>
          <w:p>
            <w:pPr>
              <w:spacing w:after="0"/>
              <w:rPr>
                <w:sz w:val="20"/>
                <w:szCs w:val="20"/>
                <w:color w:val="auto"/>
              </w:rPr>
            </w:pPr>
            <w:r>
              <w:rPr>
                <w:rFonts w:ascii="Arial" w:cs="Arial" w:eastAsia="Arial" w:hAnsi="Arial"/>
                <w:sz w:val="18"/>
                <w:szCs w:val="18"/>
                <w:color w:val="0000FF"/>
              </w:rPr>
              <w:t>Legal Proceedings</w:t>
            </w: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10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3"/>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gridSpan w:val="2"/>
          </w:tcPr>
          <w:p>
            <w:pPr>
              <w:spacing w:after="0"/>
              <w:rPr>
                <w:sz w:val="24"/>
                <w:szCs w:val="24"/>
                <w:color w:val="auto"/>
              </w:rPr>
            </w:pPr>
          </w:p>
        </w:tc>
        <w:tc>
          <w:tcPr>
            <w:tcW w:w="7840" w:type="dxa"/>
            <w:vAlign w:val="bottom"/>
            <w:gridSpan w:val="14"/>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40" w:type="dxa"/>
            <w:vAlign w:val="bottom"/>
            <w:gridSpan w:val="11"/>
          </w:tcPr>
          <w:p>
            <w:pPr>
              <w:spacing w:after="0"/>
              <w:rPr>
                <w:sz w:val="20"/>
                <w:szCs w:val="20"/>
                <w:color w:val="auto"/>
              </w:rPr>
            </w:pPr>
            <w:r>
              <w:rPr>
                <w:rFonts w:ascii="Arial" w:cs="Arial" w:eastAsia="Arial" w:hAnsi="Arial"/>
                <w:sz w:val="18"/>
                <w:szCs w:val="18"/>
                <w:color w:val="0000FF"/>
                <w:w w:val="88"/>
              </w:rPr>
              <w:t>Unregistered Sales of Equity Securities and Use of Proceeds</w:t>
            </w:r>
          </w:p>
        </w:tc>
        <w:tc>
          <w:tcPr>
            <w:tcW w:w="4800" w:type="dxa"/>
            <w:vAlign w:val="bottom"/>
            <w:gridSpan w:val="8"/>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46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3040" w:type="dxa"/>
            <w:vAlign w:val="bottom"/>
            <w:tcBorders>
              <w:left w:val="single" w:sz="8" w:color="0000FF"/>
            </w:tcBorders>
            <w:gridSpan w:val="6"/>
            <w:shd w:val="clear" w:color="auto" w:fill="0000FF"/>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340" w:type="dxa"/>
            <w:vAlign w:val="bottom"/>
            <w:gridSpan w:val="11"/>
          </w:tcPr>
          <w:p>
            <w:pPr>
              <w:spacing w:after="0"/>
              <w:rPr>
                <w:sz w:val="20"/>
                <w:szCs w:val="20"/>
                <w:color w:val="auto"/>
              </w:rPr>
            </w:pPr>
            <w:r>
              <w:rPr>
                <w:rFonts w:ascii="Arial" w:cs="Arial" w:eastAsia="Arial" w:hAnsi="Arial"/>
                <w:sz w:val="18"/>
                <w:szCs w:val="18"/>
                <w:color w:val="0000FF"/>
              </w:rPr>
              <w:t>Other Information</w:t>
            </w:r>
          </w:p>
        </w:tc>
        <w:tc>
          <w:tcPr>
            <w:tcW w:w="4800" w:type="dxa"/>
            <w:vAlign w:val="bottom"/>
            <w:gridSpan w:val="8"/>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47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840" w:type="dxa"/>
            <w:vAlign w:val="bottom"/>
            <w:gridSpan w:val="1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3"/>
          </w:tcPr>
          <w:p>
            <w:pPr>
              <w:spacing w:after="0"/>
              <w:rPr>
                <w:sz w:val="22"/>
                <w:szCs w:val="22"/>
                <w:color w:val="auto"/>
              </w:rPr>
            </w:pPr>
          </w:p>
        </w:tc>
        <w:tc>
          <w:tcPr>
            <w:tcW w:w="7840" w:type="dxa"/>
            <w:vAlign w:val="bottom"/>
            <w:gridSpan w:val="14"/>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60" w:type="dxa"/>
            <w:vAlign w:val="bottom"/>
          </w:tcPr>
          <w:p>
            <w:pPr>
              <w:spacing w:after="0"/>
              <w:rPr>
                <w:sz w:val="20"/>
                <w:szCs w:val="20"/>
                <w:color w:val="auto"/>
              </w:rPr>
            </w:pPr>
            <w:r>
              <w:rPr>
                <w:rFonts w:ascii="Arial" w:cs="Arial" w:eastAsia="Arial" w:hAnsi="Arial"/>
                <w:sz w:val="18"/>
                <w:szCs w:val="18"/>
                <w:color w:val="0000FF"/>
                <w:w w:val="85"/>
              </w:rPr>
              <w:t>Signatures</w:t>
            </w: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0000FF"/>
              </w:rPr>
              <w:t>49</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4016375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1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20" w:type="dxa"/>
            <w:vAlign w:val="bottom"/>
          </w:tcPr>
          <w:p>
            <w:pPr>
              <w:jc w:val="right"/>
              <w:ind w:right="19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r>
      <w:tr>
        <w:trPr>
          <w:trHeight w:val="182"/>
        </w:trPr>
        <w:tc>
          <w:tcPr>
            <w:tcW w:w="8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92"/>
              <w:spacing w:after="0"/>
              <w:rPr>
                <w:sz w:val="20"/>
                <w:szCs w:val="20"/>
                <w:color w:val="auto"/>
              </w:rPr>
            </w:pPr>
            <w:r>
              <w:rPr>
                <w:rFonts w:ascii="Arial" w:cs="Arial" w:eastAsia="Arial" w:hAnsi="Arial"/>
                <w:sz w:val="14"/>
                <w:szCs w:val="14"/>
                <w:color w:val="auto"/>
                <w:w w:val="93"/>
              </w:rPr>
              <w:t>(unaudited)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27,982</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w w:val="91"/>
              </w:rPr>
              <w:t>Accounts receivable, less allowances of $13,984 at September 30, 2022 and $16,544 at December 31, 2021</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135,343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175,076</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270,516</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10,091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11,499</w:t>
            </w:r>
          </w:p>
        </w:tc>
      </w:tr>
      <w:tr>
        <w:trPr>
          <w:trHeight w:val="229"/>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423,670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485,073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76,454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86,487</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217,526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212,678</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23"/>
        </w:trPr>
        <w:tc>
          <w:tcPr>
            <w:tcW w:w="8240" w:type="dxa"/>
            <w:vAlign w:val="bottom"/>
          </w:tcPr>
          <w:p>
            <w:pPr>
              <w:ind w:left="11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829,074</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7"/>
        </w:trPr>
        <w:tc>
          <w:tcPr>
            <w:tcW w:w="82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maturity of term loan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42,960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82,573</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79,117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112,241</w:t>
            </w: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12,612</w:t>
            </w:r>
          </w:p>
        </w:tc>
      </w:tr>
      <w:tr>
        <w:trPr>
          <w:trHeight w:val="223"/>
        </w:trPr>
        <w:tc>
          <w:tcPr>
            <w:tcW w:w="82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135,936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213,801</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12,616</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INCOME TAXES PAYABLE, LONG-TERM</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1,472</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78,534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90,824</w:t>
            </w:r>
          </w:p>
        </w:tc>
      </w:tr>
      <w:tr>
        <w:trPr>
          <w:trHeight w:val="229"/>
        </w:trPr>
        <w:tc>
          <w:tcPr>
            <w:tcW w:w="82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12,842</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REVOLVING CREDIT FACILITY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TERM LOAN</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242,505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241,873</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175"/>
        </w:trPr>
        <w:tc>
          <w:tcPr>
            <w:tcW w:w="8240" w:type="dxa"/>
            <w:vAlign w:val="bottom"/>
          </w:tcPr>
          <w:p>
            <w:pPr>
              <w:ind w:left="500"/>
              <w:spacing w:after="0" w:line="176" w:lineRule="exact"/>
              <w:rPr>
                <w:sz w:val="20"/>
                <w:szCs w:val="20"/>
                <w:color w:val="auto"/>
              </w:rPr>
            </w:pPr>
            <w:r>
              <w:rPr>
                <w:rFonts w:ascii="Arial" w:cs="Arial" w:eastAsia="Arial" w:hAnsi="Arial"/>
                <w:sz w:val="18"/>
                <w:szCs w:val="18"/>
                <w:color w:val="auto"/>
                <w:w w:val="90"/>
              </w:rPr>
              <w:t>Preferred stock, $1.00 par value, shares authorized: 100 shares of Series A and 2,000,000 shares of Series</w:t>
            </w: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8240" w:type="dxa"/>
            <w:vAlign w:val="bottom"/>
          </w:tcPr>
          <w:p>
            <w:pPr>
              <w:ind w:left="500"/>
              <w:spacing w:after="0"/>
              <w:rPr>
                <w:sz w:val="20"/>
                <w:szCs w:val="20"/>
                <w:color w:val="auto"/>
              </w:rPr>
            </w:pPr>
            <w:r>
              <w:rPr>
                <w:rFonts w:ascii="Arial" w:cs="Arial" w:eastAsia="Arial" w:hAnsi="Arial"/>
                <w:sz w:val="18"/>
                <w:szCs w:val="18"/>
                <w:color w:val="auto"/>
              </w:rPr>
              <w:t>B; none issued and outstanding</w:t>
            </w: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8240" w:type="dxa"/>
            <w:vAlign w:val="bottom"/>
            <w:shd w:val="clear" w:color="auto" w:fill="CCEEFF"/>
          </w:tcPr>
          <w:p>
            <w:pPr>
              <w:ind w:left="500"/>
              <w:spacing w:after="0" w:line="176" w:lineRule="exact"/>
              <w:rPr>
                <w:sz w:val="20"/>
                <w:szCs w:val="20"/>
                <w:color w:val="auto"/>
              </w:rPr>
            </w:pPr>
            <w:r>
              <w:rPr>
                <w:rFonts w:ascii="Arial" w:cs="Arial" w:eastAsia="Arial" w:hAnsi="Arial"/>
                <w:sz w:val="18"/>
                <w:szCs w:val="18"/>
                <w:color w:val="auto"/>
                <w:w w:val="90"/>
              </w:rPr>
              <w:t>Common stock, $0.01 par value, shares authorized: 50,000,000 at September 30, 2022 and December 31,</w:t>
            </w: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88"/>
        </w:trPr>
        <w:tc>
          <w:tcPr>
            <w:tcW w:w="8240" w:type="dxa"/>
            <w:vAlign w:val="bottom"/>
            <w:shd w:val="clear" w:color="auto" w:fill="CCEEFF"/>
          </w:tcPr>
          <w:p>
            <w:pPr>
              <w:ind w:left="500"/>
              <w:spacing w:after="0" w:line="189" w:lineRule="exact"/>
              <w:rPr>
                <w:sz w:val="20"/>
                <w:szCs w:val="20"/>
                <w:color w:val="auto"/>
              </w:rPr>
            </w:pPr>
            <w:r>
              <w:rPr>
                <w:rFonts w:ascii="Arial" w:cs="Arial" w:eastAsia="Arial" w:hAnsi="Arial"/>
                <w:sz w:val="18"/>
                <w:szCs w:val="18"/>
                <w:color w:val="auto"/>
                <w:w w:val="90"/>
              </w:rPr>
              <w:t>2021; shares issued and outstanding: 22,004,268 at September 30, 2022 and 22,018,016 at December 31,</w:t>
            </w: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230"/>
        </w:trPr>
        <w:tc>
          <w:tcPr>
            <w:tcW w:w="8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8240" w:type="dxa"/>
            <w:vAlign w:val="bottom"/>
          </w:tcPr>
          <w:p>
            <w:pPr>
              <w:ind w:left="34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274,301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271,556</w:t>
            </w:r>
          </w:p>
        </w:tc>
      </w:tr>
      <w:tr>
        <w:trPr>
          <w:trHeight w:val="230"/>
        </w:trPr>
        <w:tc>
          <w:tcPr>
            <w:tcW w:w="8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17,419</w:t>
            </w:r>
          </w:p>
        </w:tc>
      </w:tr>
      <w:tr>
        <w:trPr>
          <w:trHeight w:val="230"/>
        </w:trPr>
        <w:tc>
          <w:tcPr>
            <w:tcW w:w="82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(33,549)</w:t>
            </w:r>
          </w:p>
        </w:tc>
      </w:tr>
      <w:tr>
        <w:trPr>
          <w:trHeight w:val="223"/>
        </w:trPr>
        <w:tc>
          <w:tcPr>
            <w:tcW w:w="8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255,646</w:t>
            </w:r>
          </w:p>
        </w:tc>
      </w:tr>
      <w:tr>
        <w:trPr>
          <w:trHeight w:val="223"/>
        </w:trPr>
        <w:tc>
          <w:tcPr>
            <w:tcW w:w="8240" w:type="dxa"/>
            <w:vAlign w:val="bottom"/>
          </w:tcPr>
          <w:p>
            <w:pPr>
              <w:ind w:left="112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756,928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829,074</w:t>
            </w: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520,621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607,066</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118,757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334,553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391,790</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215,276</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55,239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56,470</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116,379</w:t>
            </w: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Wallace facility remediation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41,927</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(11,668)</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 to market gain on interest rate derivatives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color w:val="auto"/>
              </w:rPr>
              <w:t>Income before income taxes and equity in (losses) earnings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3,646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30,923</w:t>
            </w: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(9,837)</w:t>
            </w: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(losses) earnings, net of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(7,409)</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21,427</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(LOSS) INCOME PER COMMON SHARE</w:t>
            </w: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0.58</w:t>
            </w:r>
          </w:p>
        </w:tc>
        <w:tc>
          <w:tcPr>
            <w:tcW w:w="10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440" w:type="dxa"/>
            <w:vAlign w:val="bottom"/>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r>
      <w:tr>
        <w:trPr>
          <w:trHeight w:val="45"/>
        </w:trPr>
        <w:tc>
          <w:tcPr>
            <w:tcW w:w="578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CCEEFF"/>
            </w:tcBorders>
          </w:tcPr>
          <w:p>
            <w:pPr>
              <w:spacing w:after="0"/>
              <w:rPr>
                <w:sz w:val="3"/>
                <w:szCs w:val="3"/>
                <w:color w:val="auto"/>
              </w:rPr>
            </w:pPr>
          </w:p>
        </w:tc>
        <w:tc>
          <w:tcPr>
            <w:tcW w:w="84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28"/>
        </w:trPr>
        <w:tc>
          <w:tcPr>
            <w:tcW w:w="5780" w:type="dxa"/>
            <w:vAlign w:val="bottom"/>
            <w:tcBorders>
              <w:top w:val="single" w:sz="8" w:color="CCEEFF"/>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rPr>
              <w:t>DILUTED (LOSS) INCOME PER COMMON SHARE</w:t>
            </w:r>
          </w:p>
        </w:tc>
        <w:tc>
          <w:tcPr>
            <w:tcW w:w="280" w:type="dxa"/>
            <w:vAlign w:val="bottom"/>
            <w:tcBorders>
              <w:top w:val="single" w:sz="8" w:color="auto"/>
              <w:bottom w:val="single" w:sz="8" w:color="auto"/>
            </w:tcBorders>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30"/>
              <w:spacing w:after="0" w:line="203" w:lineRule="exact"/>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auto"/>
            </w:tcBorders>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(0.44)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auto"/>
            </w:tcBorders>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0.98</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6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36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Nine Months Ended</w:t>
            </w:r>
          </w:p>
        </w:tc>
      </w:tr>
      <w:tr>
        <w:trPr>
          <w:trHeight w:val="192"/>
        </w:trPr>
        <w:tc>
          <w:tcPr>
            <w:tcW w:w="5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7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r>
      <w:tr>
        <w:trPr>
          <w:trHeight w:val="230"/>
        </w:trPr>
        <w:tc>
          <w:tcPr>
            <w:tcW w:w="5780" w:type="dxa"/>
            <w:vAlign w:val="bottom"/>
          </w:tcPr>
          <w:p>
            <w:pPr>
              <w:ind w:left="340"/>
              <w:spacing w:after="0"/>
              <w:rPr>
                <w:sz w:val="20"/>
                <w:szCs w:val="20"/>
                <w:color w:val="auto"/>
              </w:rPr>
            </w:pPr>
            <w:r>
              <w:rPr>
                <w:rFonts w:ascii="Arial" w:cs="Arial" w:eastAsia="Arial" w:hAnsi="Arial"/>
                <w:sz w:val="18"/>
                <w:szCs w:val="18"/>
                <w:color w:val="auto"/>
              </w:rPr>
              <w:t>Net change in cash flow hedges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1,912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1,055</w:t>
            </w:r>
          </w:p>
        </w:tc>
      </w:tr>
      <w:tr>
        <w:trPr>
          <w:trHeight w:val="229"/>
        </w:trPr>
        <w:tc>
          <w:tcPr>
            <w:tcW w:w="5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 net of taxes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5,619</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27,046</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2"/>
                <w:szCs w:val="12"/>
                <w:color w:val="auto"/>
              </w:rPr>
            </w:pPr>
          </w:p>
        </w:tc>
        <w:tc>
          <w:tcPr>
            <w:tcW w:w="148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89"/>
              </w:rPr>
              <w:t>comprehensive</w:t>
            </w:r>
          </w:p>
        </w:tc>
        <w:tc>
          <w:tcPr>
            <w:tcW w:w="240" w:type="dxa"/>
            <w:vAlign w:val="bottom"/>
          </w:tcPr>
          <w:p>
            <w:pPr>
              <w:spacing w:after="0"/>
              <w:rPr>
                <w:sz w:val="12"/>
                <w:szCs w:val="12"/>
                <w:color w:val="auto"/>
              </w:rPr>
            </w:pPr>
          </w:p>
        </w:tc>
        <w:tc>
          <w:tcPr>
            <w:tcW w:w="8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7"/>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4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271,556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17,419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(33,549)</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255,646</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380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521</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3"/>
        </w:trPr>
        <w:tc>
          <w:tcPr>
            <w:tcW w:w="38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(568)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(568)</w:t>
            </w:r>
          </w:p>
        </w:tc>
        <w:tc>
          <w:tcPr>
            <w:tcW w:w="0" w:type="dxa"/>
            <w:vAlign w:val="bottom"/>
          </w:tcPr>
          <w:p>
            <w:pPr>
              <w:spacing w:after="0"/>
              <w:rPr>
                <w:sz w:val="1"/>
                <w:szCs w:val="1"/>
                <w:color w:val="auto"/>
              </w:rPr>
            </w:pPr>
          </w:p>
        </w:tc>
      </w:tr>
      <w:tr>
        <w:trPr>
          <w:trHeight w:val="18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repurchase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203"/>
        </w:trPr>
        <w:tc>
          <w:tcPr>
            <w:tcW w:w="38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(960)</w:t>
            </w:r>
          </w:p>
        </w:tc>
        <w:tc>
          <w:tcPr>
            <w:tcW w:w="0" w:type="dxa"/>
            <w:vAlign w:val="bottom"/>
          </w:tcPr>
          <w:p>
            <w:pPr>
              <w:spacing w:after="0"/>
              <w:rPr>
                <w:sz w:val="1"/>
                <w:szCs w:val="1"/>
                <w:color w:val="auto"/>
              </w:rPr>
            </w:pPr>
          </w:p>
        </w:tc>
      </w:tr>
      <w:tr>
        <w:trPr>
          <w:trHeight w:val="194"/>
        </w:trPr>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22,318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271,698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16,839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(33,028)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255,732</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gridSpan w:val="2"/>
            <w:vMerge w:val="restart"/>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tcBorders>
              <w:top w:val="single" w:sz="8" w:color="CCEEFF"/>
            </w:tcBorders>
            <w:gridSpan w:val="2"/>
            <w:vMerge w:val="continue"/>
          </w:tcPr>
          <w:p>
            <w:pPr>
              <w:spacing w:after="0"/>
              <w:rPr>
                <w:sz w:val="13"/>
                <w:szCs w:val="13"/>
                <w:color w:val="auto"/>
              </w:rPr>
            </w:pPr>
          </w:p>
        </w:tc>
        <w:tc>
          <w:tcPr>
            <w:tcW w:w="9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(3,460)</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8"/>
              <w:spacing w:after="0" w:line="156"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4"/>
                <w:szCs w:val="14"/>
                <w:color w:val="auto"/>
              </w:rPr>
              <w:t>(3,460)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 net of taxes</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(3,328)</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(3,328)</w:t>
            </w:r>
          </w:p>
        </w:tc>
        <w:tc>
          <w:tcPr>
            <w:tcW w:w="0" w:type="dxa"/>
            <w:vAlign w:val="bottom"/>
          </w:tcPr>
          <w:p>
            <w:pPr>
              <w:spacing w:after="0"/>
              <w:rPr>
                <w:sz w:val="1"/>
                <w:szCs w:val="1"/>
                <w:color w:val="auto"/>
              </w:rPr>
            </w:pPr>
          </w:p>
        </w:tc>
      </w:tr>
      <w:tr>
        <w:trPr>
          <w:trHeight w:val="143"/>
        </w:trPr>
        <w:tc>
          <w:tcPr>
            <w:tcW w:w="38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Net issuance of restricted shares granted to employees and</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directors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1,280</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9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repurchase</w:t>
            </w:r>
          </w:p>
        </w:tc>
        <w:tc>
          <w:tcPr>
            <w:tcW w:w="960" w:type="dxa"/>
            <w:vAlign w:val="bottom"/>
          </w:tcPr>
          <w:p>
            <w:pPr>
              <w:jc w:val="right"/>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671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(4,197)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(3,528)</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0" w:type="dxa"/>
            <w:vAlign w:val="bottom"/>
          </w:tcPr>
          <w:p>
            <w:pPr>
              <w:spacing w:after="0"/>
              <w:rPr>
                <w:sz w:val="1"/>
                <w:szCs w:val="1"/>
                <w:color w:val="auto"/>
              </w:rPr>
            </w:pPr>
          </w:p>
        </w:tc>
      </w:tr>
      <w:tr>
        <w:trPr>
          <w:trHeight w:val="169"/>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22,059</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273,279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8,224</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(36,356)</w:t>
            </w:r>
          </w:p>
        </w:tc>
        <w:tc>
          <w:tcPr>
            <w:tcW w:w="8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245,368</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(6,358)</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Other comprehensive loss, net of taxes</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(2,303)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(2,303)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Net issuance of restricted shares granted to employees and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directors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repurchase</w:t>
            </w:r>
          </w:p>
        </w:tc>
        <w:tc>
          <w:tcPr>
            <w:tcW w:w="960" w:type="dxa"/>
            <w:vAlign w:val="bottom"/>
          </w:tcPr>
          <w:p>
            <w:pPr>
              <w:jc w:val="right"/>
              <w:spacing w:after="0"/>
              <w:rPr>
                <w:sz w:val="20"/>
                <w:szCs w:val="20"/>
                <w:color w:val="auto"/>
              </w:rPr>
            </w:pPr>
            <w:r>
              <w:rPr>
                <w:rFonts w:ascii="Arial" w:cs="Arial" w:eastAsia="Arial" w:hAnsi="Arial"/>
                <w:sz w:val="14"/>
                <w:szCs w:val="14"/>
                <w:color w:val="auto"/>
              </w:rPr>
              <w:t>(53)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(479)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96"/>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22,004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274,301</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437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(38,659)</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236,299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40" w:hanging="132"/>
        <w:spacing w:after="0"/>
        <w:tabs>
          <w:tab w:leader="none" w:pos="140" w:val="left"/>
        </w:tabs>
        <w:numPr>
          <w:ilvl w:val="0"/>
          <w:numId w:val="3"/>
        </w:numPr>
        <w:rPr>
          <w:rFonts w:ascii="Arial" w:cs="Arial" w:eastAsia="Arial" w:hAnsi="Arial"/>
          <w:sz w:val="16"/>
          <w:szCs w:val="16"/>
          <w:color w:val="auto"/>
          <w:vertAlign w:val="superscript"/>
        </w:rPr>
      </w:pPr>
      <w:r>
        <w:rPr>
          <w:rFonts w:ascii="Arial" w:cs="Arial" w:eastAsia="Arial" w:hAnsi="Arial"/>
          <w:sz w:val="12"/>
          <w:szCs w:val="12"/>
          <w:color w:val="auto"/>
        </w:rPr>
        <w:t>Cash dividends declared per share of common stock were $0.1275 and $0.1275 in the nine months ended September 30, 2022 and 2021, respectively.</w:t>
      </w:r>
    </w:p>
    <w:p>
      <w:pPr>
        <w:spacing w:after="0" w:line="200" w:lineRule="exact"/>
        <w:rPr>
          <w:rFonts w:ascii="Arial" w:cs="Arial" w:eastAsia="Arial" w:hAnsi="Arial"/>
          <w:sz w:val="16"/>
          <w:szCs w:val="16"/>
          <w:color w:val="auto"/>
          <w:vertAlign w:val="superscript"/>
        </w:rPr>
      </w:pPr>
    </w:p>
    <w:p>
      <w:pPr>
        <w:spacing w:after="0" w:line="337" w:lineRule="exact"/>
        <w:rPr>
          <w:rFonts w:ascii="Arial" w:cs="Arial" w:eastAsia="Arial" w:hAnsi="Arial"/>
          <w:sz w:val="16"/>
          <w:szCs w:val="16"/>
          <w:color w:val="auto"/>
          <w:vertAlign w:val="superscript"/>
        </w:rPr>
      </w:pPr>
    </w:p>
    <w:p>
      <w:pPr>
        <w:ind w:left="5580" w:hanging="106"/>
        <w:spacing w:after="0"/>
        <w:tabs>
          <w:tab w:leader="none" w:pos="5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5"/>
          </w:tcPr>
          <w:p>
            <w:pPr>
              <w:ind w:left="54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6"/>
                <w:szCs w:val="16"/>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 other</w:t>
            </w: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2"/>
                <w:szCs w:val="12"/>
                <w:color w:val="auto"/>
              </w:rPr>
            </w:pPr>
          </w:p>
        </w:tc>
        <w:tc>
          <w:tcPr>
            <w:tcW w:w="14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89"/>
              </w:rPr>
              <w:t>comprehensive</w:t>
            </w:r>
          </w:p>
        </w:tc>
        <w:tc>
          <w:tcPr>
            <w:tcW w:w="260" w:type="dxa"/>
            <w:vAlign w:val="bottom"/>
          </w:tcPr>
          <w:p>
            <w:pPr>
              <w:spacing w:after="0"/>
              <w:rPr>
                <w:sz w:val="12"/>
                <w:szCs w:val="12"/>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8"/>
              </w:rPr>
              <w:t>loss</w:t>
            </w:r>
          </w:p>
        </w:tc>
        <w:tc>
          <w:tcPr>
            <w:tcW w:w="26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21,755</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268,666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(39,172)</w:t>
            </w:r>
          </w:p>
        </w:tc>
        <w:tc>
          <w:tcPr>
            <w:tcW w:w="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230,136</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3,067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3,067</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Performance shares issued to employees</w:t>
            </w: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issuance of restricted shares granted to employees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1,439</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43"/>
        </w:trPr>
        <w:tc>
          <w:tcPr>
            <w:tcW w:w="38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(2,159)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80" w:type="dxa"/>
            <w:vAlign w:val="bottom"/>
            <w:gridSpan w:val="2"/>
            <w:vMerge w:val="restart"/>
          </w:tcPr>
          <w:p>
            <w:pPr>
              <w:ind w:left="1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(2,160)</w:t>
            </w:r>
          </w:p>
        </w:tc>
        <w:tc>
          <w:tcPr>
            <w:tcW w:w="0" w:type="dxa"/>
            <w:vAlign w:val="bottom"/>
          </w:tcPr>
          <w:p>
            <w:pPr>
              <w:spacing w:after="0"/>
              <w:rPr>
                <w:sz w:val="1"/>
                <w:szCs w:val="1"/>
                <w:color w:val="auto"/>
              </w:rPr>
            </w:pPr>
          </w:p>
        </w:tc>
      </w:tr>
      <w:tr>
        <w:trPr>
          <w:trHeight w:val="18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(943)</w:t>
            </w:r>
          </w:p>
        </w:tc>
        <w:tc>
          <w:tcPr>
            <w:tcW w:w="0" w:type="dxa"/>
            <w:vAlign w:val="bottom"/>
          </w:tcPr>
          <w:p>
            <w:pPr>
              <w:spacing w:after="0"/>
              <w:rPr>
                <w:sz w:val="1"/>
                <w:szCs w:val="1"/>
                <w:color w:val="auto"/>
              </w:rPr>
            </w:pPr>
          </w:p>
        </w:tc>
      </w:tr>
      <w:tr>
        <w:trPr>
          <w:trHeight w:val="169"/>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21,980</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268,127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2,548</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(37,489)</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233,406</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5,789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5,789</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2,671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2,671</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Net issuance of restricted shares granted to employees and</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directors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143"/>
        </w:trPr>
        <w:tc>
          <w:tcPr>
            <w:tcW w:w="382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80" w:type="dxa"/>
            <w:vAlign w:val="bottom"/>
            <w:gridSpan w:val="2"/>
            <w:vMerge w:val="restart"/>
          </w:tcPr>
          <w:p>
            <w:pPr>
              <w:ind w:left="1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(1,025)</w:t>
            </w:r>
          </w:p>
        </w:tc>
        <w:tc>
          <w:tcPr>
            <w:tcW w:w="0" w:type="dxa"/>
            <w:vAlign w:val="bottom"/>
          </w:tcPr>
          <w:p>
            <w:pPr>
              <w:spacing w:after="0"/>
              <w:rPr>
                <w:sz w:val="1"/>
                <w:szCs w:val="1"/>
                <w:color w:val="auto"/>
              </w:rPr>
            </w:pPr>
          </w:p>
        </w:tc>
      </w:tr>
      <w:tr>
        <w:trPr>
          <w:trHeight w:val="188"/>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(914)</w:t>
            </w:r>
          </w:p>
        </w:tc>
        <w:tc>
          <w:tcPr>
            <w:tcW w:w="0" w:type="dxa"/>
            <w:vAlign w:val="bottom"/>
          </w:tcPr>
          <w:p>
            <w:pPr>
              <w:spacing w:after="0"/>
              <w:rPr>
                <w:sz w:val="1"/>
                <w:szCs w:val="1"/>
                <w:color w:val="auto"/>
              </w:rPr>
            </w:pPr>
          </w:p>
        </w:tc>
      </w:tr>
      <w:tr>
        <w:trPr>
          <w:trHeight w:val="169"/>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22,007</w:t>
            </w:r>
          </w:p>
        </w:tc>
        <w:tc>
          <w:tcPr>
            <w:tcW w:w="8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268,976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7,423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(34,818)</w:t>
            </w: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241,801</w:t>
            </w:r>
          </w:p>
        </w:tc>
        <w:tc>
          <w:tcPr>
            <w:tcW w:w="0" w:type="dxa"/>
            <w:vAlign w:val="bottom"/>
          </w:tcPr>
          <w:p>
            <w:pPr>
              <w:spacing w:after="0"/>
              <w:rPr>
                <w:sz w:val="1"/>
                <w:szCs w:val="1"/>
                <w:color w:val="auto"/>
              </w:rPr>
            </w:pP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12,571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12,571</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Other comprehensive income, net of taxes</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1,265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182"/>
        </w:trPr>
        <w:tc>
          <w:tcPr>
            <w:tcW w:w="3820" w:type="dxa"/>
            <w:vAlign w:val="bottom"/>
            <w:gridSpan w:val="2"/>
          </w:tcPr>
          <w:p>
            <w:pPr>
              <w:ind w:left="20"/>
              <w:spacing w:after="0"/>
              <w:rPr>
                <w:sz w:val="20"/>
                <w:szCs w:val="20"/>
                <w:color w:val="auto"/>
              </w:rPr>
            </w:pPr>
            <w:r>
              <w:rPr>
                <w:rFonts w:ascii="Arial" w:cs="Arial" w:eastAsia="Arial" w:hAnsi="Arial"/>
                <w:sz w:val="14"/>
                <w:szCs w:val="14"/>
                <w:color w:val="auto"/>
              </w:rPr>
              <w:t>Net exercise of stock options</w:t>
            </w: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82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Shares effectively repurchased for required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80" w:type="dxa"/>
            <w:vAlign w:val="bottom"/>
            <w:gridSpan w:val="2"/>
            <w:vMerge w:val="restart"/>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4"/>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withholding taxes</w:t>
            </w:r>
          </w:p>
        </w:tc>
        <w:tc>
          <w:tcPr>
            <w:tcW w:w="9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ind w:left="20"/>
              <w:spacing w:after="0" w:line="202" w:lineRule="exact"/>
              <w:rPr>
                <w:sz w:val="20"/>
                <w:szCs w:val="20"/>
                <w:color w:val="auto"/>
              </w:rPr>
            </w:pPr>
            <w:r>
              <w:rPr>
                <w:rFonts w:ascii="Arial" w:cs="Arial" w:eastAsia="Arial" w:hAnsi="Arial"/>
                <w:sz w:val="14"/>
                <w:szCs w:val="14"/>
                <w:color w:val="auto"/>
              </w:rPr>
              <w:t xml:space="preserve">Dividends </w:t>
            </w:r>
            <w:r>
              <w:rPr>
                <w:rFonts w:ascii="Arial" w:cs="Arial" w:eastAsia="Arial" w:hAnsi="Arial"/>
                <w:sz w:val="18"/>
                <w:szCs w:val="18"/>
                <w:color w:val="auto"/>
                <w:vertAlign w:val="superscript"/>
              </w:rPr>
              <w:t>(1)</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(995)</w:t>
            </w:r>
          </w:p>
        </w:tc>
        <w:tc>
          <w:tcPr>
            <w:tcW w:w="0" w:type="dxa"/>
            <w:vAlign w:val="bottom"/>
          </w:tcPr>
          <w:p>
            <w:pPr>
              <w:spacing w:after="0"/>
              <w:rPr>
                <w:sz w:val="1"/>
                <w:szCs w:val="1"/>
                <w:color w:val="auto"/>
              </w:rPr>
            </w:pPr>
          </w:p>
        </w:tc>
      </w:tr>
      <w:tr>
        <w:trPr>
          <w:trHeight w:val="221"/>
        </w:trPr>
        <w:tc>
          <w:tcPr>
            <w:tcW w:w="38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270,309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18,999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(33,553)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255,975</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140" w:hanging="132"/>
        <w:spacing w:after="0"/>
        <w:tabs>
          <w:tab w:leader="none" w:pos="140" w:val="left"/>
        </w:tabs>
        <w:numPr>
          <w:ilvl w:val="0"/>
          <w:numId w:val="4"/>
        </w:numPr>
        <w:rPr>
          <w:rFonts w:ascii="Arial" w:cs="Arial" w:eastAsia="Arial" w:hAnsi="Arial"/>
          <w:sz w:val="16"/>
          <w:szCs w:val="16"/>
          <w:color w:val="auto"/>
          <w:vertAlign w:val="superscript"/>
        </w:rPr>
      </w:pPr>
      <w:r>
        <w:rPr>
          <w:rFonts w:ascii="Arial" w:cs="Arial" w:eastAsia="Arial" w:hAnsi="Arial"/>
          <w:sz w:val="12"/>
          <w:szCs w:val="12"/>
          <w:color w:val="auto"/>
        </w:rPr>
        <w:t>Cash dividends declared per share of common stock were $0.1275 and $0.1275 in the nine months ended September 30, 2022 and 2021, respectively.</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8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772"/>
        </w:trPr>
        <w:tc>
          <w:tcPr>
            <w:tcW w:w="40" w:type="dxa"/>
            <w:vAlign w:val="bottom"/>
            <w:tcBorders>
              <w:top w:val="single" w:sz="8" w:color="0000FF"/>
            </w:tcBorders>
          </w:tcPr>
          <w:p>
            <w:pPr>
              <w:spacing w:after="0"/>
              <w:rPr>
                <w:sz w:val="24"/>
                <w:szCs w:val="24"/>
                <w:color w:val="auto"/>
              </w:rPr>
            </w:pPr>
          </w:p>
        </w:tc>
        <w:tc>
          <w:tcPr>
            <w:tcW w:w="1240" w:type="dxa"/>
            <w:vAlign w:val="bottom"/>
            <w:tcBorders>
              <w:top w:val="single" w:sz="8" w:color="0000FF"/>
            </w:tcBorders>
          </w:tcPr>
          <w:p>
            <w:pPr>
              <w:spacing w:after="0"/>
              <w:rPr>
                <w:sz w:val="24"/>
                <w:szCs w:val="24"/>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rPr>
              <w:t>LIFETIME BRANDS, INC.</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200" w:type="dxa"/>
            <w:vAlign w:val="bottom"/>
          </w:tcPr>
          <w:p>
            <w:pPr>
              <w:jc w:val="center"/>
              <w:ind w:left="1410"/>
              <w:spacing w:after="0"/>
              <w:rPr>
                <w:sz w:val="20"/>
                <w:szCs w:val="20"/>
                <w:color w:val="auto"/>
              </w:rPr>
            </w:pPr>
            <w:r>
              <w:rPr>
                <w:rFonts w:ascii="Arial" w:cs="Arial" w:eastAsia="Arial" w:hAnsi="Arial"/>
                <w:sz w:val="18"/>
                <w:szCs w:val="18"/>
                <w:color w:val="auto"/>
                <w:w w:val="89"/>
              </w:rPr>
              <w:t>(in thousands)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0" w:type="dxa"/>
            <w:vAlign w:val="bottom"/>
          </w:tcPr>
          <w:p>
            <w:pPr>
              <w:jc w:val="center"/>
              <w:ind w:left="139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4"/>
          </w:tcPr>
          <w:p>
            <w:pPr>
              <w:jc w:val="right"/>
              <w:ind w:right="510"/>
              <w:spacing w:after="0" w:line="202" w:lineRule="exact"/>
              <w:rPr>
                <w:sz w:val="20"/>
                <w:szCs w:val="20"/>
                <w:color w:val="auto"/>
              </w:rPr>
            </w:pPr>
            <w:r>
              <w:rPr>
                <w:rFonts w:ascii="Arial" w:cs="Arial" w:eastAsia="Arial" w:hAnsi="Arial"/>
                <w:sz w:val="18"/>
                <w:szCs w:val="18"/>
                <w:b w:val="1"/>
                <w:bCs w:val="1"/>
                <w:color w:val="auto"/>
              </w:rPr>
              <w:t>Nine Months Ended</w:t>
            </w:r>
          </w:p>
        </w:tc>
      </w:tr>
      <w:tr>
        <w:trPr>
          <w:trHeight w:val="239"/>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72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09"/>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(9,438)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21,427</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17,560</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Amortization of financing costs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Mark to market (gain) on interest rate derivatives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(664)</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Non-cash lease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Recovery for doubtful accounts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Stock compensation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3,973</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Undistributed losses (earnings) from equity investment, net of taxes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(excluding the effects of business acquisitions)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38,765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659</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Inventory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(54,117)</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Prepaid expenses, other current assets and other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4,733</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Accounts payable, accrued expenses and other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24,093</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660"/>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w:t>
            </w:r>
          </w:p>
        </w:tc>
      </w:tr>
      <w:tr>
        <w:trPr>
          <w:trHeight w:val="223"/>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104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14,598</w:t>
            </w:r>
          </w:p>
        </w:tc>
      </w:tr>
      <w:tr>
        <w:trPr>
          <w:trHeight w:val="209"/>
        </w:trPr>
        <w:tc>
          <w:tcPr>
            <w:tcW w:w="4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(3,361)</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sale of shares of equity method investment</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r>
      <w:tr>
        <w:trPr>
          <w:trHeight w:val="230"/>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Acquisitions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(17,956)</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ind w:left="100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(19,931)</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r>
      <w:tr>
        <w:trPr>
          <w:trHeight w:val="209"/>
        </w:trPr>
        <w:tc>
          <w:tcPr>
            <w:tcW w:w="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revolving credit facility</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16,845</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Repayments of revolving credit facility</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(230,365)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(42,531)</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Repayments of term loan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(10,478)</w:t>
            </w:r>
          </w:p>
        </w:tc>
      </w:tr>
      <w:tr>
        <w:trPr>
          <w:trHeight w:val="229"/>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Payment of financing costs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for finance lease obligations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Payments of tax withholding for stock based compensation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(3,186)</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30"/>
        </w:trPr>
        <w:tc>
          <w:tcPr>
            <w:tcW w:w="40" w:type="dxa"/>
            <w:vAlign w:val="bottom"/>
          </w:tcPr>
          <w:p>
            <w:pPr>
              <w:spacing w:after="0"/>
              <w:rPr>
                <w:sz w:val="19"/>
                <w:szCs w:val="19"/>
                <w:color w:val="auto"/>
              </w:rPr>
            </w:pPr>
          </w:p>
        </w:tc>
        <w:tc>
          <w:tcPr>
            <w:tcW w:w="8440" w:type="dxa"/>
            <w:vAlign w:val="bottom"/>
            <w:gridSpan w:val="2"/>
          </w:tcPr>
          <w:p>
            <w:pPr>
              <w:ind w:left="340"/>
              <w:spacing w:after="0"/>
              <w:rPr>
                <w:sz w:val="20"/>
                <w:szCs w:val="20"/>
                <w:color w:val="auto"/>
              </w:rPr>
            </w:pPr>
            <w:r>
              <w:rPr>
                <w:rFonts w:ascii="Arial" w:cs="Arial" w:eastAsia="Arial" w:hAnsi="Arial"/>
                <w:sz w:val="18"/>
                <w:szCs w:val="18"/>
                <w:color w:val="auto"/>
              </w:rPr>
              <w:t>Payments for stock repurchase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0" w:type="dxa"/>
            <w:vAlign w:val="bottom"/>
          </w:tcPr>
          <w:p>
            <w:pPr>
              <w:spacing w:after="0"/>
              <w:rPr>
                <w:sz w:val="19"/>
                <w:szCs w:val="19"/>
                <w:color w:val="auto"/>
              </w:rPr>
            </w:pPr>
          </w:p>
        </w:tc>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23"/>
        </w:trPr>
        <w:tc>
          <w:tcPr>
            <w:tcW w:w="40" w:type="dxa"/>
            <w:vAlign w:val="bottom"/>
          </w:tcPr>
          <w:p>
            <w:pPr>
              <w:spacing w:after="0"/>
              <w:rPr>
                <w:sz w:val="19"/>
                <w:szCs w:val="19"/>
                <w:color w:val="auto"/>
              </w:rPr>
            </w:pPr>
          </w:p>
        </w:tc>
        <w:tc>
          <w:tcPr>
            <w:tcW w:w="8440" w:type="dxa"/>
            <w:vAlign w:val="bottom"/>
            <w:tcBorders>
              <w:bottom w:val="single" w:sz="8" w:color="CCEEFF"/>
            </w:tcBorders>
            <w:gridSpan w:val="2"/>
          </w:tcPr>
          <w:p>
            <w:pPr>
              <w:ind w:left="10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(41,457)</w:t>
            </w:r>
          </w:p>
        </w:tc>
      </w:tr>
      <w:tr>
        <w:trPr>
          <w:trHeight w:val="223"/>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foreign exchange on cash</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DECREASE IN CASH AND CASH EQUIVALENTS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(27,281)</w:t>
            </w:r>
          </w:p>
        </w:tc>
      </w:tr>
      <w:tr>
        <w:trPr>
          <w:trHeight w:val="230"/>
        </w:trPr>
        <w:tc>
          <w:tcPr>
            <w:tcW w:w="40" w:type="dxa"/>
            <w:vAlign w:val="bottom"/>
          </w:tcPr>
          <w:p>
            <w:pPr>
              <w:spacing w:after="0"/>
              <w:rPr>
                <w:sz w:val="19"/>
                <w:szCs w:val="19"/>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35,963</w:t>
            </w:r>
          </w:p>
        </w:tc>
      </w:tr>
      <w:tr>
        <w:trPr>
          <w:trHeight w:val="223"/>
        </w:trPr>
        <w:tc>
          <w:tcPr>
            <w:tcW w:w="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8,682</w:t>
            </w: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140"/>
        <w:spacing w:after="0" w:line="378" w:lineRule="auto"/>
        <w:rPr>
          <w:sz w:val="20"/>
          <w:szCs w:val="20"/>
          <w:color w:val="auto"/>
        </w:rPr>
      </w:pPr>
      <w:r>
        <w:rPr>
          <w:rFonts w:ascii="Arial" w:cs="Arial" w:eastAsia="Arial" w:hAnsi="Arial"/>
          <w:sz w:val="18"/>
          <w:szCs w:val="18"/>
          <w:b w:val="1"/>
          <w:bCs w:val="1"/>
          <w:color w:val="auto"/>
        </w:rPr>
        <w:t>NOTE 1 — BASIS OF PRESENTATION AND SUMMARY OF ACCOUNTING POLICIES Organization and business</w:t>
      </w:r>
    </w:p>
    <w:p>
      <w:pPr>
        <w:ind w:right="100"/>
        <w:spacing w:after="0" w:line="254" w:lineRule="auto"/>
        <w:rPr>
          <w:sz w:val="20"/>
          <w:szCs w:val="20"/>
          <w:color w:val="auto"/>
        </w:rPr>
      </w:pPr>
      <w:r>
        <w:rPr>
          <w:rFonts w:ascii="Arial" w:cs="Arial" w:eastAsia="Arial" w:hAnsi="Arial"/>
          <w:sz w:val="18"/>
          <w:szCs w:val="18"/>
          <w:color w:val="auto"/>
        </w:rPr>
        <w:t>Lifetime Brands, Inc. (“the Company”) designs, sources and sells branded kitchenware, tableware and other products used in the home and markets its products under a number of widely-recognized brand names and trademarks, which are either owned or licensed by the Company or through retailers’ private labels and their licensed brands. The Company’s products, which are targeted primarily towards consumers purchasing moderately priced kitchenware, tableware and housewares, are sold through virtually every major level of trade. The Company generally markets several lines within each of its product categories under more than one brand. The Company sells its products directly to retailers (who may resell the Company’s products through their websites) and, to a lesser extent, to distributors. The Company also sells a limited selection of its products directly to consumers through its own websites.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U.S. generally accepted accounting principles (“U.S. GAAP”) for interim financial information and with the instructions to Quarterly Reports on Form 10-Q and Article 10 of Regulation S-X. Accordingly, they do not include all of the information and footnotes required by U.S. GAAP for complete financial statements. In the opinion of management, all adjustments, which consist of normal recurring accruals and non-recurring adjustments, considered necessary for a fair presentation have been included.</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These condensed consolidated financial statements should be read in conjunction with the consolidated financial statements and footnotes thereto included in the Company’s Annual Report on Form 10-K for the fiscal year ended December 31, 2021.</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Operating results for the three and nine months ended September 30, 2022 are not necessarily indicative of the results that may be expected for the year ending December 31, 2022.</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business and working capital needs are seasonal, with a majority of sales occurring in the third and fourth quarters. In 2021 and 2020, net sales for the third and fourth quarters accounted for 56% and 62% of total annual net sales, respectively. The increase in the Company's net sales in the first half of the year in 2021 compared to historical trend was a result of increased demand for the Company's products due to shifts in consumer purchasing patterns. In anticipation of the pre-holiday shipping season, inventory levels increase primarily in the June through October time period. In 2022, the Company's inventory trends may deviate from historical trends due to a change in inventory strategy to react to the current market conditions impacting the Company and retailers.</w:t>
      </w:r>
    </w:p>
    <w:p>
      <w:pPr>
        <w:spacing w:after="0" w:line="192" w:lineRule="exact"/>
        <w:rPr>
          <w:sz w:val="20"/>
          <w:szCs w:val="20"/>
          <w:color w:val="auto"/>
        </w:rPr>
      </w:pPr>
    </w:p>
    <w:p>
      <w:pPr>
        <w:ind w:right="780"/>
        <w:spacing w:after="0" w:line="308" w:lineRule="auto"/>
        <w:rPr>
          <w:sz w:val="20"/>
          <w:szCs w:val="20"/>
          <w:color w:val="auto"/>
        </w:rPr>
      </w:pPr>
      <w:r>
        <w:rPr>
          <w:rFonts w:ascii="Arial" w:cs="Arial" w:eastAsia="Arial" w:hAnsi="Arial"/>
          <w:sz w:val="17"/>
          <w:szCs w:val="17"/>
          <w:color w:val="auto"/>
        </w:rPr>
        <w:t>The Company’s current estimates contemplate current and expected future conditions, as applicable, however it is reasonably possible that actual conditions could differ from expectations, which could materially affect the Company’s results of operations and financial position.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primarily recognized at the point in time the customer obtains control of the products, in an amount that reflects the consideration the Company expects to be entitled to in exchange for those products.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an estimate for products expected to be returned are reflected as reductions of revenue at the time of sale. See NOTE 2 —REVENUE to the unaudited condensed consolidated financial statements included in this Quarterly Report on Form 10-Q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Cost of sales consist primarily of costs associated with the production and procurement of product, inbound freight costs, purchasing costs, royalties, and other product procurement related charges.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Distribution expenses consist primarily of warehousing expenses and freight-out expenses. Handling costs of products sold are included in cost of sales.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taking into consideration customer credit history and financial condition, industry and market segment information, credit reports, and economic trends and conditions such as the impacts of the COVID-19 pandemic. A considerable amount of judgment is required to assess the ultimate realization of these receivables, including assessing the initial and on-going creditworthiness of the Company’s customers.</w:t>
      </w:r>
    </w:p>
    <w:p>
      <w:pPr>
        <w:spacing w:after="0" w:line="188"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The Company has an uncommitted Receivables Purchase Agreement with HSBC Bank USA, National Association (“HSBC”) as Purchaser (the “Receivables Purchase Agreement”). The sale of accounts receivable, under the Receivables Purchase Agreement with HSBC, is excluded from the Company’s unaudited condensed consolidated balance sheets at the time of sale and the related sale expense is included in selling, general and administrative expenses in the Company’s unaudited condensed consolidated statements of operations. Pursuant to the Receivable Purchase Agreement, the Company sold to HSBC $30.0 million and $109.8 million of receivables during the three and nine months ended September 30, 2022, respectively and $33.7 million and $113.2 million of receivables during three and nine months ended September 30, 2021, respectively. Charges of $0.2 million and</w:t>
      </w:r>
    </w:p>
    <w:p>
      <w:pPr>
        <w:spacing w:after="0" w:line="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$0.1 million related to the sale of the receivables are included in selling, general and administrative expenses in the unaudited condensed consolidated statements of operations for the three months ended September 30, 2022 and 2021, respectively. Charges of $0.5 million and $0.3 million related to the sale of the receivables are included in selling, general and administrative expenses in the unaudited condensed consolidated statements of operations for the nine months ended September 30, 2022 and 2021, respectively. At September 30, 2022 and 2021, $20.2 million and $15.8 million, respectively, of receivables sold were outstanding and due to HSBC from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 of completion, disposal and transportation.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were as follows (in thousands):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9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9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Arial" w:cs="Arial" w:eastAsia="Arial" w:hAnsi="Arial"/>
                <w:sz w:val="18"/>
                <w:szCs w:val="18"/>
                <w:color w:val="auto"/>
              </w:rPr>
              <w:t>Total</w:t>
            </w:r>
          </w:p>
        </w:tc>
        <w:tc>
          <w:tcPr>
            <w:tcW w:w="49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269,723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4900" w:type="dxa"/>
            <w:vAlign w:val="bottom"/>
            <w:vMerge w:val="restart"/>
          </w:tcPr>
          <w:p>
            <w:pPr>
              <w:jc w:val="right"/>
              <w:ind w:right="2370"/>
              <w:spacing w:after="0"/>
              <w:rPr>
                <w:sz w:val="20"/>
                <w:szCs w:val="20"/>
                <w:color w:val="auto"/>
              </w:rPr>
            </w:pPr>
            <w:r>
              <w:rPr>
                <w:rFonts w:ascii="Arial" w:cs="Arial" w:eastAsia="Arial" w:hAnsi="Arial"/>
                <w:sz w:val="18"/>
                <w:szCs w:val="18"/>
                <w:color w:val="auto"/>
              </w:rPr>
              <w:t>- 9 -</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33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ABL Agreement and Term Loan (each as defined in NOTE 7 — DEBT to the unaudited condensed consolidated financial statements included in this Quarterly Report on Form 10-Q) approximate fair value since such borrowings bear interest at variable market rates.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Company accounts for derivative instruments in accordance with Accounting Standard Codification (“ASC”) Topic 815, </w:t>
      </w:r>
      <w:r>
        <w:rPr>
          <w:rFonts w:ascii="Arial" w:cs="Arial" w:eastAsia="Arial" w:hAnsi="Arial"/>
          <w:sz w:val="17"/>
          <w:szCs w:val="17"/>
          <w:i w:val="1"/>
          <w:iCs w:val="1"/>
          <w:color w:val="auto"/>
        </w:rPr>
        <w:t>Derivatives and Hedging</w:t>
      </w:r>
    </w:p>
    <w:p>
      <w:pPr>
        <w:spacing w:after="0" w:line="3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w:t>
      </w:r>
      <w:r>
        <w:rPr>
          <w:rFonts w:ascii="Arial" w:cs="Arial" w:eastAsia="Arial" w:hAnsi="Arial"/>
          <w:sz w:val="17"/>
          <w:szCs w:val="17"/>
          <w:color w:val="auto"/>
        </w:rPr>
        <w:t>“ASC 815”</w:t>
      </w:r>
      <w:r>
        <w:rPr>
          <w:rFonts w:ascii="Arial" w:cs="Arial" w:eastAsia="Arial" w:hAnsi="Arial"/>
          <w:sz w:val="17"/>
          <w:szCs w:val="17"/>
          <w:i w:val="1"/>
          <w:iCs w:val="1"/>
          <w:color w:val="auto"/>
        </w:rPr>
        <w:t>)</w:t>
      </w:r>
      <w:r>
        <w:rPr>
          <w:rFonts w:ascii="Arial" w:cs="Arial" w:eastAsia="Arial" w:hAnsi="Arial"/>
          <w:sz w:val="17"/>
          <w:szCs w:val="17"/>
          <w:color w:val="auto"/>
        </w:rPr>
        <w:t>. ASC 815 requires that all derivative instruments be recognized on the balance sheet at fair value as either an asset or liability. Changes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derivatives that qualify as hedges and have been designated as part of a hedging relationship for accounting purposes have no net impact on earnings until the hedged item is recognized in earnings. The changes in the fair value of hedges are included in accumulated other comprehensive loss and are subsequently recognized in the Company’s unaudited condensed consolidated statements of operations to mirror the location of the hedged items impacting earnings. Changes in fair value of derivatives that do not qualify as hedging instruments for accounting purposes are recorded in the Company’s unaudited condensed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w:t>
      </w:r>
    </w:p>
    <w:p>
      <w:pPr>
        <w:spacing w:after="0" w:line="18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it relates to the goodwill assessment, the Company first assesses qualitative factors to determine whether it is more likely than not that the fair value of a reporting unit is less than its carrying amount as a basis for determining whether it is necessary to perform the quantitative goodwill impairment testing described in the Financial Accounting Standards Board's (“FASB”) Accounting Standards Update No. (“ASU”) Topic 350, Intangibles – Goodwill and Other. If, after assessing qualitative factors, the Company determines that it is not more likely than not that the fair value of a reporting unit is less than its carrying amount, then performing the quantitative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w:t>
      </w:r>
    </w:p>
    <w:p>
      <w:pPr>
        <w:spacing w:after="0" w:line="16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reviews goodwill and other intangibles that have indefinite lives for impairment annually as of October 1 or when events or changes in circumstances indicate the carrying value of these assets might exceed their current fair values. Impairment testing is based upon the best information available, including estimates of fair value which incorporate assumptions marketplace participants would use in making their estimates of fair value.</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significant assumptions used under the income approach, or discounted cash flow method, are projected net sales, projected earnings before interest, tax, depreciation and amortization (“EBITDA”), terminal growth rates, and the cost of capital. Projected net sales, projected EBITDA and terminal growth rates were determined to be significant assumptions because they are three primary drivers of the projected cash flows in the discounted cash flow fair value model. Cost of capital was also determined to be a significant assumption as it is the discount rate used to calculate the current fair value of those projected cash flows. For the guideline public company method, significant assumptions relate to the selection of appropriate guideline companies and related valuation multiples used in the market analysis.</w:t>
      </w:r>
    </w:p>
    <w:p>
      <w:pPr>
        <w:spacing w:after="0" w:line="19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Although the Company believes the assumptions and estimates made are reasonable and appropriate, different assumptions and estimates could materially impact its reported financial results. In addition, sustained declines in the Company’s stock price and related market capitalization could impact key assumptions in the overall estimated fair values of its reporting units and could result in non-cash impairment charges that could be material to the Company’s consolidated balance sheet or results of operations. Should the carrying value of a reporting unit be in excess of the estimated fair value of that reporting unit, an impairment charge will be recorded to reduce the reporting unit to fair value.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also evaluates qualitative factors to determine whether impairment indicators exist for its indefinite lived intangibles and performs quantitative tests if required. These tests can include the relief from royalty model or other valuation models.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carrying amount of the asset is not recoverable, the impairment to be recognized is measured by the amount by which the carrying amount of each long-lived asset exceeds the fair value of the asset. See NOTE 6 — INTANGIBLE ASSETS to the unaudited condensed consolidated financial statements included in this Quarterly Report on Form 10-Q for additional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included in property and equipment, net, accrued expenses and other long-term liabilities. The Company’s finance leases are not material to the Company’s condensed consolidated balance sheets.</w:t>
      </w:r>
    </w:p>
    <w:p>
      <w:pPr>
        <w:spacing w:after="0" w:line="18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6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self-insures certain portions of its health insurance plan. The Company maintains an accrual for estimated unpaid claims and claims incurred but not yet reported (“IBNR”). Although management believes that it uses the best information available to estimate IBNR claims, actual claims may vary significantly from estimated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Generally, a liability has been incurred at the communication date for severance. Charges associated with lease terminations, related to restructuring activities, are recognized at the effective date of the lease modification.</w:t>
      </w:r>
    </w:p>
    <w:p>
      <w:pPr>
        <w:spacing w:after="0" w:line="76"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On October 18, 2022, the Company's management approved a reorganization plan related to a reduction in its U.K. workforce. The reorganization is the result of the Company’s efforts to realign the management and operating structure of the U.K. business in response to changing market conditions. The restructuring expense expected to be incurred with this plan is $0.6 million and will be recorded in the fourth quarter of 2022. The Company expects the restructuring to be completed in Q4 2022, and expects annual savings of $2.3 million associated with the plan.</w:t>
      </w:r>
    </w:p>
    <w:p>
      <w:pPr>
        <w:spacing w:after="0" w:line="63"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On November 1, 2022, the Company entered into a transition agreement with its Executive Chairman, Jeffrey Siegel, which terminates his employment with the Company on March 31, 2023. The transition agreement amends Mr. Siegel’s employment agreement which was set to expire on December 31, 2022. The employment agreement provides for a one-time termination</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payment which will now be paid upon the expiration of the transition agreement. The Company estimates the one-time termination payment to be approximately $1.4 million and expects it to be recognized over the remaining employment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Effective January 1, 2022, the Company adopted ASU No. 2021-08, Business Combinations (Topic 805): Accounting for Contract Assets and Contract Liabilities from Contracts with Customers (ASU 2021-08), which clarifies that an acquirer of a business should recognize and measure contract assets and contract liabilities in a business combination in accordance with Accounting Standards Codification (ASC) Topic 606, Revenue from Contracts with Customers. The adoption did not have a material impact on the Company’s condensed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Updates not listed below were assessed and either determined to not be applicable or are expected to have a minimal effect on the Company’s financial position, results of operations, and disclosures.</w:t>
      </w:r>
    </w:p>
    <w:p>
      <w:pPr>
        <w:spacing w:after="0" w:line="17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In June 2016, the FASB issued ASU 2016-13, Measurement of Credit Losses on Financial Instruments. This guidance introduces a new model for recognizing credit losses on financial instruments based on an estimate of current expected credit losses. ASU 2016-13 also provides updated guidance regarding the impairment of available-for-sale debt securities and includes additional disclosure requirements. The new guidance is effective for public business entities that meet the definition of a Smaller Reporting Company, as defined by the Securities and Exchange Commission for interim and annual periods beginning after December 15, 2022. The Company met the definition of a Smaller Reporting Company as of the one-time determination date of November 15, 2019. Early adoption is permitted. Management expects the adoption of ASU 2016-13 will not have a material impact on the Company's consolidated financial statements.</w:t>
      </w:r>
    </w:p>
    <w:p>
      <w:pPr>
        <w:spacing w:after="0" w:line="19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which provides optional expedients and exceptions to account for contract modifications, hedging relationships and other transactions that reference the London Inter-Bank Offered Rate (“LIBOR”) or another reference rate that is expected to be discontinued as a result of reference rate reform. The guidance in ASU 2020-04 may be applied to contract modifications and hedging relationships as of any date from March 12, 2020, but no later than December 31, 2022, and should be applied on a prospective basis. The Company has not yet applied the guidance in ASU 2020-04 and is currently evaluating the impact of this standard on its consolidated financial statements and related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sells products wholesale, to retailers and distributors, and sells products retail, directly to consumers.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$1.2 million and $3.2 million for the three and nine months ended September 30, 2022, respectively, and $1.0 million and $2.4 million for the three and nine months ended September 30, 2021, respectively. Net sales exclude taxes that are collected from customers and remitted to the taxing authorities.</w:t>
      </w:r>
    </w:p>
    <w:p>
      <w:pPr>
        <w:spacing w:after="0" w:line="168" w:lineRule="exact"/>
        <w:rPr>
          <w:sz w:val="20"/>
          <w:szCs w:val="20"/>
          <w:color w:val="auto"/>
        </w:rPr>
      </w:pPr>
    </w:p>
    <w:p>
      <w:pPr>
        <w:ind w:right="220"/>
        <w:spacing w:after="0" w:line="296" w:lineRule="auto"/>
        <w:rPr>
          <w:sz w:val="20"/>
          <w:szCs w:val="20"/>
          <w:color w:val="auto"/>
        </w:rPr>
      </w:pPr>
      <w:r>
        <w:rPr>
          <w:rFonts w:ascii="Arial" w:cs="Arial" w:eastAsia="Arial" w:hAnsi="Arial"/>
          <w:sz w:val="16"/>
          <w:szCs w:val="16"/>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which represent forms of variable consideration and an estimate of sales returns, are reflected as reductions in net sales in the Company’s unaudited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which the components of variable consideration are constrained. Payment terms vary by customer, but generally range from 30 to 90 days or at the point of sale for the Company’s retail direct sales.</w:t>
      </w:r>
    </w:p>
    <w:p>
      <w:pPr>
        <w:spacing w:after="0" w:line="170"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unaudited condensed consolidated statements of operations. Incidental items that are immaterial in the context of the contract are expensed as incurred.</w:t>
      </w:r>
    </w:p>
    <w:p>
      <w:pPr>
        <w:spacing w:after="0" w:line="149" w:lineRule="exact"/>
        <w:rPr>
          <w:sz w:val="20"/>
          <w:szCs w:val="20"/>
          <w:color w:val="auto"/>
        </w:rPr>
      </w:pPr>
    </w:p>
    <w:p>
      <w:pPr>
        <w:ind w:right="340"/>
        <w:spacing w:after="0" w:line="269" w:lineRule="auto"/>
        <w:rPr>
          <w:sz w:val="20"/>
          <w:szCs w:val="20"/>
          <w:color w:val="auto"/>
        </w:rPr>
      </w:pPr>
      <w:r>
        <w:rPr>
          <w:rFonts w:ascii="Arial" w:cs="Arial" w:eastAsia="Arial" w:hAnsi="Arial"/>
          <w:sz w:val="18"/>
          <w:szCs w:val="18"/>
          <w:color w:val="auto"/>
        </w:rPr>
        <w:t>The following tables present the Company’s net sales disaggregated by segment, product category and geographic region for the three and nine months ended September 30, 2022 and 2021 (in thousands):</w:t>
      </w:r>
    </w:p>
    <w:tbl>
      <w:tblPr>
        <w:tblLayout w:type="fixed"/>
        <w:tblInd w:w="0" w:type="dxa"/>
        <w:tblCellMar>
          <w:top w:w="0" w:type="dxa"/>
          <w:left w:w="0" w:type="dxa"/>
          <w:bottom w:w="0" w:type="dxa"/>
          <w:right w:w="0" w:type="dxa"/>
        </w:tblCellMar>
      </w:tblPr>
      <w:tr>
        <w:trPr>
          <w:trHeight w:val="186"/>
        </w:trPr>
        <w:tc>
          <w:tcPr>
            <w:tcW w:w="5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6"/>
                <w:szCs w:val="16"/>
                <w:color w:val="auto"/>
              </w:rPr>
            </w:pPr>
          </w:p>
        </w:tc>
        <w:tc>
          <w:tcPr>
            <w:tcW w:w="234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Nine Months Ended</w:t>
            </w:r>
          </w:p>
        </w:tc>
      </w:tr>
      <w:tr>
        <w:trPr>
          <w:trHeight w:val="203"/>
        </w:trPr>
        <w:tc>
          <w:tcPr>
            <w:tcW w:w="5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7"/>
                <w:szCs w:val="17"/>
                <w:color w:val="auto"/>
              </w:rPr>
            </w:pPr>
          </w:p>
        </w:tc>
      </w:tr>
      <w:tr>
        <w:trPr>
          <w:trHeight w:val="26"/>
        </w:trPr>
        <w:tc>
          <w:tcPr>
            <w:tcW w:w="5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9"/>
        </w:trPr>
        <w:tc>
          <w:tcPr>
            <w:tcW w:w="57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2021</w:t>
            </w: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29"/>
        </w:trPr>
        <w:tc>
          <w:tcPr>
            <w:tcW w:w="5760" w:type="dxa"/>
            <w:vAlign w:val="bottom"/>
          </w:tcPr>
          <w:p>
            <w:pPr>
              <w:ind w:left="360"/>
              <w:spacing w:after="0"/>
              <w:rPr>
                <w:sz w:val="20"/>
                <w:szCs w:val="20"/>
                <w:color w:val="auto"/>
              </w:rPr>
            </w:pPr>
            <w:r>
              <w:rPr>
                <w:rFonts w:ascii="Arial" w:cs="Arial" w:eastAsia="Arial" w:hAnsi="Arial"/>
                <w:sz w:val="18"/>
                <w:szCs w:val="18"/>
                <w:color w:val="auto"/>
              </w:rPr>
              <w:t>Kitchenware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92,587</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113,429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291,062</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337,051</w:t>
            </w:r>
          </w:p>
        </w:tc>
      </w:tr>
      <w:tr>
        <w:trPr>
          <w:trHeight w:val="230"/>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Tableware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119,188</w:t>
            </w:r>
          </w:p>
        </w:tc>
      </w:tr>
      <w:tr>
        <w:trPr>
          <w:trHeight w:val="229"/>
        </w:trPr>
        <w:tc>
          <w:tcPr>
            <w:tcW w:w="57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Home Solutions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35,716</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84,130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84,249</w:t>
            </w: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U.S. segment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172,818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197,724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476,227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540,488</w:t>
            </w:r>
          </w:p>
        </w:tc>
      </w:tr>
      <w:tr>
        <w:trPr>
          <w:trHeight w:val="237"/>
        </w:trPr>
        <w:tc>
          <w:tcPr>
            <w:tcW w:w="5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44,394</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66,578</w:t>
            </w:r>
          </w:p>
        </w:tc>
      </w:tr>
      <w:tr>
        <w:trPr>
          <w:trHeight w:val="223"/>
        </w:trPr>
        <w:tc>
          <w:tcPr>
            <w:tcW w:w="5760" w:type="dxa"/>
            <w:vAlign w:val="bottom"/>
          </w:tcPr>
          <w:p>
            <w:pPr>
              <w:ind w:left="100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186,590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224,777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520,621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607,066</w:t>
            </w:r>
          </w:p>
        </w:tc>
      </w:tr>
      <w:tr>
        <w:trPr>
          <w:trHeight w:val="20"/>
        </w:trPr>
        <w:tc>
          <w:tcPr>
            <w:tcW w:w="5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37"/>
        </w:trPr>
        <w:tc>
          <w:tcPr>
            <w:tcW w:w="5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r>
      <w:tr>
        <w:trPr>
          <w:trHeight w:val="230"/>
        </w:trPr>
        <w:tc>
          <w:tcPr>
            <w:tcW w:w="576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163,304</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189,456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454,356</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522,170</w:t>
            </w:r>
          </w:p>
        </w:tc>
      </w:tr>
      <w:tr>
        <w:trPr>
          <w:trHeight w:val="229"/>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38,376</w:t>
            </w:r>
          </w:p>
        </w:tc>
      </w:tr>
      <w:tr>
        <w:trPr>
          <w:trHeight w:val="230"/>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 of World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46,520</w:t>
            </w:r>
          </w:p>
        </w:tc>
      </w:tr>
      <w:tr>
        <w:trPr>
          <w:trHeight w:val="248"/>
        </w:trPr>
        <w:tc>
          <w:tcPr>
            <w:tcW w:w="576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224,777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520,621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607,066</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S'well</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March 2, 2022, the Company acquired certain assets of Can't Live Without It, LLC. (dba S'well Bottle and which the Company refers to as “S'well”). The Company paid cash consideration of $18.0 million. The transaction also includes up to $5.0 million in contingent consideration, subject to the acquired brand reaching certain milestones.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2"/>
          </w:tcPr>
          <w:p>
            <w:pPr>
              <w:spacing w:after="0"/>
              <w:rPr>
                <w:sz w:val="20"/>
                <w:szCs w:val="20"/>
                <w:color w:val="auto"/>
              </w:rPr>
            </w:pPr>
            <w:r>
              <w:rPr>
                <w:rFonts w:ascii="Arial" w:cs="Arial" w:eastAsia="Arial" w:hAnsi="Arial"/>
                <w:sz w:val="18"/>
                <w:szCs w:val="18"/>
                <w:color w:val="auto"/>
              </w:rPr>
              <w:t>The preliminary purchase price was comprised of the following (in thousands):</w:t>
            </w:r>
          </w:p>
        </w:tc>
        <w:tc>
          <w:tcPr>
            <w:tcW w:w="11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35"/>
        </w:trPr>
        <w:tc>
          <w:tcPr>
            <w:tcW w:w="2200" w:type="dxa"/>
            <w:vAlign w:val="bottom"/>
          </w:tcPr>
          <w:p>
            <w:pPr>
              <w:spacing w:after="0"/>
              <w:rPr>
                <w:sz w:val="11"/>
                <w:szCs w:val="11"/>
                <w:color w:val="auto"/>
              </w:rPr>
            </w:pPr>
          </w:p>
        </w:tc>
        <w:tc>
          <w:tcPr>
            <w:tcW w:w="4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20" w:type="dxa"/>
            <w:vAlign w:val="bottom"/>
          </w:tcPr>
          <w:p>
            <w:pPr>
              <w:spacing w:after="0"/>
              <w:rPr>
                <w:sz w:val="11"/>
                <w:szCs w:val="11"/>
                <w:color w:val="auto"/>
              </w:rPr>
            </w:pPr>
          </w:p>
        </w:tc>
      </w:tr>
      <w:tr>
        <w:trPr>
          <w:trHeight w:val="230"/>
        </w:trPr>
        <w:tc>
          <w:tcPr>
            <w:tcW w:w="2200" w:type="dxa"/>
            <w:vAlign w:val="bottom"/>
          </w:tcPr>
          <w:p>
            <w:pPr>
              <w:spacing w:after="0"/>
              <w:rPr>
                <w:sz w:val="19"/>
                <w:szCs w:val="19"/>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w:t>
            </w:r>
          </w:p>
        </w:tc>
      </w:tr>
      <w:tr>
        <w:trPr>
          <w:trHeight w:val="229"/>
        </w:trPr>
        <w:tc>
          <w:tcPr>
            <w:tcW w:w="2200" w:type="dxa"/>
            <w:vAlign w:val="bottom"/>
          </w:tcPr>
          <w:p>
            <w:pPr>
              <w:spacing w:after="0"/>
              <w:rPr>
                <w:sz w:val="19"/>
                <w:szCs w:val="19"/>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Value of contingent consideration</w:t>
            </w:r>
          </w:p>
        </w:tc>
        <w:tc>
          <w:tcPr>
            <w:tcW w:w="11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r>
      <w:tr>
        <w:trPr>
          <w:trHeight w:val="248"/>
        </w:trPr>
        <w:tc>
          <w:tcPr>
            <w:tcW w:w="2200" w:type="dxa"/>
            <w:vAlign w:val="bottom"/>
          </w:tcPr>
          <w:p>
            <w:pPr>
              <w:spacing w:after="0"/>
              <w:rPr>
                <w:sz w:val="21"/>
                <w:szCs w:val="21"/>
                <w:color w:val="auto"/>
              </w:rPr>
            </w:pPr>
          </w:p>
        </w:tc>
        <w:tc>
          <w:tcPr>
            <w:tcW w:w="40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Total purchase price</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18,606</w:t>
            </w:r>
          </w:p>
        </w:tc>
      </w:tr>
      <w:tr>
        <w:trPr>
          <w:trHeight w:val="20"/>
        </w:trPr>
        <w:tc>
          <w:tcPr>
            <w:tcW w:w="220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value of contingent consideration represents the present value of estimated contingent payments of $0.7 million, related to the attainment of certain net sales contribution targets for the year 2024. Acquisition related costs of $0.9 million were recorded within selling, general and administrative expenses in the unaudited condensed consolidated statements of operations.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540"/>
        <w:spacing w:after="0" w:line="273" w:lineRule="auto"/>
        <w:rPr>
          <w:sz w:val="20"/>
          <w:szCs w:val="20"/>
          <w:color w:val="auto"/>
        </w:rPr>
      </w:pPr>
      <w:r>
        <w:rPr>
          <w:rFonts w:ascii="Arial" w:cs="Arial" w:eastAsia="Arial" w:hAnsi="Arial"/>
          <w:sz w:val="18"/>
          <w:szCs w:val="18"/>
          <w:color w:val="auto"/>
        </w:rPr>
        <w:t>The purchase price was allocated based on the Company’s preliminary estimate of the fair values of the assets acquired and liabilities assumed at the acquisition date,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1"/>
              </w:rPr>
              <w:t>Purchase Price Allocation</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r>
      <w:tr>
        <w:trPr>
          <w:trHeight w:val="230"/>
        </w:trPr>
        <w:tc>
          <w:tcPr>
            <w:tcW w:w="90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4,005</w:t>
            </w:r>
          </w:p>
        </w:tc>
      </w:tr>
      <w:tr>
        <w:trPr>
          <w:trHeight w:val="229"/>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assets</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90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r>
      <w:tr>
        <w:trPr>
          <w:trHeight w:val="229"/>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(3,685)</w:t>
            </w:r>
          </w:p>
        </w:tc>
      </w:tr>
      <w:tr>
        <w:trPr>
          <w:trHeight w:val="223"/>
        </w:trPr>
        <w:tc>
          <w:tcPr>
            <w:tcW w:w="9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allocated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18,606</w:t>
            </w:r>
          </w:p>
        </w:tc>
      </w:tr>
    </w:tbl>
    <w:p>
      <w:pPr>
        <w:spacing w:after="0" w:line="29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acquisition is being accounted for as a business combination using the acquisition method of accounting in accordance with FASB ASC Topic 805, Business Combinations (“ASC Topic 805”), which established a new basis of accounting for all identifiable assets acquired and liabilities assumed at fair value. ASC Topic 805 allows the acquiring company to adjust preliminary amounts recognized at the acquisition date to their subsequently determined final fair values during a measurement period, generally up to one year from the date of the acquisition. The preliminary estimated fair values that are not yet finalized relate to the valuation of accounts receivable, inventory, accounts payable, accrued expenses, intangibles, deferred taxes and valuation of the contingent consideration.</w:t>
      </w:r>
    </w:p>
    <w:p>
      <w:pPr>
        <w:spacing w:after="0" w:line="19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goodwill recognized results from such factors as assembled workforce and the value of other synergies expected from combining operations with the Company. The associated goodwill is deductible for tax purposes over 15 years. Goodwill and the trade name intangible asset are included in the U.S. segment. For financial purposes, the trade name intangible asset is amortized on a straight-line basis over its estimated useful life of 12 years (see NOTE 6 — INTANGIBLE ASSETS).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condensed consolidated statement of operations includes $8.0 million and $12.4 million of net sales attributable to the S'well brand for the three and nine months ended September 30, 2022,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&amp; Day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February 26, 2021, the Company acquired the business and certain assets of Year &amp; Day, a designer and distributor of ceramic dinnerware, stainless steel flatware and Italian glassware for cash in the amount of $0.2 million. The assets and operating results of the Year &amp; Day brand are reflected in the Company’s condensed consolidated financial statements in accordance with ASC Topic No. 805, Business Combinations, commencing from the acquisition date. The purchase price was allocated based on the fair values of the assets acquired which consisted of inventory of $0.3 million and liabilities assumed of $(0.1) million.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operating leases for corporate offices, distribution facilities, a manufacturing plant, and certain vehicles.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and nine months ended September 30, 2022 and 2021 were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2160" w:type="dxa"/>
            <w:vAlign w:val="bottom"/>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Nine Months Ended</w:t>
            </w:r>
          </w:p>
        </w:tc>
      </w:tr>
      <w:tr>
        <w:trPr>
          <w:trHeight w:val="196"/>
        </w:trPr>
        <w:tc>
          <w:tcPr>
            <w:tcW w:w="57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1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r>
      <w:tr>
        <w:trPr>
          <w:trHeight w:val="216"/>
        </w:trPr>
        <w:tc>
          <w:tcPr>
            <w:tcW w:w="578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color w:val="auto"/>
              </w:rPr>
              <w:t>Operating lease expenses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Fixed lease expense</w:t>
            </w:r>
          </w:p>
        </w:tc>
        <w:tc>
          <w:tcPr>
            <w:tcW w:w="780" w:type="dxa"/>
            <w:vAlign w:val="bottom"/>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4,463</w:t>
            </w:r>
          </w:p>
        </w:tc>
        <w:tc>
          <w:tcPr>
            <w:tcW w:w="100" w:type="dxa"/>
            <w:vAlign w:val="bottom"/>
          </w:tcPr>
          <w:p>
            <w:pPr>
              <w:spacing w:after="0"/>
              <w:rPr>
                <w:sz w:val="19"/>
                <w:szCs w:val="19"/>
                <w:color w:val="auto"/>
              </w:rPr>
            </w:pPr>
          </w:p>
        </w:tc>
        <w:tc>
          <w:tcPr>
            <w:tcW w:w="800" w:type="dxa"/>
            <w:vAlign w:val="bottom"/>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4"/>
              </w:rPr>
              <w:t>4,471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13,392</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13,467</w:t>
            </w: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expense</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1,187</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5,650</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5,388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16,311</w:t>
            </w:r>
          </w:p>
        </w:tc>
      </w:tr>
      <w:tr>
        <w:trPr>
          <w:trHeight w:val="20"/>
        </w:trPr>
        <w:tc>
          <w:tcPr>
            <w:tcW w:w="5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Expenses are recorded within distribution expenses and selling, general and administrative expenses on the unaudited condensed consolidated statement of operations.</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12" w:lineRule="exact"/>
        <w:rPr>
          <w:rFonts w:ascii="Arial" w:cs="Arial" w:eastAsia="Arial" w:hAnsi="Arial"/>
          <w:sz w:val="9"/>
          <w:szCs w:val="9"/>
          <w:color w:val="auto"/>
        </w:rPr>
      </w:pPr>
    </w:p>
    <w:p>
      <w:pPr>
        <w:ind w:left="5540" w:hanging="111"/>
        <w:spacing w:after="0"/>
        <w:tabs>
          <w:tab w:leader="none" w:pos="5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color w:val="auto"/>
        </w:rPr>
        <w:t>Supplemental cash flow information for lease related liabilities and assets for the nine months ended September 30, 2022 and 2021 were as follows (in thousands):</w:t>
      </w:r>
    </w:p>
    <w:p>
      <w:pPr>
        <w:jc w:val="center"/>
        <w:ind w:left="836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4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14,447</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14,556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8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80" w:type="dxa"/>
            <w:vAlign w:val="bottom"/>
            <w:gridSpan w:val="7"/>
          </w:tcPr>
          <w:p>
            <w:pPr>
              <w:jc w:val="right"/>
              <w:ind w:right="9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2,477</w:t>
            </w:r>
          </w:p>
        </w:tc>
        <w:tc>
          <w:tcPr>
            <w:tcW w:w="2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8440" w:type="dxa"/>
            <w:vAlign w:val="bottom"/>
          </w:tcPr>
          <w:p>
            <w:pPr>
              <w:spacing w:after="0"/>
              <w:rPr>
                <w:sz w:val="20"/>
                <w:szCs w:val="20"/>
                <w:color w:val="auto"/>
              </w:rPr>
            </w:pPr>
            <w:r>
              <w:rPr>
                <w:rFonts w:ascii="Arial" w:cs="Arial" w:eastAsia="Arial" w:hAnsi="Arial"/>
                <w:sz w:val="18"/>
                <w:szCs w:val="18"/>
                <w:color w:val="auto"/>
                <w:w w:val="90"/>
              </w:rPr>
              <w:t>The aggregate future lease payments for operating leases as of September 30, 2022 were as follows (in thousands):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44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(excluding the nine months ended September 30, 2022)</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18,879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17,766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2027</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112,474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Interest</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(20,081)</w:t>
            </w:r>
          </w:p>
        </w:tc>
        <w:tc>
          <w:tcPr>
            <w:tcW w:w="0" w:type="dxa"/>
            <w:vAlign w:val="bottom"/>
          </w:tcPr>
          <w:p>
            <w:pPr>
              <w:spacing w:after="0"/>
              <w:rPr>
                <w:sz w:val="1"/>
                <w:szCs w:val="1"/>
                <w:color w:val="auto"/>
              </w:rPr>
            </w:pP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Present value of lease payments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92,393</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4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 2022</w:t>
            </w:r>
          </w:p>
        </w:tc>
        <w:tc>
          <w:tcPr>
            <w:tcW w:w="0" w:type="dxa"/>
            <w:vAlign w:val="bottom"/>
          </w:tcPr>
          <w:p>
            <w:pPr>
              <w:spacing w:after="0"/>
              <w:rPr>
                <w:sz w:val="1"/>
                <w:szCs w:val="1"/>
                <w:color w:val="auto"/>
              </w:rPr>
            </w:pPr>
          </w:p>
        </w:tc>
      </w:tr>
      <w:tr>
        <w:trPr>
          <w:trHeight w:val="25"/>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3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As of September 30, 2022, the Company owned 24.7%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nine months ended September 30, 2022 and 2021 in the accompanying unaudited condensed consolidated statements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On June 30, 2021, Vasconia issued additional shares of its stock, which diluted the Company’s investment ownership from approximately 30%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27%. The Company recorded a non-cash gain of $1.7 million, increasing the Company’s investment balance. Additionally, a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 million was recognized for the proportionate share of the diluted ownership for amounts previously recognized in accumulated other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loss. The net loss of $0.3 million was included in equity in</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earnings, net of taxes, in the accompanying unaudited condensed consolidated statements of operations for the nine months ended September 30, 2021.</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29, 2021, the Company sold 2.2 million shares further reducing its ownership from approximately 27% to approximately 25% in Vasconia for net cash proceeds of approximately $3.1 million. As a result, the Company recorded a gain of $1.0 million, after decreasing the Company’s investment balance. The gain on the sale resulted in a tax expense of $0.1 million. Additionally, a loss of $1.4 million was recognized for the proportionate share of the reduced ownership for amounts previously recognized in accumulated other comprehensive loss. The net loss, including taxes, of $0.5 million was included in equity in earnings (losses), net of taxes, in the accompanying unaudited condensed consolidated statements of operations for the three and nine months ended September 30, 2021.</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rates of MXN 20.13 and MXN 20.46 at September 30, 2022 and December 31, 2021,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Company’s proportionate share of Vasconia’s net (loss) income has been translated from MXN to USD using the following exchange rates: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160" w:type="dxa"/>
            <w:vAlign w:val="bottom"/>
            <w:gridSpan w:val="4"/>
          </w:tcPr>
          <w:p>
            <w:pPr>
              <w:jc w:val="center"/>
              <w:ind w:left="388"/>
              <w:spacing w:after="0"/>
              <w:rPr>
                <w:sz w:val="20"/>
                <w:szCs w:val="20"/>
                <w:color w:val="auto"/>
              </w:rPr>
            </w:pPr>
            <w:r>
              <w:rPr>
                <w:rFonts w:ascii="Arial" w:cs="Arial" w:eastAsia="Arial" w:hAnsi="Arial"/>
                <w:sz w:val="14"/>
                <w:szCs w:val="14"/>
                <w:b w:val="1"/>
                <w:bCs w:val="1"/>
                <w:color w:val="auto"/>
                <w:w w:val="93"/>
              </w:rPr>
              <w:t>Three Months Ended</w:t>
            </w:r>
          </w:p>
        </w:tc>
        <w:tc>
          <w:tcPr>
            <w:tcW w:w="680" w:type="dxa"/>
            <w:vAlign w:val="bottom"/>
          </w:tcPr>
          <w:p>
            <w:pPr>
              <w:spacing w:after="0"/>
              <w:rPr>
                <w:sz w:val="14"/>
                <w:szCs w:val="14"/>
                <w:color w:val="auto"/>
              </w:rPr>
            </w:pPr>
          </w:p>
        </w:tc>
        <w:tc>
          <w:tcPr>
            <w:tcW w:w="2640" w:type="dxa"/>
            <w:vAlign w:val="bottom"/>
            <w:gridSpan w:val="3"/>
          </w:tcPr>
          <w:p>
            <w:pPr>
              <w:jc w:val="center"/>
              <w:ind w:right="19"/>
              <w:spacing w:after="0"/>
              <w:rPr>
                <w:sz w:val="20"/>
                <w:szCs w:val="20"/>
                <w:color w:val="auto"/>
              </w:rPr>
            </w:pPr>
            <w:r>
              <w:rPr>
                <w:rFonts w:ascii="Arial" w:cs="Arial" w:eastAsia="Arial" w:hAnsi="Arial"/>
                <w:sz w:val="14"/>
                <w:szCs w:val="14"/>
                <w:b w:val="1"/>
                <w:bCs w:val="1"/>
                <w:color w:val="auto"/>
                <w:w w:val="93"/>
              </w:rPr>
              <w:t>Nine Months Ended</w:t>
            </w:r>
          </w:p>
        </w:tc>
      </w:tr>
      <w:tr>
        <w:trPr>
          <w:trHeight w:val="192"/>
        </w:trPr>
        <w:tc>
          <w:tcPr>
            <w:tcW w:w="57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288"/>
              <w:spacing w:after="0"/>
              <w:rPr>
                <w:sz w:val="20"/>
                <w:szCs w:val="20"/>
                <w:color w:val="auto"/>
              </w:rPr>
            </w:pPr>
            <w:r>
              <w:rPr>
                <w:rFonts w:ascii="Arial" w:cs="Arial" w:eastAsia="Arial" w:hAnsi="Arial"/>
                <w:sz w:val="14"/>
                <w:szCs w:val="14"/>
                <w:b w:val="1"/>
                <w:bCs w:val="1"/>
                <w:color w:val="auto"/>
                <w:w w:val="91"/>
              </w:rPr>
              <w:t>September 30,</w:t>
            </w:r>
          </w:p>
        </w:tc>
        <w:tc>
          <w:tcPr>
            <w:tcW w:w="6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center"/>
              <w:ind w:right="39"/>
              <w:spacing w:after="0"/>
              <w:rPr>
                <w:sz w:val="20"/>
                <w:szCs w:val="20"/>
                <w:color w:val="auto"/>
              </w:rPr>
            </w:pPr>
            <w:r>
              <w:rPr>
                <w:rFonts w:ascii="Arial" w:cs="Arial" w:eastAsia="Arial" w:hAnsi="Arial"/>
                <w:sz w:val="14"/>
                <w:szCs w:val="14"/>
                <w:b w:val="1"/>
                <w:bCs w:val="1"/>
                <w:color w:val="auto"/>
                <w:w w:val="91"/>
              </w:rPr>
              <w:t>September 30,</w:t>
            </w:r>
          </w:p>
        </w:tc>
      </w:tr>
      <w:tr>
        <w:trPr>
          <w:trHeight w:val="196"/>
        </w:trPr>
        <w:tc>
          <w:tcPr>
            <w:tcW w:w="57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r>
      <w:tr>
        <w:trPr>
          <w:trHeight w:val="378"/>
        </w:trPr>
        <w:tc>
          <w:tcPr>
            <w:tcW w:w="6500" w:type="dxa"/>
            <w:vAlign w:val="bottom"/>
            <w:gridSpan w:val="2"/>
            <w:shd w:val="clear" w:color="auto" w:fill="CCEEFF"/>
          </w:tcPr>
          <w:p>
            <w:pPr>
              <w:jc w:val="right"/>
              <w:ind w:right="3588"/>
              <w:spacing w:after="0"/>
              <w:rPr>
                <w:sz w:val="20"/>
                <w:szCs w:val="20"/>
                <w:color w:val="auto"/>
              </w:rPr>
            </w:pPr>
            <w:r>
              <w:rPr>
                <w:rFonts w:ascii="Arial" w:cs="Arial" w:eastAsia="Arial" w:hAnsi="Arial"/>
                <w:sz w:val="18"/>
                <w:szCs w:val="18"/>
                <w:color w:val="auto"/>
                <w:w w:val="92"/>
              </w:rPr>
              <w:t>Average exchange rate (USD to MXN)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20.22</w:t>
            </w: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3"/>
              </w:rPr>
              <w:t>20.01</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20.02 - 20.50</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20.01 - 20.33</w:t>
            </w:r>
          </w:p>
        </w:tc>
      </w:tr>
    </w:tbl>
    <w:p>
      <w:pPr>
        <w:spacing w:after="0" w:line="29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effect of the translation of the Company’s investment, as well as the translation of Vasconia’s balance sheet, resulted in a decrease to the investment of $0.5 million and an increase of $1.3 million during the nine months ended September 30, 2022 and 2021, respectively. These translation effects are recorded in accumulated other comprehensive loss.</w:t>
      </w:r>
    </w:p>
    <w:p>
      <w:pPr>
        <w:spacing w:after="0" w:line="184" w:lineRule="exact"/>
        <w:rPr>
          <w:sz w:val="20"/>
          <w:szCs w:val="20"/>
          <w:color w:val="auto"/>
        </w:rPr>
      </w:pPr>
    </w:p>
    <w:p>
      <w:pPr>
        <w:ind w:right="40"/>
        <w:spacing w:after="0" w:line="269" w:lineRule="auto"/>
        <w:rPr>
          <w:sz w:val="20"/>
          <w:szCs w:val="20"/>
          <w:color w:val="auto"/>
        </w:rPr>
      </w:pPr>
      <w:r>
        <w:rPr>
          <w:rFonts w:ascii="Arial" w:cs="Arial" w:eastAsia="Arial" w:hAnsi="Arial"/>
          <w:sz w:val="18"/>
          <w:szCs w:val="18"/>
          <w:color w:val="auto"/>
        </w:rPr>
        <w:t>Summarized income statement information for the three and nine months ended September 30, 2022 and 2021 for Vasconia in USD and MXN is as follows (in thousands):</w:t>
      </w:r>
    </w:p>
    <w:p>
      <w:pPr>
        <w:jc w:val="center"/>
        <w:ind w:left="5140"/>
        <w:spacing w:after="0" w:line="225" w:lineRule="auto"/>
        <w:rPr>
          <w:sz w:val="20"/>
          <w:szCs w:val="20"/>
          <w:color w:val="auto"/>
        </w:rPr>
      </w:pPr>
      <w:r>
        <w:rPr>
          <w:rFonts w:ascii="Arial" w:cs="Arial" w:eastAsia="Arial" w:hAnsi="Arial"/>
          <w:sz w:val="14"/>
          <w:szCs w:val="14"/>
          <w:b w:val="1"/>
          <w:bCs w:val="1"/>
          <w:color w:val="auto"/>
        </w:rPr>
        <w:t>Three Months Ended</w:t>
      </w:r>
    </w:p>
    <w:p>
      <w:pPr>
        <w:jc w:val="center"/>
        <w:ind w:left="5140"/>
        <w:spacing w:after="0"/>
        <w:rPr>
          <w:sz w:val="20"/>
          <w:szCs w:val="20"/>
          <w:color w:val="auto"/>
        </w:rPr>
      </w:pPr>
      <w:r>
        <w:rPr>
          <w:rFonts w:ascii="Arial" w:cs="Arial" w:eastAsia="Arial" w:hAnsi="Arial"/>
          <w:sz w:val="14"/>
          <w:szCs w:val="14"/>
          <w:b w:val="1"/>
          <w:bCs w:val="1"/>
          <w:color w:val="auto"/>
        </w:rPr>
        <w:t>September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80" w:type="dxa"/>
            <w:vAlign w:val="bottom"/>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top w:val="single" w:sz="8" w:color="auto"/>
              <w:bottom w:val="single" w:sz="8" w:color="auto"/>
            </w:tcBorders>
          </w:tcPr>
          <w:p>
            <w:pPr>
              <w:spacing w:after="0"/>
              <w:rPr>
                <w:sz w:val="18"/>
                <w:szCs w:val="18"/>
                <w:color w:val="auto"/>
              </w:rPr>
            </w:pPr>
          </w:p>
        </w:tc>
      </w:tr>
      <w:tr>
        <w:trPr>
          <w:trHeight w:val="182"/>
        </w:trPr>
        <w:tc>
          <w:tcPr>
            <w:tcW w:w="5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USD</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color w:val="auto"/>
              </w:rPr>
              <w:t>MXN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color w:val="auto"/>
              </w:rPr>
              <w:t>MXN</w:t>
            </w: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56,488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1,236,289</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89,061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259,285</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4"/>
              </w:rPr>
              <w:t>(5,459)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77,756</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8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w w:val="94"/>
              </w:rPr>
              <w:t>(8,009)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(161,936)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59,063</w:t>
            </w:r>
          </w:p>
        </w:tc>
      </w:tr>
    </w:tbl>
    <w:p>
      <w:pPr>
        <w:spacing w:after="0" w:line="152"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Nine Months Ended</w:t>
      </w:r>
    </w:p>
    <w:p>
      <w:pPr>
        <w:spacing w:after="0" w:line="4" w:lineRule="exact"/>
        <w:rPr>
          <w:sz w:val="20"/>
          <w:szCs w:val="20"/>
          <w:color w:val="auto"/>
        </w:rPr>
      </w:pPr>
    </w:p>
    <w:p>
      <w:pPr>
        <w:jc w:val="center"/>
        <w:ind w:left="5120"/>
        <w:spacing w:after="0"/>
        <w:rPr>
          <w:sz w:val="20"/>
          <w:szCs w:val="20"/>
          <w:color w:val="auto"/>
        </w:rPr>
      </w:pPr>
      <w:r>
        <w:rPr>
          <w:rFonts w:ascii="Arial" w:cs="Arial" w:eastAsia="Arial" w:hAnsi="Arial"/>
          <w:sz w:val="14"/>
          <w:szCs w:val="14"/>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16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2021</w:t>
            </w:r>
          </w:p>
        </w:tc>
        <w:tc>
          <w:tcPr>
            <w:tcW w:w="1120" w:type="dxa"/>
            <w:vAlign w:val="bottom"/>
            <w:tcBorders>
              <w:top w:val="single" w:sz="8" w:color="auto"/>
              <w:bottom w:val="single" w:sz="8" w:color="auto"/>
            </w:tcBorders>
          </w:tcPr>
          <w:p>
            <w:pPr>
              <w:spacing w:after="0"/>
              <w:rPr>
                <w:sz w:val="17"/>
                <w:szCs w:val="17"/>
                <w:color w:val="auto"/>
              </w:rPr>
            </w:pPr>
          </w:p>
        </w:tc>
      </w:tr>
      <w:tr>
        <w:trPr>
          <w:trHeight w:val="182"/>
        </w:trPr>
        <w:tc>
          <w:tcPr>
            <w:tcW w:w="5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40" w:type="dxa"/>
            <w:vAlign w:val="bottom"/>
          </w:tcPr>
          <w:p>
            <w:pPr>
              <w:spacing w:after="0"/>
              <w:rPr>
                <w:sz w:val="15"/>
                <w:szCs w:val="15"/>
                <w:color w:val="auto"/>
              </w:rPr>
            </w:pPr>
          </w:p>
        </w:tc>
        <w:tc>
          <w:tcPr>
            <w:tcW w:w="1100" w:type="dxa"/>
            <w:vAlign w:val="bottom"/>
          </w:tcPr>
          <w:p>
            <w:pPr>
              <w:jc w:val="right"/>
              <w:ind w:right="474"/>
              <w:spacing w:after="0"/>
              <w:rPr>
                <w:sz w:val="20"/>
                <w:szCs w:val="20"/>
                <w:color w:val="auto"/>
              </w:rPr>
            </w:pPr>
            <w:r>
              <w:rPr>
                <w:rFonts w:ascii="Arial" w:cs="Arial" w:eastAsia="Arial" w:hAnsi="Arial"/>
                <w:sz w:val="14"/>
                <w:szCs w:val="14"/>
                <w:color w:val="auto"/>
              </w:rPr>
              <w:t>MXN</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color w:val="auto"/>
              </w:rPr>
              <w:t>USD</w:t>
            </w:r>
          </w:p>
        </w:tc>
        <w:tc>
          <w:tcPr>
            <w:tcW w:w="320" w:type="dxa"/>
            <w:vAlign w:val="bottom"/>
          </w:tcPr>
          <w:p>
            <w:pPr>
              <w:spacing w:after="0"/>
              <w:rPr>
                <w:sz w:val="15"/>
                <w:szCs w:val="15"/>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color w:val="auto"/>
              </w:rPr>
              <w:t>MXN</w:t>
            </w: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187,001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3,785,921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3,508,858</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29,629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600,976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40,837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821,125</w:t>
            </w: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284,799</w:t>
            </w: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(4,875)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(98,366)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91,063</w:t>
            </w:r>
          </w:p>
        </w:tc>
      </w:tr>
    </w:tbl>
    <w:p>
      <w:pPr>
        <w:spacing w:after="0" w:line="29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recorded equity in losses of Vasconia, net of taxes, of $8.2 million and $7.4 million for the three and nine months ended September 30, 2022, respectively. Equity in losses for the three and nine months ended September 30, 2022, included a non-cash charge of $6.2 million for an impairment charge to write-down the Company's investment balance to fair value, as discussed below. The Company recorded equity in earnings of Vasconia, net of taxes, of $0.7 million and $1.2 million for the three and nine months ended September 30, 2021, respectively.</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Included within the Company's unaudited condensed consolidated balance sheets were the following amounts due to and due from Vasconia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4760" w:type="dxa"/>
            <w:vAlign w:val="bottom"/>
            <w:gridSpan w:val="2"/>
          </w:tcPr>
          <w:p>
            <w:pPr>
              <w:ind w:left="198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420" w:type="dxa"/>
            <w:vAlign w:val="bottom"/>
          </w:tcPr>
          <w:p>
            <w:pPr>
              <w:jc w:val="right"/>
              <w:ind w:right="122"/>
              <w:spacing w:after="0"/>
              <w:rPr>
                <w:sz w:val="20"/>
                <w:szCs w:val="20"/>
                <w:color w:val="auto"/>
              </w:rPr>
            </w:pPr>
            <w:r>
              <w:rPr>
                <w:rFonts w:ascii="Arial" w:cs="Arial" w:eastAsia="Arial" w:hAnsi="Arial"/>
                <w:sz w:val="14"/>
                <w:szCs w:val="14"/>
                <w:b w:val="1"/>
                <w:bCs w:val="1"/>
                <w:color w:val="auto"/>
                <w:w w:val="95"/>
              </w:rPr>
              <w:t>December 31, 2021</w:t>
            </w:r>
          </w:p>
        </w:tc>
      </w:tr>
      <w:tr>
        <w:trPr>
          <w:trHeight w:val="26"/>
        </w:trPr>
        <w:tc>
          <w:tcPr>
            <w:tcW w:w="3180" w:type="dxa"/>
            <w:vAlign w:val="bottom"/>
            <w:tcBorders>
              <w:bottom w:val="single" w:sz="8" w:color="auto"/>
            </w:tcBorders>
          </w:tcPr>
          <w:p>
            <w:pPr>
              <w:spacing w:after="0"/>
              <w:rPr>
                <w:sz w:val="2"/>
                <w:szCs w:val="2"/>
                <w:color w:val="auto"/>
              </w:rPr>
            </w:pPr>
          </w:p>
        </w:tc>
        <w:tc>
          <w:tcPr>
            <w:tcW w:w="4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476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ind w:left="1220"/>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10"/>
        </w:trPr>
        <w:tc>
          <w:tcPr>
            <w:tcW w:w="318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4760" w:type="dxa"/>
            <w:vAlign w:val="bottom"/>
            <w:gridSpan w:val="2"/>
          </w:tcPr>
          <w:p>
            <w:pPr>
              <w:ind w:left="760"/>
              <w:spacing w:after="0"/>
              <w:rPr>
                <w:sz w:val="20"/>
                <w:szCs w:val="20"/>
                <w:color w:val="auto"/>
              </w:rPr>
            </w:pPr>
            <w:r>
              <w:rPr>
                <w:rFonts w:ascii="Arial" w:cs="Arial" w:eastAsia="Arial" w:hAnsi="Arial"/>
                <w:sz w:val="16"/>
                <w:szCs w:val="16"/>
                <w:color w:val="auto"/>
              </w:rPr>
              <w:t>Accrued expenses and Accounts payable</w:t>
            </w:r>
          </w:p>
        </w:tc>
        <w:tc>
          <w:tcPr>
            <w:tcW w:w="140" w:type="dxa"/>
            <w:vAlign w:val="bottom"/>
          </w:tcPr>
          <w:p>
            <w:pPr>
              <w:spacing w:after="0"/>
              <w:rPr>
                <w:sz w:val="18"/>
                <w:szCs w:val="18"/>
                <w:color w:val="auto"/>
              </w:rPr>
            </w:pPr>
          </w:p>
        </w:tc>
        <w:tc>
          <w:tcPr>
            <w:tcW w:w="1440" w:type="dxa"/>
            <w:vAlign w:val="bottom"/>
          </w:tcPr>
          <w:p>
            <w:pPr>
              <w:ind w:left="12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(146)</w:t>
            </w:r>
          </w:p>
        </w:tc>
      </w:tr>
    </w:tbl>
    <w:p>
      <w:pPr>
        <w:spacing w:after="0" w:line="302"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 fair value (based on Level 1 inputs using the quoted stock price) of the Company's investment in Vasconia declined in the third quarter. As a result of the decline in the quoted stock price and the quarterly decline in the operating results of Vasconia the Company determined the decline in fair value was other than temporary. The Company reduced its investment by $6.2 million during the three months ended September 30, 2022 to its fair value. The carrying value of the Company’s investment in Vasconia, after the recorded impairment, was $14.4 million as of September 30, 2022.</w:t>
      </w:r>
    </w:p>
    <w:p>
      <w:pPr>
        <w:spacing w:after="0" w:line="15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As of December 31, 2021, the fair value (based on Level 1 inputs using the quoted stock price) of the Company’s investment in Vasconia was $31.5 million. The carrying value of the Company’s investment in Vasconia was $22.3 million as of December 31, 2021, respectively.</w:t>
      </w:r>
    </w:p>
    <w:p>
      <w:pPr>
        <w:spacing w:after="0" w:line="200" w:lineRule="exact"/>
        <w:rPr>
          <w:sz w:val="20"/>
          <w:szCs w:val="20"/>
          <w:color w:val="auto"/>
        </w:r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as of September 30, 2022 and December 31, 2021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September 30, 2022</w:t>
            </w: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 2021</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1"/>
                <w:szCs w:val="11"/>
                <w:color w:val="auto"/>
              </w:rPr>
            </w:pPr>
          </w:p>
        </w:tc>
        <w:tc>
          <w:tcPr>
            <w:tcW w:w="90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80" w:type="dxa"/>
            <w:vAlign w:val="bottom"/>
            <w:vMerge w:val="restart"/>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Impairment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880" w:type="dxa"/>
            <w:vAlign w:val="bottom"/>
            <w:vMerge w:val="restart"/>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5"/>
              </w:rPr>
              <w:t>Amortization</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30,271</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w w:val="97"/>
              </w:rPr>
              <w:t>Indefinite-lived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Trade names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49,600</w:t>
            </w:r>
          </w:p>
        </w:tc>
        <w:tc>
          <w:tcPr>
            <w:tcW w:w="0" w:type="dxa"/>
            <w:vAlign w:val="bottom"/>
          </w:tcPr>
          <w:p>
            <w:pPr>
              <w:spacing w:after="0"/>
              <w:rPr>
                <w:sz w:val="1"/>
                <w:szCs w:val="1"/>
                <w:color w:val="auto"/>
              </w:rPr>
            </w:pPr>
          </w:p>
        </w:tc>
      </w:tr>
      <w:tr>
        <w:trPr>
          <w:trHeight w:val="213"/>
        </w:trPr>
        <w:tc>
          <w:tcPr>
            <w:tcW w:w="2500" w:type="dxa"/>
            <w:vAlign w:val="bottom"/>
          </w:tcPr>
          <w:p>
            <w:pPr>
              <w:ind w:left="20"/>
              <w:spacing w:after="0"/>
              <w:rPr>
                <w:sz w:val="20"/>
                <w:szCs w:val="20"/>
                <w:color w:val="auto"/>
              </w:rPr>
            </w:pPr>
            <w:r>
              <w:rPr>
                <w:rFonts w:ascii="Arial" w:cs="Arial" w:eastAsia="Arial" w:hAnsi="Arial"/>
                <w:sz w:val="16"/>
                <w:szCs w:val="16"/>
                <w:b w:val="1"/>
                <w:bCs w:val="1"/>
                <w:color w:val="auto"/>
              </w:rPr>
              <w:t>Finite-lived intangible assets: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Licenses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15,847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4,649</w:t>
            </w:r>
          </w:p>
        </w:tc>
        <w:tc>
          <w:tcPr>
            <w:tcW w:w="0" w:type="dxa"/>
            <w:vAlign w:val="bottom"/>
          </w:tcPr>
          <w:p>
            <w:pPr>
              <w:spacing w:after="0"/>
              <w:rPr>
                <w:sz w:val="1"/>
                <w:szCs w:val="1"/>
                <w:color w:val="auto"/>
              </w:rPr>
            </w:pPr>
          </w:p>
        </w:tc>
      </w:tr>
      <w:tr>
        <w:trPr>
          <w:trHeight w:val="216"/>
        </w:trPr>
        <w:tc>
          <w:tcPr>
            <w:tcW w:w="2500" w:type="dxa"/>
            <w:vAlign w:val="bottom"/>
          </w:tcPr>
          <w:p>
            <w:pPr>
              <w:ind w:left="360"/>
              <w:spacing w:after="0" w:line="216" w:lineRule="exact"/>
              <w:rPr>
                <w:sz w:val="20"/>
                <w:szCs w:val="20"/>
                <w:color w:val="auto"/>
              </w:rPr>
            </w:pPr>
            <w:r>
              <w:rPr>
                <w:rFonts w:ascii="Arial" w:cs="Arial" w:eastAsia="Arial" w:hAnsi="Arial"/>
                <w:sz w:val="16"/>
                <w:szCs w:val="16"/>
                <w:color w:val="auto"/>
              </w:rPr>
              <w:t>Trade names</w:t>
            </w:r>
            <w:r>
              <w:rPr>
                <w:rFonts w:ascii="Arial" w:cs="Arial" w:eastAsia="Arial" w:hAnsi="Arial"/>
                <w:sz w:val="21"/>
                <w:szCs w:val="21"/>
                <w:color w:val="auto"/>
                <w:vertAlign w:val="superscript"/>
              </w:rPr>
              <w:t>(1)</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54,619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35,639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51,856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(23,829)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25,481</w:t>
            </w:r>
          </w:p>
        </w:tc>
        <w:tc>
          <w:tcPr>
            <w:tcW w:w="0" w:type="dxa"/>
            <w:vAlign w:val="bottom"/>
          </w:tcPr>
          <w:p>
            <w:pPr>
              <w:spacing w:after="0"/>
              <w:rPr>
                <w:sz w:val="1"/>
                <w:szCs w:val="1"/>
                <w:color w:val="auto"/>
              </w:rPr>
            </w:pPr>
          </w:p>
        </w:tc>
      </w:tr>
      <w:tr>
        <w:trPr>
          <w:trHeight w:val="216"/>
        </w:trPr>
        <w:tc>
          <w:tcPr>
            <w:tcW w:w="250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Customer relationships</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143,155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99,616</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tcPr>
          <w:p>
            <w:pPr>
              <w:ind w:left="36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2,662</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6,566</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3,061</w:t>
            </w:r>
          </w:p>
        </w:tc>
        <w:tc>
          <w:tcPr>
            <w:tcW w:w="0" w:type="dxa"/>
            <w:vAlign w:val="bottom"/>
          </w:tcPr>
          <w:p>
            <w:pPr>
              <w:spacing w:after="0"/>
              <w:rPr>
                <w:sz w:val="1"/>
                <w:szCs w:val="1"/>
                <w:color w:val="auto"/>
              </w:rPr>
            </w:pPr>
          </w:p>
        </w:tc>
      </w:tr>
      <w:tr>
        <w:trPr>
          <w:trHeight w:val="229"/>
        </w:trPr>
        <w:tc>
          <w:tcPr>
            <w:tcW w:w="2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302,285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217,526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331,385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(103,947)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212,678</w:t>
            </w:r>
          </w:p>
        </w:tc>
        <w:tc>
          <w:tcPr>
            <w:tcW w:w="0" w:type="dxa"/>
            <w:vAlign w:val="bottom"/>
          </w:tcPr>
          <w:p>
            <w:pPr>
              <w:spacing w:after="0"/>
              <w:rPr>
                <w:sz w:val="1"/>
                <w:szCs w:val="1"/>
                <w:color w:val="auto"/>
              </w:rPr>
            </w:pPr>
          </w:p>
        </w:tc>
      </w:tr>
      <w:tr>
        <w:trPr>
          <w:trHeight w:val="20"/>
        </w:trPr>
        <w:tc>
          <w:tcPr>
            <w:tcW w:w="2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340" w:firstLine="8"/>
        <w:spacing w:after="0" w:line="260" w:lineRule="auto"/>
        <w:tabs>
          <w:tab w:leader="none" w:pos="154"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The gross value and accumulated amortization at September 30, 2022 reflect a reduction of $44.1 million and $(29.3) million, respectively, for the net $14.8 million impairment charge on finite-lived intangible assets within the international segment during the period ended December 31, 2021.</w:t>
      </w:r>
    </w:p>
    <w:p>
      <w:pPr>
        <w:spacing w:after="0" w:line="18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 summary of the activities related to the Company’s intangible assets for the nine months ended September 30, 2022 consists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Intangible</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jc w:val="center"/>
              <w:ind w:right="56"/>
              <w:spacing w:after="0"/>
              <w:rPr>
                <w:sz w:val="20"/>
                <w:szCs w:val="20"/>
                <w:color w:val="auto"/>
              </w:rPr>
            </w:pPr>
            <w:r>
              <w:rPr>
                <w:rFonts w:ascii="Arial" w:cs="Arial" w:eastAsia="Arial" w:hAnsi="Arial"/>
                <w:sz w:val="14"/>
                <w:szCs w:val="14"/>
                <w:b w:val="1"/>
                <w:bCs w:val="1"/>
                <w:color w:val="auto"/>
                <w:w w:val="94"/>
              </w:rPr>
              <w:t>Total Intangible</w:t>
            </w:r>
          </w:p>
        </w:tc>
        <w:tc>
          <w:tcPr>
            <w:tcW w:w="0" w:type="dxa"/>
            <w:vAlign w:val="bottom"/>
          </w:tcPr>
          <w:p>
            <w:pPr>
              <w:spacing w:after="0"/>
              <w:rPr>
                <w:sz w:val="1"/>
                <w:szCs w:val="1"/>
                <w:color w:val="auto"/>
              </w:rPr>
            </w:pPr>
          </w:p>
        </w:tc>
      </w:tr>
      <w:tr>
        <w:trPr>
          <w:trHeight w:val="149"/>
        </w:trPr>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Goodwill</w:t>
            </w:r>
          </w:p>
        </w:tc>
        <w:tc>
          <w:tcPr>
            <w:tcW w:w="160" w:type="dxa"/>
            <w:vAlign w:val="bottom"/>
          </w:tcPr>
          <w:p>
            <w:pPr>
              <w:spacing w:after="0"/>
              <w:rPr>
                <w:sz w:val="12"/>
                <w:szCs w:val="12"/>
                <w:color w:val="auto"/>
              </w:rPr>
            </w:pPr>
          </w:p>
        </w:tc>
        <w:tc>
          <w:tcPr>
            <w:tcW w:w="12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8"/>
              </w:rPr>
              <w:t>Assets and</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Assets</w:t>
            </w:r>
          </w:p>
        </w:tc>
        <w:tc>
          <w:tcPr>
            <w:tcW w:w="2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76"/>
              <w:spacing w:after="0"/>
              <w:rPr>
                <w:sz w:val="20"/>
                <w:szCs w:val="20"/>
                <w:color w:val="auto"/>
              </w:rPr>
            </w:pPr>
            <w:r>
              <w:rPr>
                <w:rFonts w:ascii="Arial" w:cs="Arial" w:eastAsia="Arial" w:hAnsi="Arial"/>
                <w:sz w:val="14"/>
                <w:szCs w:val="14"/>
                <w:b w:val="1"/>
                <w:bCs w:val="1"/>
                <w:color w:val="auto"/>
                <w:w w:val="94"/>
              </w:rPr>
              <w:t>Goodwill</w:t>
            </w:r>
          </w:p>
        </w:tc>
        <w:tc>
          <w:tcPr>
            <w:tcW w:w="0" w:type="dxa"/>
            <w:vAlign w:val="bottom"/>
          </w:tcPr>
          <w:p>
            <w:pPr>
              <w:spacing w:after="0"/>
              <w:rPr>
                <w:sz w:val="1"/>
                <w:szCs w:val="1"/>
                <w:color w:val="auto"/>
              </w:rPr>
            </w:pPr>
          </w:p>
        </w:tc>
      </w:tr>
      <w:tr>
        <w:trPr>
          <w:trHeight w:val="229"/>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Goodwill and Intangible Assets, December 31, 2021</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182,407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212,678</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Acquisition of goodwill</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of trade name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(10,749)</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Arial" w:cs="Arial" w:eastAsia="Arial" w:hAnsi="Arial"/>
                <w:sz w:val="18"/>
                <w:szCs w:val="18"/>
                <w:b w:val="1"/>
                <w:bCs w:val="1"/>
                <w:color w:val="auto"/>
              </w:rPr>
              <w:t>Goodwill and Intangible Assets, September 30, 2022</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184,289</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33,237</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217,526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DEBT</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HSBC Bank USA, National Association and Wells Fargo Bank, National Association, as Co-Documentation Agents and Lenders, and Manufacturers and Traders Trust Company, as a Lender, that provides for the Company’s ABL facility. The ABL Agreement provides for a senior secured asset-based revolving credit facility in the maximum aggregate principal amount of $200.0 million, which facility will mature on August 26, 2027 (subject to an earlier springing maturity date that is 90 days prior to the Term Loan maturity date of February 28, 2025 if the Company’s Term Loan has not been repaid or refinanced by such date).</w:t>
      </w:r>
    </w:p>
    <w:p>
      <w:pPr>
        <w:spacing w:after="0" w:line="17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Company's loan agreement, dated as of March 2, 2018, (the “Term Loan Agreement” and together with the ABL Agreement, the “Debt Agreements”) provides for a senior secured term loan credit facility in the original principal amount of $275.0 million, which matures on February 28, 2025. The Term Loan Agreement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An estimate of the amount of the Excess Cash Flow payment is recorded in current maturity of term loan on the unaudited condensed consolidated balance sheets. Additionally, the Term Loan Agreement requires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quarterly payments, which commenced on June 30, 2018, of principal equal to 0.25% of the original aggregate principal amount of the Term Loan facility, which payments are to be adjusted from time to time to account for prepayments made. Per the Term Loan Agreement, when the Company makes an Excess Cash Flow payment, the payment is first applied to satisfy the next eight (8) scheduled future quarterly required payments of the Term Loan in order of maturity and then to the remaining scheduled installments on a pro rata basis. The quarterly principal payments have been satisfied through maturity of the Term Loan by the annual Excess Cash Flow payments made to date.</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maximum borrowing amount under the ABL Agreement may be increased to up to $250.0 million if certain conditions are met and further limited to $220.0 million pursuant to the Term Loan Agreement. One or more tranches of additional term loans (the “Incremental Term Facilities”) may be added under the Term Loan Agreement if certain conditions are met. The Incremental Facilities may not exceed the sum of (i) $50.0 million plus (ii) an unlimited amount so long as, in the case of (ii) only, the Company’s secured net leverage ratio, as defined in and computed on a pro forma basis pursuant to the Term Loan Agreement, after giving effect to such increase, is no greater than 3.75 to 1.00, subject to certain limitations and for the period defined pursuant to the Term Loan Agreement but not to mature earlier than the maturity date of the then existing term loans.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December 31, 2021,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(32,545)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164,690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146,341</w:t>
            </w:r>
          </w:p>
        </w:tc>
      </w:tr>
      <w:tr>
        <w:trPr>
          <w:trHeight w:val="23"/>
        </w:trPr>
        <w:tc>
          <w:tcPr>
            <w:tcW w:w="7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32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Availability under the ABL Agreement is limited to the lesser of the$200.0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means that the Company may have greater borrowing availability during the third and fourth quarters of each year. Consequently, the $200.0 million commitment thereunder may not represent actual borrowing capacity.</w:t>
      </w:r>
    </w:p>
    <w:p>
      <w:pPr>
        <w:spacing w:after="0" w:line="188"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tbl>
      <w:tblPr>
        <w:tblLayout w:type="fixed"/>
        <w:tblInd w:w="0" w:type="dxa"/>
        <w:tblCellMar>
          <w:top w:w="0" w:type="dxa"/>
          <w:left w:w="0" w:type="dxa"/>
          <w:bottom w:w="0" w:type="dxa"/>
          <w:right w:w="0" w:type="dxa"/>
        </w:tblCellMar>
      </w:tblPr>
      <w:tr>
        <w:trPr>
          <w:trHeight w:val="213"/>
        </w:trPr>
        <w:tc>
          <w:tcPr>
            <w:tcW w:w="7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160" w:type="dxa"/>
            <w:vAlign w:val="bottom"/>
          </w:tcPr>
          <w:p>
            <w:pPr>
              <w:spacing w:after="0"/>
              <w:rPr>
                <w:sz w:val="18"/>
                <w:szCs w:val="18"/>
                <w:color w:val="auto"/>
              </w:rPr>
            </w:pPr>
          </w:p>
        </w:tc>
        <w:tc>
          <w:tcPr>
            <w:tcW w:w="1660" w:type="dxa"/>
            <w:vAlign w:val="bottom"/>
          </w:tcPr>
          <w:p>
            <w:pPr>
              <w:jc w:val="right"/>
              <w:ind w:right="179"/>
              <w:spacing w:after="0"/>
              <w:rPr>
                <w:sz w:val="20"/>
                <w:szCs w:val="20"/>
                <w:color w:val="auto"/>
              </w:rPr>
            </w:pPr>
            <w:r>
              <w:rPr>
                <w:rFonts w:ascii="Arial" w:cs="Arial" w:eastAsia="Arial" w:hAnsi="Arial"/>
                <w:sz w:val="16"/>
                <w:szCs w:val="16"/>
                <w:b w:val="1"/>
                <w:bCs w:val="1"/>
                <w:color w:val="auto"/>
                <w:w w:val="95"/>
              </w:rPr>
              <w:t>December 31, 2021</w:t>
            </w:r>
          </w:p>
        </w:tc>
      </w:tr>
      <w:tr>
        <w:trPr>
          <w:trHeight w:val="199"/>
        </w:trPr>
        <w:tc>
          <w:tcPr>
            <w:tcW w:w="7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4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7,200</w:t>
            </w:r>
          </w:p>
        </w:tc>
      </w:tr>
      <w:tr>
        <w:trPr>
          <w:trHeight w:val="243"/>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40"/>
        </w:trPr>
        <w:tc>
          <w:tcPr>
            <w:tcW w:w="74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5,771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460" w:type="dxa"/>
            <w:vAlign w:val="bottom"/>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244,927</w:t>
            </w:r>
          </w:p>
        </w:tc>
      </w:tr>
      <w:tr>
        <w:trPr>
          <w:trHeight w:val="213"/>
        </w:trPr>
        <w:tc>
          <w:tcPr>
            <w:tcW w:w="74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r>
      <w:tr>
        <w:trPr>
          <w:trHeight w:val="23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242,505</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241,873</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estimated Excess Cash Flow principal payment recorded at September 30, 2022 represents the Company’s estimate for the 2023 Excess Cash Flow payment. The 2022 Excess Cash Flow payment, paid on March 30, 2022, totaled $6.2 million. The Excess Cash Flow payment differs from the estimated amount at December 31, 2021 of $7.2 million as certain lenders opted to decline their payments per the terms of the Term Loan Agreement.</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Agreement and (2) a first-priority lien, subject to certain permitted liens, with respect to certain assets of the Company and certain of its subsidiaries (the “Term Loan Collateral”) pledged as collateral in favor of lenders under the Term Loan Agreement and a second-priority lien in the Term Loan Collateral in favor of the lenders under the ABL Agreement.</w:t>
      </w:r>
    </w:p>
    <w:p>
      <w:pPr>
        <w:spacing w:after="0" w:line="17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September 30, 2022 was between 2.19% and 6.75%.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302" w:lineRule="auto"/>
        <w:tabs>
          <w:tab w:leader="none" w:pos="25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prime rate, (y) a federal funds and overnight bank funding based rate plus 0.5% or (z) one-month LIBOR, but not less than 1.0%, plus 1.0%, which alternate base rate shall not be less than 2.0%, plus a margin of 2.5% or (ii) LIBOR for the applicable interest period, multiplied by any statutory reserve rate, but not less than 1.0%, plus a margin of 3.5%. The interest rate on outstanding borrowings under the Term Loan at September 30, 2022 was 6.02%.</w:t>
      </w:r>
    </w:p>
    <w:p>
      <w:pPr>
        <w:spacing w:after="0" w:line="15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liens,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September 30, 2022.</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Prior to the amendment of the credit agreement, the Company’s ABL provided for an aggregate principal amount of $150.0 million. Upon entering into the Amendment to the ABL agreement the Company repaid its outstanding ABL borrowing in the amount of $32.0 million and re-borrowed such amounts under the ABL Agreement, as amended. Unamortized debt issuance costs that were written off were immaterial.</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 Agreements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$50.0 million at September 30, 2022.</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was $25.0 million at September 30, 2022.</w:t>
      </w:r>
    </w:p>
    <w:p>
      <w:pPr>
        <w:spacing w:after="0" w:line="14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September 30, 2022. These non-designated interest rate swaps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19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aggregate gross notional value of foreign exchange contracts at September 30, 2022 was $3.5 million. These foreign exchange contracts have been designated as hedges in order to apply hedge accounting.</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 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September 30, 2022, the Company did not have any foreign currency forward contract derivatives that are not designated as hedges. These foreign exchange contracts have been designated as hedges in to order to apply hedge accounting.</w:t>
      </w:r>
    </w:p>
    <w:p>
      <w:pPr>
        <w:spacing w:after="0" w:line="165" w:lineRule="exact"/>
        <w:rPr>
          <w:sz w:val="20"/>
          <w:szCs w:val="20"/>
          <w:color w:val="auto"/>
        </w:rPr>
      </w:pPr>
    </w:p>
    <w:p>
      <w:pPr>
        <w:ind w:right="520"/>
        <w:spacing w:after="0" w:line="269"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tbl>
      <w:tblPr>
        <w:tblLayout w:type="fixed"/>
        <w:tblInd w:w="0" w:type="dxa"/>
        <w:tblCellMar>
          <w:top w:w="0" w:type="dxa"/>
          <w:left w:w="0" w:type="dxa"/>
          <w:bottom w:w="0" w:type="dxa"/>
          <w:right w:w="0" w:type="dxa"/>
        </w:tblCellMar>
      </w:tblPr>
      <w:tr>
        <w:trPr>
          <w:trHeight w:val="186"/>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4420" w:type="dxa"/>
            <w:vAlign w:val="bottom"/>
            <w:gridSpan w:val="2"/>
          </w:tcPr>
          <w:p>
            <w:pPr>
              <w:ind w:left="164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Arial" w:cs="Arial" w:eastAsia="Arial" w:hAnsi="Arial"/>
                <w:sz w:val="14"/>
                <w:szCs w:val="14"/>
                <w:b w:val="1"/>
                <w:bCs w:val="1"/>
                <w:color w:val="auto"/>
                <w:w w:val="95"/>
              </w:rPr>
              <w:t>December 31, 2021</w:t>
            </w:r>
          </w:p>
        </w:tc>
      </w:tr>
      <w:tr>
        <w:trPr>
          <w:trHeight w:val="25"/>
        </w:trPr>
        <w:tc>
          <w:tcPr>
            <w:tcW w:w="35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5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288</w:t>
            </w:r>
          </w:p>
        </w:tc>
      </w:tr>
      <w:tr>
        <w:trPr>
          <w:trHeight w:val="219"/>
        </w:trPr>
        <w:tc>
          <w:tcPr>
            <w:tcW w:w="3520" w:type="dxa"/>
            <w:vAlign w:val="bottom"/>
            <w:shd w:val="clear" w:color="auto" w:fill="CCEEFF"/>
          </w:tcPr>
          <w:p>
            <w:pPr>
              <w:spacing w:after="0"/>
              <w:rPr>
                <w:sz w:val="19"/>
                <w:szCs w:val="19"/>
                <w:color w:val="auto"/>
              </w:rPr>
            </w:pP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Other long-term liabilities</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r>
      <w:tr>
        <w:trPr>
          <w:trHeight w:val="210"/>
        </w:trPr>
        <w:tc>
          <w:tcPr>
            <w:tcW w:w="352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4420" w:type="dxa"/>
            <w:vAlign w:val="bottom"/>
            <w:gridSpan w:val="2"/>
          </w:tcPr>
          <w:p>
            <w:pPr>
              <w:ind w:left="4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461</w:t>
            </w:r>
          </w:p>
        </w:tc>
      </w:tr>
      <w:tr>
        <w:trPr>
          <w:trHeight w:val="656"/>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4420" w:type="dxa"/>
            <w:vAlign w:val="bottom"/>
            <w:gridSpan w:val="2"/>
          </w:tcPr>
          <w:p>
            <w:pPr>
              <w:ind w:left="1640"/>
              <w:spacing w:after="0"/>
              <w:rPr>
                <w:sz w:val="20"/>
                <w:szCs w:val="20"/>
                <w:color w:val="auto"/>
              </w:rPr>
            </w:pPr>
            <w:r>
              <w:rPr>
                <w:rFonts w:ascii="Arial" w:cs="Arial" w:eastAsia="Arial" w:hAnsi="Arial"/>
                <w:sz w:val="14"/>
                <w:szCs w:val="14"/>
                <w:b w:val="1"/>
                <w:bCs w:val="1"/>
                <w:color w:val="auto"/>
              </w:rPr>
              <w:t>Balance Sheet Location</w:t>
            </w:r>
          </w:p>
        </w:tc>
        <w:tc>
          <w:tcPr>
            <w:tcW w:w="140" w:type="dxa"/>
            <w:vAlign w:val="bottom"/>
          </w:tcPr>
          <w:p>
            <w:pPr>
              <w:spacing w:after="0"/>
              <w:rPr>
                <w:sz w:val="24"/>
                <w:szCs w:val="24"/>
                <w:color w:val="auto"/>
              </w:rPr>
            </w:pPr>
          </w:p>
        </w:tc>
        <w:tc>
          <w:tcPr>
            <w:tcW w:w="156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2022</w:t>
            </w:r>
          </w:p>
        </w:tc>
        <w:tc>
          <w:tcPr>
            <w:tcW w:w="140" w:type="dxa"/>
            <w:vAlign w:val="bottom"/>
          </w:tcPr>
          <w:p>
            <w:pPr>
              <w:spacing w:after="0"/>
              <w:rPr>
                <w:sz w:val="24"/>
                <w:szCs w:val="24"/>
                <w:color w:val="auto"/>
              </w:rPr>
            </w:pPr>
          </w:p>
        </w:tc>
        <w:tc>
          <w:tcPr>
            <w:tcW w:w="1420" w:type="dxa"/>
            <w:vAlign w:val="bottom"/>
          </w:tcPr>
          <w:p>
            <w:pPr>
              <w:jc w:val="right"/>
              <w:ind w:right="121"/>
              <w:spacing w:after="0"/>
              <w:rPr>
                <w:sz w:val="20"/>
                <w:szCs w:val="20"/>
                <w:color w:val="auto"/>
              </w:rPr>
            </w:pPr>
            <w:r>
              <w:rPr>
                <w:rFonts w:ascii="Arial" w:cs="Arial" w:eastAsia="Arial" w:hAnsi="Arial"/>
                <w:sz w:val="14"/>
                <w:szCs w:val="14"/>
                <w:b w:val="1"/>
                <w:bCs w:val="1"/>
                <w:color w:val="auto"/>
                <w:w w:val="95"/>
              </w:rPr>
              <w:t>December 31, 2021</w:t>
            </w:r>
          </w:p>
        </w:tc>
      </w:tr>
      <w:tr>
        <w:trPr>
          <w:trHeight w:val="25"/>
        </w:trPr>
        <w:tc>
          <w:tcPr>
            <w:tcW w:w="3520" w:type="dxa"/>
            <w:vAlign w:val="bottom"/>
            <w:tcBorders>
              <w:bottom w:val="single" w:sz="8" w:color="auto"/>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442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3520" w:type="dxa"/>
            <w:vAlign w:val="bottom"/>
          </w:tcPr>
          <w:p>
            <w:pPr>
              <w:spacing w:after="0"/>
              <w:rPr>
                <w:sz w:val="18"/>
                <w:szCs w:val="18"/>
                <w:color w:val="auto"/>
              </w:rPr>
            </w:pPr>
          </w:p>
        </w:tc>
        <w:tc>
          <w:tcPr>
            <w:tcW w:w="4420" w:type="dxa"/>
            <w:vAlign w:val="bottom"/>
            <w:gridSpan w:val="2"/>
          </w:tcPr>
          <w:p>
            <w:pPr>
              <w:ind w:left="420"/>
              <w:spacing w:after="0"/>
              <w:rPr>
                <w:sz w:val="20"/>
                <w:szCs w:val="20"/>
                <w:color w:val="auto"/>
              </w:rPr>
            </w:pPr>
            <w:r>
              <w:rPr>
                <w:rFonts w:ascii="Arial" w:cs="Arial" w:eastAsia="Arial" w:hAnsi="Arial"/>
                <w:sz w:val="16"/>
                <w:szCs w:val="16"/>
                <w:color w:val="auto"/>
              </w:rPr>
              <w:t>Other long-term liabilities</w:t>
            </w:r>
          </w:p>
        </w:tc>
        <w:tc>
          <w:tcPr>
            <w:tcW w:w="14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680</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fair values of the interest rate swaps have been obtained from the counterparties to the agreements and were based on Level 2 observable inputs using proprietary models and estimates about relevant future market conditions. The fair values of the foreign exchange contracts were based on Level 2 observable inputs using quoted market prices for similar assets in an active market. The counterparties to the derivative financial instruments are major international financial institutions. The Company is exposed to credit risk for the net exchanges under these agreements, but not for the notional amounts. As of September 30, 2022, the Company did not anticipate non-performance by any of its counterparties.</w:t>
      </w:r>
    </w:p>
    <w:p>
      <w:pPr>
        <w:spacing w:after="0" w:line="176"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The amounts of gains and losses, realized and unrealized, related to the Company’s derivative financial instruments designated as hedging instruments are recognized in other comprehensive (loss) income, net of taxes, as follows (in thousands):</w:t>
      </w:r>
    </w:p>
    <w:tbl>
      <w:tblPr>
        <w:tblLayout w:type="fixed"/>
        <w:tblInd w:w="0" w:type="dxa"/>
        <w:tblCellMar>
          <w:top w:w="0" w:type="dxa"/>
          <w:left w:w="0" w:type="dxa"/>
          <w:bottom w:w="0" w:type="dxa"/>
          <w:right w:w="0" w:type="dxa"/>
        </w:tblCellMar>
      </w:tblPr>
      <w:tr>
        <w:trPr>
          <w:trHeight w:val="163"/>
        </w:trPr>
        <w:tc>
          <w:tcPr>
            <w:tcW w:w="5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jc w:val="right"/>
              <w:ind w:right="119"/>
              <w:spacing w:after="0" w:line="163" w:lineRule="exact"/>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4"/>
          </w:tcPr>
          <w:p>
            <w:pPr>
              <w:jc w:val="right"/>
              <w:ind w:right="559"/>
              <w:spacing w:after="0" w:line="163" w:lineRule="exact"/>
              <w:rPr>
                <w:sz w:val="20"/>
                <w:szCs w:val="20"/>
                <w:color w:val="auto"/>
              </w:rPr>
            </w:pPr>
            <w:r>
              <w:rPr>
                <w:rFonts w:ascii="Arial" w:cs="Arial" w:eastAsia="Arial" w:hAnsi="Arial"/>
                <w:sz w:val="16"/>
                <w:szCs w:val="16"/>
                <w:b w:val="1"/>
                <w:bCs w:val="1"/>
                <w:color w:val="auto"/>
              </w:rPr>
              <w:t>Nine Months Ended</w:t>
            </w:r>
          </w:p>
        </w:tc>
      </w:tr>
      <w:tr>
        <w:trPr>
          <w:trHeight w:val="210"/>
        </w:trPr>
        <w:tc>
          <w:tcPr>
            <w:tcW w:w="58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r>
      <w:tr>
        <w:trPr>
          <w:trHeight w:val="212"/>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2021</w:t>
            </w:r>
          </w:p>
        </w:tc>
      </w:tr>
      <w:tr>
        <w:trPr>
          <w:trHeight w:val="212"/>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r>
      <w:tr>
        <w:trPr>
          <w:trHeight w:val="213"/>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exchange contracts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w:t>
            </w:r>
          </w:p>
        </w:tc>
      </w:tr>
      <w:tr>
        <w:trPr>
          <w:trHeight w:val="235"/>
        </w:trPr>
        <w:tc>
          <w:tcPr>
            <w:tcW w:w="58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Realized gains and losses on the interest rate swaps that are reported in other comprehensive (loss) income are reclassified into earnings as the interest expense on the debt is recognized. The Company had no terminated or matured interest rate swaps during the three and nine months ended September 30, 2022.</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Realized gains and losses on foreign exchange contracts that are reported in other comprehensive (loss) income are reclassified into cost of sales as the underlying inventory purchased is sold.</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the three months ended September 30, 2022, the Company reclassified $0.3 million of cash flow hedges in accumulated other comprehensive losses to earnings. This was comprised of $0.03 million related to realized interest rate swap losses and a gain of $0.3 million related to foreign exchange contracts recognized in cost of sales. During the nine months ended September 30, 2022, the Company reclassified $0.3 million of cash flow hedges in accumulated other comprehensive losses to earnings. This was comprised of $0.3 million related to realized interest rate swap losses and a gain of</w:t>
      </w:r>
    </w:p>
    <w:p>
      <w:pPr>
        <w:spacing w:after="0" w:line="1"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$0.6 million related to foreign exchange contracts recognized in cost of sales. At September 30, 2022, the estimated amount of existing net gains expected to be reclassified into earnings within the next 12 months was $2.0 million.</w:t>
      </w:r>
    </w:p>
    <w:p>
      <w:pPr>
        <w:spacing w:after="0" w:line="18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During the three months ended September 30, 2021, the Company reclassified $0.5 million of cash flow hedges in accumulated other comprehensive losses to earnings. This was comprised of $0.2 million related to realized interest rate swap losses and a loss of $0.3 million related to foreign exchange contracts recognized in cost of sales. During the nine months ended September 30, 2021, the Company reclassified $1.3 million of cash flow hedges in accumulated other comprehensive losses to earnings. This was comprised of $0.7 million related to realized interest rate swap losses and a loss of $0.6 million related to foreign exchange contracts recognized in cost of sales.</w:t>
      </w:r>
    </w:p>
    <w:p>
      <w:pPr>
        <w:spacing w:after="0" w:line="188" w:lineRule="exact"/>
        <w:rPr>
          <w:sz w:val="20"/>
          <w:szCs w:val="20"/>
          <w:color w:val="auto"/>
        </w:rPr>
      </w:pPr>
    </w:p>
    <w:p>
      <w:pPr>
        <w:ind w:right="540"/>
        <w:spacing w:after="0" w:line="274" w:lineRule="auto"/>
        <w:rPr>
          <w:sz w:val="20"/>
          <w:szCs w:val="20"/>
          <w:color w:val="auto"/>
        </w:rPr>
      </w:pPr>
      <w:r>
        <w:rPr>
          <w:rFonts w:ascii="Arial" w:cs="Arial" w:eastAsia="Arial" w:hAnsi="Arial"/>
          <w:sz w:val="18"/>
          <w:szCs w:val="18"/>
          <w:color w:val="auto"/>
        </w:rPr>
        <w:t>Interest and mark to market gains (losses) related to the Company’s derivative financial instruments not designated as hedging instruments that were recognized in earnings are as follows (in thousands):</w:t>
      </w:r>
    </w:p>
    <w:tbl>
      <w:tblPr>
        <w:tblLayout w:type="fixed"/>
        <w:tblInd w:w="0" w:type="dxa"/>
        <w:tblCellMar>
          <w:top w:w="0" w:type="dxa"/>
          <w:left w:w="0" w:type="dxa"/>
          <w:bottom w:w="0" w:type="dxa"/>
          <w:right w:w="0" w:type="dxa"/>
        </w:tblCellMar>
      </w:tblPr>
      <w:tr>
        <w:trPr>
          <w:trHeight w:val="163"/>
        </w:trPr>
        <w:tc>
          <w:tcPr>
            <w:tcW w:w="29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3"/>
          </w:tcPr>
          <w:p>
            <w:pPr>
              <w:jc w:val="right"/>
              <w:spacing w:after="0" w:line="163" w:lineRule="exact"/>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ind w:left="220"/>
              <w:spacing w:after="0" w:line="163" w:lineRule="exact"/>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4"/>
          </w:tcPr>
          <w:p>
            <w:pPr>
              <w:ind w:left="420"/>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148"/>
        </w:trPr>
        <w:tc>
          <w:tcPr>
            <w:tcW w:w="292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8"/>
              </w:rPr>
              <w:t>Derivatives not designated as hedging</w:t>
            </w:r>
          </w:p>
        </w:tc>
        <w:tc>
          <w:tcPr>
            <w:tcW w:w="3520" w:type="dxa"/>
            <w:vAlign w:val="bottom"/>
            <w:vMerge w:val="restart"/>
          </w:tcPr>
          <w:p>
            <w:pPr>
              <w:ind w:left="1140"/>
              <w:spacing w:after="0"/>
              <w:rPr>
                <w:sz w:val="20"/>
                <w:szCs w:val="20"/>
                <w:color w:val="auto"/>
              </w:rPr>
            </w:pPr>
            <w:r>
              <w:rPr>
                <w:rFonts w:ascii="Arial" w:cs="Arial" w:eastAsia="Arial" w:hAnsi="Arial"/>
                <w:sz w:val="16"/>
                <w:szCs w:val="16"/>
                <w:b w:val="1"/>
                <w:bCs w:val="1"/>
                <w:color w:val="auto"/>
              </w:rPr>
              <w:t>Location of gain (loss)</w:t>
            </w:r>
          </w:p>
        </w:tc>
        <w:tc>
          <w:tcPr>
            <w:tcW w:w="1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instruments</w:t>
            </w:r>
          </w:p>
        </w:tc>
        <w:tc>
          <w:tcPr>
            <w:tcW w:w="35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64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9"/>
              </w:rPr>
              <w:t>Mark to market gain on interest rate derivatives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ind w:left="420"/>
              <w:spacing w:after="0"/>
              <w:rPr>
                <w:sz w:val="20"/>
                <w:szCs w:val="20"/>
                <w:color w:val="auto"/>
              </w:rPr>
            </w:pPr>
            <w:r>
              <w:rPr>
                <w:rFonts w:ascii="Arial" w:cs="Arial" w:eastAsia="Arial" w:hAnsi="Arial"/>
                <w:sz w:val="16"/>
                <w:szCs w:val="16"/>
                <w:color w:val="auto"/>
              </w:rPr>
              <w:t>1,990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7"/>
              </w:rPr>
              <w:t>664</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CCEEFF"/>
            </w:tcBorders>
          </w:tcPr>
          <w:p>
            <w:pPr>
              <w:spacing w:after="0"/>
              <w:rPr>
                <w:sz w:val="18"/>
                <w:szCs w:val="18"/>
                <w:color w:val="auto"/>
              </w:rPr>
            </w:pPr>
          </w:p>
        </w:tc>
        <w:tc>
          <w:tcPr>
            <w:tcW w:w="3640" w:type="dxa"/>
            <w:vAlign w:val="bottom"/>
            <w:tcBorders>
              <w:bottom w:val="single" w:sz="8" w:color="CCEEFF"/>
            </w:tcBorders>
            <w:gridSpan w:val="2"/>
          </w:tcPr>
          <w:p>
            <w:pPr>
              <w:ind w:left="30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(116)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w w:val="96"/>
              </w:rPr>
              <w:t>(165)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color w:val="auto"/>
                <w:w w:val="96"/>
              </w:rPr>
              <w:t>(342)</w:t>
            </w:r>
          </w:p>
        </w:tc>
        <w:tc>
          <w:tcPr>
            <w:tcW w:w="0" w:type="dxa"/>
            <w:vAlign w:val="bottom"/>
          </w:tcPr>
          <w:p>
            <w:pPr>
              <w:spacing w:after="0"/>
              <w:rPr>
                <w:sz w:val="1"/>
                <w:szCs w:val="1"/>
                <w:color w:val="auto"/>
              </w:rPr>
            </w:pPr>
          </w:p>
        </w:tc>
      </w:tr>
      <w:tr>
        <w:trPr>
          <w:trHeight w:val="234"/>
        </w:trPr>
        <w:tc>
          <w:tcPr>
            <w:tcW w:w="2920" w:type="dxa"/>
            <w:vAlign w:val="bottom"/>
            <w:tcBorders>
              <w:bottom w:val="single" w:sz="8" w:color="CCEEFF"/>
            </w:tcBorders>
            <w:shd w:val="clear" w:color="auto" w:fill="CCEEFF"/>
          </w:tcPr>
          <w:p>
            <w:pPr>
              <w:spacing w:after="0"/>
              <w:rPr>
                <w:sz w:val="19"/>
                <w:szCs w:val="19"/>
                <w:color w:val="auto"/>
              </w:rPr>
            </w:pPr>
          </w:p>
        </w:tc>
        <w:tc>
          <w:tcPr>
            <w:tcW w:w="35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53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rPr>
              <w:t>1,825</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center"/>
              <w:ind w:left="399"/>
              <w:spacing w:after="0"/>
              <w:rPr>
                <w:sz w:val="20"/>
                <w:szCs w:val="20"/>
                <w:color w:val="auto"/>
              </w:rPr>
            </w:pPr>
            <w:r>
              <w:rPr>
                <w:rFonts w:ascii="Arial" w:cs="Arial" w:eastAsia="Arial" w:hAnsi="Arial"/>
                <w:sz w:val="16"/>
                <w:szCs w:val="16"/>
                <w:color w:val="auto"/>
                <w:w w:val="97"/>
              </w:rPr>
              <w:t>322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On June 23, 2022, the stockholders of the Company approved an amendment and restatement of the Company's Amended and Restated 2000 Long Term Incentive Plan (the "Plan"). The amendment and restatement of the Plan revised the terms and conditions of the Plan to, among other things, increase the shares available for grant under the Plan by 1,180,000 shares. As of September 30, 2022, there were 1,127,708 shares available for the grant of awards under the Plan, assuming maximum performance of performance-based awards.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nine months ended September 30, 2022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left="179"/>
              <w:spacing w:after="0"/>
              <w:rPr>
                <w:sz w:val="20"/>
                <w:szCs w:val="20"/>
                <w:color w:val="auto"/>
              </w:rPr>
            </w:pPr>
            <w:r>
              <w:rPr>
                <w:rFonts w:ascii="Arial" w:cs="Arial" w:eastAsia="Arial" w:hAnsi="Arial"/>
                <w:sz w:val="16"/>
                <w:szCs w:val="16"/>
                <w:b w:val="1"/>
                <w:bCs w:val="1"/>
                <w:color w:val="auto"/>
                <w:w w:val="90"/>
              </w:rPr>
              <w:t>Weighted-</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3"/>
              </w:rPr>
              <w:t>Weighted-</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89"/>
              </w:rPr>
              <w:t>average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1"/>
              </w:rPr>
              <w:t>remaining</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162"/>
        </w:trPr>
        <w:tc>
          <w:tcPr>
            <w:tcW w:w="5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average</w:t>
            </w:r>
          </w:p>
        </w:tc>
        <w:tc>
          <w:tcPr>
            <w:tcW w:w="108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0"/>
              </w:rPr>
              <w:t>contractual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3"/>
        </w:trPr>
        <w:tc>
          <w:tcPr>
            <w:tcW w:w="55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exercise price</w:t>
            </w: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w w:val="92"/>
              </w:rPr>
              <w:t>life (years)</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0"/>
              </w:rPr>
              <w:t>(in thousands)</w:t>
            </w:r>
          </w:p>
        </w:tc>
        <w:tc>
          <w:tcPr>
            <w:tcW w:w="0" w:type="dxa"/>
            <w:vAlign w:val="bottom"/>
          </w:tcPr>
          <w:p>
            <w:pPr>
              <w:spacing w:after="0"/>
              <w:rPr>
                <w:sz w:val="1"/>
                <w:szCs w:val="1"/>
                <w:color w:val="auto"/>
              </w:rPr>
            </w:pPr>
          </w:p>
        </w:tc>
      </w:tr>
      <w:tr>
        <w:trPr>
          <w:trHeight w:val="212"/>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January 1, 2022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1,094,575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Exercises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580" w:type="dxa"/>
            <w:vAlign w:val="bottom"/>
          </w:tcPr>
          <w:p>
            <w:pPr>
              <w:ind w:left="360"/>
              <w:spacing w:after="0"/>
              <w:rPr>
                <w:sz w:val="20"/>
                <w:szCs w:val="20"/>
                <w:color w:val="auto"/>
              </w:rPr>
            </w:pPr>
            <w:r>
              <w:rPr>
                <w:rFonts w:ascii="Arial" w:cs="Arial" w:eastAsia="Arial" w:hAnsi="Arial"/>
                <w:sz w:val="16"/>
                <w:szCs w:val="16"/>
                <w:color w:val="auto"/>
              </w:rPr>
              <w:t>Cancellations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10.60</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Expirations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Options outstanding, September 30, 2022</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1,072,000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98"/>
              </w:rPr>
              <w:t>4.7</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exercisable, September 30, 2022</w:t>
            </w:r>
          </w:p>
        </w:tc>
        <w:tc>
          <w:tcPr>
            <w:tcW w:w="2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957,125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13.92</w:t>
            </w:r>
          </w:p>
        </w:tc>
        <w:tc>
          <w:tcPr>
            <w:tcW w:w="1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stock option expense remaining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58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September 30, 2022. The intrinsic value is calculated for each in-the-money stock option as the difference between the closing price of the Company’s common stock on September 30, 2022 and the exercise price.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nine months ended September 30, 2022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12"/>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January 1, 2022</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429,601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266,713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Vested</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11.89</w:t>
            </w:r>
          </w:p>
        </w:tc>
        <w:tc>
          <w:tcPr>
            <w:tcW w:w="0" w:type="dxa"/>
            <w:vAlign w:val="bottom"/>
          </w:tcPr>
          <w:p>
            <w:pPr>
              <w:spacing w:after="0"/>
              <w:rPr>
                <w:sz w:val="1"/>
                <w:szCs w:val="1"/>
                <w:color w:val="auto"/>
              </w:rPr>
            </w:pPr>
          </w:p>
        </w:tc>
      </w:tr>
      <w:tr>
        <w:trPr>
          <w:trHeight w:val="213"/>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Cancellations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10.92</w:t>
            </w: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September 30, 2022</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517,509</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11.63</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240" w:type="dxa"/>
            <w:vAlign w:val="bottom"/>
            <w:vMerge w:val="continue"/>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4,771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restricted stock that vested during the nine months ended September 30, 2022 was $2.1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Each performance award represents the right to receive up to 150% of the target number of shares of common stock. The number of shares of common stock earned will be determined based on the attainment of specified performance goals at the end</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 the performance period, as determined by the Compensation Committee of the Board of Directors. The shares are subject to the terms and conditions of the Company’s Plan.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nine months ended September 30, 2022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3"/>
              </w:rPr>
              <w:t>Performance-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162"/>
        </w:trPr>
        <w:tc>
          <w:tcPr>
            <w:tcW w:w="8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w w:val="86"/>
              </w:rPr>
              <w:t>based stock</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6"/>
        </w:trPr>
        <w:tc>
          <w:tcPr>
            <w:tcW w:w="8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99"/>
              <w:spacing w:after="0" w:line="216" w:lineRule="exact"/>
              <w:rPr>
                <w:sz w:val="20"/>
                <w:szCs w:val="20"/>
                <w:color w:val="auto"/>
              </w:rPr>
            </w:pPr>
            <w:r>
              <w:rPr>
                <w:rFonts w:ascii="Arial" w:cs="Arial" w:eastAsia="Arial" w:hAnsi="Arial"/>
                <w:sz w:val="16"/>
                <w:szCs w:val="16"/>
                <w:b w:val="1"/>
                <w:bCs w:val="1"/>
                <w:color w:val="auto"/>
                <w:w w:val="88"/>
              </w:rPr>
              <w:t xml:space="preserve">awards </w:t>
            </w:r>
            <w:r>
              <w:rPr>
                <w:rFonts w:ascii="Arial" w:cs="Arial" w:eastAsia="Arial" w:hAnsi="Arial"/>
                <w:sz w:val="21"/>
                <w:szCs w:val="21"/>
                <w:b w:val="1"/>
                <w:bCs w:val="1"/>
                <w:color w:val="auto"/>
                <w:w w:val="88"/>
                <w:vertAlign w:val="superscript"/>
              </w:rPr>
              <w:t>(1)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performance-based awards, January 1, 2022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436,330</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Grants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12.19</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line="219" w:lineRule="exact"/>
              <w:rPr>
                <w:sz w:val="20"/>
                <w:szCs w:val="20"/>
                <w:color w:val="auto"/>
              </w:rPr>
            </w:pPr>
            <w:r>
              <w:rPr>
                <w:rFonts w:ascii="Arial" w:cs="Arial" w:eastAsia="Arial" w:hAnsi="Arial"/>
                <w:sz w:val="16"/>
                <w:szCs w:val="16"/>
                <w:color w:val="auto"/>
              </w:rPr>
              <w:t xml:space="preserve">Achieved performance over target </w:t>
            </w:r>
            <w:r>
              <w:rPr>
                <w:rFonts w:ascii="Arial" w:cs="Arial" w:eastAsia="Arial" w:hAnsi="Arial"/>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3"/>
        </w:trPr>
        <w:tc>
          <w:tcPr>
            <w:tcW w:w="8240" w:type="dxa"/>
            <w:vAlign w:val="bottom"/>
          </w:tcPr>
          <w:p>
            <w:pPr>
              <w:ind w:left="360"/>
              <w:spacing w:after="0"/>
              <w:rPr>
                <w:sz w:val="20"/>
                <w:szCs w:val="20"/>
                <w:color w:val="auto"/>
              </w:rPr>
            </w:pPr>
            <w:r>
              <w:rPr>
                <w:rFonts w:ascii="Arial" w:cs="Arial" w:eastAsia="Arial" w:hAnsi="Arial"/>
                <w:sz w:val="16"/>
                <w:szCs w:val="16"/>
                <w:color w:val="auto"/>
              </w:rPr>
              <w:t>Vested</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(166,935)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9.20</w:t>
            </w:r>
          </w:p>
        </w:tc>
        <w:tc>
          <w:tcPr>
            <w:tcW w:w="0" w:type="dxa"/>
            <w:vAlign w:val="bottom"/>
          </w:tcPr>
          <w:p>
            <w:pPr>
              <w:spacing w:after="0"/>
              <w:rPr>
                <w:sz w:val="1"/>
                <w:szCs w:val="1"/>
                <w:color w:val="auto"/>
              </w:rPr>
            </w:pPr>
          </w:p>
        </w:tc>
      </w:tr>
      <w:tr>
        <w:trPr>
          <w:trHeight w:val="219"/>
        </w:trPr>
        <w:tc>
          <w:tcPr>
            <w:tcW w:w="82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09"/>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Non-vested performance-based awards, September 30, 2022</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400,302</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11.56</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Represents the target number of shares to be issued for each performance-based award.</w:t>
      </w:r>
    </w:p>
    <w:p>
      <w:pPr>
        <w:spacing w:after="0" w:line="45" w:lineRule="exact"/>
        <w:rPr>
          <w:rFonts w:ascii="Arial" w:cs="Arial" w:eastAsia="Arial" w:hAnsi="Arial"/>
          <w:sz w:val="19"/>
          <w:szCs w:val="19"/>
          <w:color w:val="auto"/>
          <w:vertAlign w:val="superscript"/>
        </w:rPr>
      </w:pPr>
    </w:p>
    <w:p>
      <w:pPr>
        <w:ind w:left="340" w:right="340" w:hanging="332"/>
        <w:spacing w:after="0" w:line="275" w:lineRule="auto"/>
        <w:tabs>
          <w:tab w:leader="none" w:pos="327" w:val="left"/>
        </w:tabs>
        <w:numPr>
          <w:ilvl w:val="0"/>
          <w:numId w:val="8"/>
        </w:numPr>
        <w:rPr>
          <w:rFonts w:ascii="Arial" w:cs="Arial" w:eastAsia="Arial" w:hAnsi="Arial"/>
          <w:sz w:val="9"/>
          <w:szCs w:val="9"/>
          <w:color w:val="auto"/>
        </w:rPr>
      </w:pPr>
      <w:r>
        <w:rPr>
          <w:rFonts w:ascii="Arial" w:cs="Arial" w:eastAsia="Arial" w:hAnsi="Arial"/>
          <w:sz w:val="14"/>
          <w:szCs w:val="14"/>
          <w:color w:val="auto"/>
        </w:rPr>
        <w:t>Represents the number of shares earned over target for performance-based awards granted in 2019 based on performance goals attained. These awards vested in the three months ended March 31, 2022.</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performance-based awards that vested during the nine months ended September 30, 2022 was $2.0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Cash-settled performance-based awards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Each cash-settled performance-based award represents the right to receive up to 150% of the target number of deferred stock units with payment in cash equivalent to the value of one share of the Company's common stock. The number of deferred stock units earned will be determined based on the attainment of specified performance goals at the end of the performance period, as determined by the Compensation Committee of the Board of Directors. The cash-settled performance-based awards are subject to the terms and conditions of the Company’s Plan.</w:t>
      </w:r>
    </w:p>
    <w:p>
      <w:pPr>
        <w:spacing w:after="0" w:line="171"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A summary of the Company’s cash-settled performance-based awards activity and related information for the nine months ended September 30, 2022 is as follows:</w:t>
      </w:r>
    </w:p>
    <w:tbl>
      <w:tblPr>
        <w:tblLayout w:type="fixed"/>
        <w:tblInd w:w="0" w:type="dxa"/>
        <w:tblCellMar>
          <w:top w:w="0" w:type="dxa"/>
          <w:left w:w="0" w:type="dxa"/>
          <w:bottom w:w="0" w:type="dxa"/>
          <w:right w:w="0" w:type="dxa"/>
        </w:tblCellMar>
      </w:tblPr>
      <w:tr>
        <w:trPr>
          <w:trHeight w:val="163"/>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9"/>
              <w:spacing w:after="0" w:line="163" w:lineRule="exact"/>
              <w:rPr>
                <w:sz w:val="20"/>
                <w:szCs w:val="20"/>
                <w:color w:val="auto"/>
              </w:rPr>
            </w:pPr>
            <w:r>
              <w:rPr>
                <w:rFonts w:ascii="Arial" w:cs="Arial" w:eastAsia="Arial" w:hAnsi="Arial"/>
                <w:sz w:val="16"/>
                <w:szCs w:val="16"/>
                <w:b w:val="1"/>
                <w:bCs w:val="1"/>
                <w:color w:val="auto"/>
                <w:w w:val="89"/>
              </w:rPr>
              <w:t>Cash-settled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9"/>
              <w:spacing w:after="0" w:line="163" w:lineRule="exact"/>
              <w:rPr>
                <w:sz w:val="20"/>
                <w:szCs w:val="20"/>
                <w:color w:val="auto"/>
              </w:rPr>
            </w:pPr>
            <w:r>
              <w:rPr>
                <w:rFonts w:ascii="Arial" w:cs="Arial" w:eastAsia="Arial" w:hAnsi="Arial"/>
                <w:sz w:val="16"/>
                <w:szCs w:val="16"/>
                <w:b w:val="1"/>
                <w:bCs w:val="1"/>
                <w:color w:val="auto"/>
                <w:w w:val="93"/>
              </w:rPr>
              <w:t>Weighted-</w:t>
            </w:r>
          </w:p>
        </w:tc>
      </w:tr>
      <w:tr>
        <w:trPr>
          <w:trHeight w:val="162"/>
        </w:trPr>
        <w:tc>
          <w:tcPr>
            <w:tcW w:w="8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0"/>
              </w:rPr>
              <w:t>performance-based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3"/>
              </w:rPr>
              <w:t>average fair</w:t>
            </w:r>
          </w:p>
        </w:tc>
      </w:tr>
      <w:tr>
        <w:trPr>
          <w:trHeight w:val="216"/>
        </w:trPr>
        <w:tc>
          <w:tcPr>
            <w:tcW w:w="8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9"/>
              <w:spacing w:after="0" w:line="216" w:lineRule="exact"/>
              <w:rPr>
                <w:sz w:val="20"/>
                <w:szCs w:val="20"/>
                <w:color w:val="auto"/>
              </w:rPr>
            </w:pPr>
            <w:r>
              <w:rPr>
                <w:rFonts w:ascii="Arial" w:cs="Arial" w:eastAsia="Arial" w:hAnsi="Arial"/>
                <w:sz w:val="16"/>
                <w:szCs w:val="16"/>
                <w:b w:val="1"/>
                <w:bCs w:val="1"/>
                <w:color w:val="auto"/>
                <w:w w:val="85"/>
              </w:rPr>
              <w:t xml:space="preserve">awards </w:t>
            </w:r>
            <w:r>
              <w:rPr>
                <w:rFonts w:ascii="Arial" w:cs="Arial" w:eastAsia="Arial" w:hAnsi="Arial"/>
                <w:sz w:val="21"/>
                <w:szCs w:val="21"/>
                <w:b w:val="1"/>
                <w:bCs w:val="1"/>
                <w:color w:val="auto"/>
                <w:w w:val="85"/>
                <w:vertAlign w:val="superscript"/>
              </w:rPr>
              <w:t>(1)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7"/>
              </w:rPr>
              <w:t>value</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cash-settled performance-based awards, January 1, 2022</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100" w:type="dxa"/>
            <w:vAlign w:val="bottom"/>
          </w:tcPr>
          <w:p>
            <w:pPr>
              <w:ind w:left="360"/>
              <w:spacing w:after="0"/>
              <w:rPr>
                <w:sz w:val="20"/>
                <w:szCs w:val="20"/>
                <w:color w:val="auto"/>
              </w:rPr>
            </w:pPr>
            <w:r>
              <w:rPr>
                <w:rFonts w:ascii="Arial" w:cs="Arial" w:eastAsia="Arial" w:hAnsi="Arial"/>
                <w:sz w:val="16"/>
                <w:szCs w:val="16"/>
                <w:color w:val="auto"/>
              </w:rPr>
              <w:t>Grants</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87,825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216"/>
        </w:trPr>
        <w:tc>
          <w:tcPr>
            <w:tcW w:w="81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Cancellations</w:t>
            </w:r>
          </w:p>
        </w:tc>
        <w:tc>
          <w:tcPr>
            <w:tcW w:w="1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10.39</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Non-vested cash-settled performance-based awards, September 30, 2022</w:t>
            </w: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85,776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6.77</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165"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Represents the target number of units to be settled in cash.</w:t>
      </w:r>
    </w:p>
    <w:p>
      <w:pPr>
        <w:spacing w:after="0" w:line="21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Compensation expense for cash-settled performance-based awards is recognized over the vesting period and will vary based on remeasurement during the performance period. If achievement of the performance metrics is not probable of achievement during the performance period, compensation expense is reversed. The awards are forfeited if the performance metrics are not achieved as of the end of the performance period. The cash</w:t>
      </w:r>
      <w:r>
        <w:rPr>
          <w:rFonts w:ascii="Arial" w:cs="Arial" w:eastAsia="Arial" w:hAnsi="Arial"/>
          <w:sz w:val="18"/>
          <w:szCs w:val="18"/>
          <w:b w:val="1"/>
          <w:bCs w:val="1"/>
          <w:color w:val="auto"/>
        </w:rPr>
        <w:t>-</w:t>
      </w:r>
      <w:r>
        <w:rPr>
          <w:rFonts w:ascii="Arial" w:cs="Arial" w:eastAsia="Arial" w:hAnsi="Arial"/>
          <w:sz w:val="18"/>
          <w:szCs w:val="18"/>
          <w:color w:val="auto"/>
        </w:rPr>
        <w:t>settled performance-based awards are liability-classified awards and are recorded within other long-term liabilities in the Company's condensed consolidated balance sheet. These awards are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remeasured to fair value at the end of each reporting period until settlement. The cash-settled performance-based awards vest at the end of a three year period, as determined by the Compensation Committee.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stock compensation expense as follows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180" w:type="dxa"/>
            <w:vAlign w:val="bottom"/>
            <w:gridSpan w:val="4"/>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6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7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w w:val="89"/>
              </w:rPr>
              <w:t>September 30,</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r>
      <w:tr>
        <w:trPr>
          <w:trHeight w:val="212"/>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Stock Compensation Expense Components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2021</w:t>
            </w:r>
          </w:p>
        </w:tc>
      </w:tr>
      <w:tr>
        <w:trPr>
          <w:trHeight w:val="212"/>
        </w:trPr>
        <w:tc>
          <w:tcPr>
            <w:tcW w:w="5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Equity based stock option expense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13"/>
        </w:trPr>
        <w:tc>
          <w:tcPr>
            <w:tcW w:w="578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Restricted and performance-based stock awards expense</w:t>
            </w:r>
          </w:p>
        </w:tc>
        <w:tc>
          <w:tcPr>
            <w:tcW w:w="8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1,097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3,633</w:t>
            </w:r>
          </w:p>
        </w:tc>
      </w:tr>
      <w:tr>
        <w:trPr>
          <w:trHeight w:val="212"/>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 compensation expense for equity based awards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1,023</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1,192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3,954</w:t>
            </w:r>
          </w:p>
        </w:tc>
      </w:tr>
      <w:tr>
        <w:trPr>
          <w:trHeight w:val="213"/>
        </w:trPr>
        <w:tc>
          <w:tcPr>
            <w:tcW w:w="5780" w:type="dxa"/>
            <w:vAlign w:val="bottom"/>
          </w:tcPr>
          <w:p>
            <w:pPr>
              <w:ind w:left="460"/>
              <w:spacing w:after="0"/>
              <w:rPr>
                <w:sz w:val="20"/>
                <w:szCs w:val="20"/>
                <w:color w:val="auto"/>
              </w:rPr>
            </w:pPr>
            <w:r>
              <w:rPr>
                <w:rFonts w:ascii="Arial" w:cs="Arial" w:eastAsia="Arial" w:hAnsi="Arial"/>
                <w:sz w:val="16"/>
                <w:szCs w:val="16"/>
                <w:color w:val="auto"/>
              </w:rPr>
              <w:t>Liability based stock option expense</w:t>
            </w: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16"/>
        </w:trPr>
        <w:tc>
          <w:tcPr>
            <w:tcW w:w="5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Cash-settled performance-based awards expense</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Total Stock Compensation Expense</w:t>
            </w: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1,026</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ind w:right="63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1,201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3,565</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3,973</w:t>
            </w:r>
          </w:p>
        </w:tc>
      </w:tr>
      <w:tr>
        <w:trPr>
          <w:trHeight w:val="20"/>
        </w:trPr>
        <w:tc>
          <w:tcPr>
            <w:tcW w:w="5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—(LOSS) INCOME PER COMMON SHARE</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Basic (loss) income per common share has been computed by dividing net (loss) income by the weighted-average number of shares of the Company’s common stock outstanding during the relevant period. Diluted (loss) income per common share adjusts net (loss) income and basic (loss) income per common share for the effect of all potentially dilutive shares of the Company’s common stock. Anti-dilutive securities are not included in the computation of diluted earnings per share under the treasury stock method.</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calculations of basic and diluted (loss) income per common share for the three and nine months ended September 30, 2022 and 2021 are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8"/>
                <w:szCs w:val="18"/>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5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7"/>
        </w:trPr>
        <w:tc>
          <w:tcPr>
            <w:tcW w:w="5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120" w:type="dxa"/>
            <w:vAlign w:val="bottom"/>
            <w:gridSpan w:val="9"/>
          </w:tcPr>
          <w:p>
            <w:pPr>
              <w:jc w:val="right"/>
              <w:ind w:right="150"/>
              <w:spacing w:after="0"/>
              <w:rPr>
                <w:sz w:val="20"/>
                <w:szCs w:val="20"/>
                <w:color w:val="auto"/>
              </w:rPr>
            </w:pPr>
            <w:r>
              <w:rPr>
                <w:rFonts w:ascii="Arial" w:cs="Arial" w:eastAsia="Arial" w:hAnsi="Arial"/>
                <w:sz w:val="18"/>
                <w:szCs w:val="18"/>
                <w:color w:val="auto"/>
              </w:rPr>
              <w:t>(in thousands, except per share amounts)</w:t>
            </w: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 Basic and Diluted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21,427</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 Basic</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21,343</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Effect of dilutive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80"/>
              <w:spacing w:after="0"/>
              <w:rPr>
                <w:sz w:val="20"/>
                <w:szCs w:val="20"/>
                <w:color w:val="auto"/>
              </w:rPr>
            </w:pPr>
            <w:r>
              <w:rPr>
                <w:rFonts w:ascii="Arial" w:cs="Arial" w:eastAsia="Arial" w:hAnsi="Arial"/>
                <w:sz w:val="18"/>
                <w:szCs w:val="18"/>
                <w:color w:val="auto"/>
              </w:rPr>
              <w:t>Stock options and other stock awards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48"/>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shares outstanding – Diluted</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21,964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(loss) income per common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78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(0.44)</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(loss) income per common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Antidilutive Securities</w:t>
            </w:r>
            <w:r>
              <w:rPr>
                <w:rFonts w:ascii="Arial" w:cs="Arial" w:eastAsia="Arial" w:hAnsi="Arial"/>
                <w:sz w:val="23"/>
                <w:szCs w:val="23"/>
                <w:b w:val="1"/>
                <w:bCs w:val="1"/>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7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9"/>
          <w:szCs w:val="9"/>
          <w:color w:val="auto"/>
        </w:rPr>
      </w:pPr>
      <w:r>
        <w:rPr>
          <w:rFonts w:ascii="Arial" w:cs="Arial" w:eastAsia="Arial" w:hAnsi="Arial"/>
          <w:sz w:val="14"/>
          <w:szCs w:val="14"/>
          <w:color w:val="auto"/>
        </w:rPr>
        <w:t>Stock options and other stock awards that have been excluded from the denominator as their inclusion would have been anti-dilutive.</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12" w:lineRule="exact"/>
        <w:rPr>
          <w:rFonts w:ascii="Arial" w:cs="Arial" w:eastAsia="Arial" w:hAnsi="Arial"/>
          <w:sz w:val="9"/>
          <w:szCs w:val="9"/>
          <w:color w:val="auto"/>
        </w:rPr>
      </w:pPr>
    </w:p>
    <w:p>
      <w:pPr>
        <w:ind w:left="5540" w:hanging="111"/>
        <w:spacing w:after="0"/>
        <w:tabs>
          <w:tab w:leader="none" w:pos="55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Income tax provision of $1.8 million and $3.4 million for the three and nine months ended September 30, 2022, respectively, represent taxes on both U.S. and foreign earnings at a combined effective income tax provision rate of 50.6% and 245.9%, respectively. The effective tax rate for the three and nine months ended September 30, 2022 differs from the federal statutory income tax rate of 21.0% primarily due to foreign losses for which no tax benefit is recognized as such amounts are fully offset with a valuation allowance.</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Income tax provision of $5.6 million and $9.8 million for the three and nine months ended September 30, 2021, respectively, represent taxes on both U.S. and foreign earnings at combined effective income tax provision rates of 31.1% and 31.8%, respectively. The effective tax rate for the three and nine months ended September 30, 2021 differs from the federal statutory income tax rate of 21.0% primarily due to state and local tax expense, and foreign losses for which no tax benefit is recognized as such amounts are fully offset with a valuation allowance.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Georgia, Illinois, Massachusetts, New Jersey, New York and the United Kingdom.</w:t>
      </w:r>
    </w:p>
    <w:p>
      <w:pPr>
        <w:spacing w:after="0" w:line="170"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The audit of the Company's New York State tax returns for years 2015-2019 closed during the quarter ended March 31, 2022 with an immaterial adjustment.</w:t>
      </w:r>
    </w:p>
    <w:p>
      <w:pPr>
        <w:spacing w:after="0" w:line="17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Company evaluates its tax positions on a quarterly basis and revises its estimates accordingly. There were no material changes to the Company’s uncertain tax positions, interest, or penalties during the three-month periods ended September 30, 2022 and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fees and consulting fees, are not allocated to the specific segments and are reflected as unallocated corporate expenses.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17"/>
                <w:szCs w:val="17"/>
                <w:color w:val="auto"/>
              </w:rPr>
            </w:pPr>
          </w:p>
        </w:tc>
        <w:tc>
          <w:tcPr>
            <w:tcW w:w="238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9"/>
        </w:trPr>
        <w:tc>
          <w:tcPr>
            <w:tcW w:w="57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7"/>
        </w:trPr>
        <w:tc>
          <w:tcPr>
            <w:tcW w:w="57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60" w:type="dxa"/>
            <w:vAlign w:val="bottom"/>
            <w:gridSpan w:val="5"/>
          </w:tcPr>
          <w:p>
            <w:pPr>
              <w:ind w:left="520"/>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172,818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197,724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476,227</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540,488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66,578</w:t>
            </w:r>
          </w:p>
        </w:tc>
        <w:tc>
          <w:tcPr>
            <w:tcW w:w="0" w:type="dxa"/>
            <w:vAlign w:val="bottom"/>
          </w:tcPr>
          <w:p>
            <w:pPr>
              <w:spacing w:after="0"/>
              <w:rPr>
                <w:sz w:val="1"/>
                <w:szCs w:val="1"/>
                <w:color w:val="auto"/>
              </w:rPr>
            </w:pP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186,590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224,777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520,621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607,066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U.S.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19,548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30,958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41,404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66,339</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(18,244)</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41,927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13,913</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depreciation and amortization</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9"/>
        </w:trPr>
        <w:tc>
          <w:tcPr>
            <w:tcW w:w="35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5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520" w:type="dxa"/>
            <w:vAlign w:val="bottom"/>
            <w:gridSpan w:val="4"/>
          </w:tcPr>
          <w:p>
            <w:pPr>
              <w:jc w:val="right"/>
              <w:ind w:right="1290"/>
              <w:spacing w:after="0"/>
              <w:rPr>
                <w:sz w:val="20"/>
                <w:szCs w:val="20"/>
                <w:color w:val="auto"/>
              </w:rPr>
            </w:pPr>
            <w:r>
              <w:rPr>
                <w:rFonts w:ascii="Arial" w:cs="Arial" w:eastAsia="Arial" w:hAnsi="Arial"/>
                <w:sz w:val="18"/>
                <w:szCs w:val="18"/>
                <w:color w:val="auto"/>
              </w:rPr>
              <w:t>(in thousands)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U.S.</w:t>
            </w:r>
          </w:p>
        </w:tc>
        <w:tc>
          <w:tcPr>
            <w:tcW w:w="41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661,145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706,000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Unallocated corporate</w:t>
            </w:r>
          </w:p>
        </w:tc>
        <w:tc>
          <w:tcPr>
            <w:tcW w:w="39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9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756,928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829,074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3920" w:type="dxa"/>
            <w:vAlign w:val="bottom"/>
            <w:tcBorders>
              <w:top w:val="single" w:sz="8" w:color="CCEEFF"/>
              <w:bottom w:val="single" w:sz="8" w:color="CCEEFF"/>
            </w:tcBorders>
            <w:vMerge w:val="restart"/>
          </w:tcPr>
          <w:p>
            <w:pPr>
              <w:jc w:val="right"/>
              <w:ind w:right="1530"/>
              <w:spacing w:after="0"/>
              <w:rPr>
                <w:sz w:val="20"/>
                <w:szCs w:val="20"/>
                <w:color w:val="auto"/>
              </w:rPr>
            </w:pPr>
            <w:r>
              <w:rPr>
                <w:rFonts w:ascii="Arial" w:cs="Arial" w:eastAsia="Arial" w:hAnsi="Arial"/>
                <w:sz w:val="18"/>
                <w:szCs w:val="18"/>
                <w:color w:val="auto"/>
              </w:rPr>
              <w:t>- 27 -</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1"/>
        </w:trPr>
        <w:tc>
          <w:tcPr>
            <w:tcW w:w="35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3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13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Wallace EPA Matter</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U.S. Environmental Protection Agency (the “EPA”) announced that the San Germán Ground Water Contamination site in Puerto Rico (the “Site”) had been added to the Superfund National Priorities List due to contamination present in the local drinking water supply.</w:t>
      </w:r>
    </w:p>
    <w:p>
      <w:pPr>
        <w:spacing w:after="0" w:line="18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May 2008, WSPR received from the EPA a Notice of Potential Liability and Request for Information pursuant to 42 U.S.C. Sections 9607(a) and 9604(e) of the Comprehensive Environmental Response, Compensation, and Liability Act (“CERCLA”). In July 2011, WSPR received a letter from the EPA requesting access to the property that it leases from PRIDCO to conduct an environmental investigation, and the Company granted such access. In February 2013, the EPA requested access to conduct a further environmental investigation at the property. PRIDCO agreed to such access and the Company consented. The EPA conducted a further investigation during 2013 and, in April 2015, notified the Company and PRIDCO that the results from vapor intrusion sampling may warrant the implementation of measures to mitigate potential exposure to sub-slab soil gas. The Company reviewed the information provided by the EPA and requested that PRIDCO, as the property owner, find and implement a solution acceptable to the EPA. While WSPR did not cause the sub-surface condition that resulted in the potential for vapor intrusion, in order to protect the health of its employees and continue its business operations, it has nevertheless implemented corrective action measures to prevent vapor intrusion, such as sealing the floors of the building and conducting periodic air monitoring to address potential exposure.</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total net present worth estimated cost for its selected remedy is $7.3 million. The EPA also designated a second operable unit under which the EPA has and will continue to conduct further investigations to determine the nature and extent of groundwater contamination, as well as a determination by the EPA on the necessity of any further response actions to address groundwater contamination. In February 2017, the EPA indicated that it planned to expand its field investigation for the RI/FS to a second operable unit to further determine the nature and extent of the groundwater contamination at and from the Site and to determine the nature of the remedial action needed to address the contamination. The EPA has requested access to the property occupied by WSPR to install monitoring wells and to undertake groundwater sampling as part of this expanded investigation. WSPR has consented to the EPA’s access request, provided that the EPA receives PRIDCO’s consent, as the property owner. WSPR never used the primary contaminant of concern and did not take up its tenancy at the Site until after the EPA had discovered the contamination in the local water supply. The EPA has also issued notices of potential liability to a number of other entities affiliated with the Site, which used the contaminants of concern.</w:t>
      </w:r>
    </w:p>
    <w:p>
      <w:pPr>
        <w:spacing w:after="0" w:line="17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In February 2020, the tolling agreements were extended to November 2020. In November 2020, the tolling agreements were extended to November 2021. In October 2021, the tolling agreements were extended to November 2022. In October 2022, the tolling agreements were extended to November 2023. The tolling agreements do not constitute in any way an admission or acknowledgment of any fact, conclusion of law or liability by the parties to the agreements.</w:t>
      </w:r>
    </w:p>
    <w:p>
      <w:pPr>
        <w:spacing w:after="0" w:line="16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program including monitoring of the plume fringe at the Site. The EPA’s estimated total net present worth cost for its selected remedy is $17.3 million.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August 2021, WSPR received a Notice of Liability from the Department of Justice on behalf of the EPA, and in September 2021, WSPR submitted a good faith offer to conduct additional testing and remedial design, which remains under consideration by the EPA.</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Company has reserved $5.6 million to cover probable and estimable liabilities with respect to the above remedial design and remedial action for the initial operable unit. However, it is not possible at this time for the Company to estimate its share of its ultimate liability related to this matter. In the event of one or more adverse determinations related to this matter, it is possible that the ultimate liability resulting from this matter and the impact on the Company’s results of operations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Customs and Border Protection matter</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By letter dated August 26, 2019, the Company was advised that U.S. Customs and Border Protection ("CBP") had commenced an investigation, pursuant to 19 U.S.C. §1592, regarding the Company’s tariff classification of certain tableware and kitchenware. The issue centers on whether such merchandise meets the criteria for reduced duty rates as specified sets as those terms are defined in Chapter 69, Note 6(b), Harmonized Tariff System of the United States. The period of investigation is stated to be from August 26, 2014 to the present. Since being notified of the investigation, the Company has obtained a significant amount of evidence that, the Company believes, supports that the imported products were properly classified as specified sets. The Company's counsel filed a Lead Protest and Application for Further Review with CBP on February 5, 2020 (the "Lead Protest") relating to a single shipment made during the investigation period.</w:t>
      </w:r>
    </w:p>
    <w:p>
      <w:pPr>
        <w:spacing w:after="0" w:line="19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CBP approved the Company’s Lead Protest on June 8, 2020 stating that the specified set requirement was fulfilled with respect to the protested shipment based on information provided by the Company. Based on this decision, no additional duties will be owed for the seven tableware collections imported in this shipment.</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also compiled and submitted to CBP a complete set of supporting documents for three additional protests (for the remaining 29 tableware collections that were imported by the Company under the protested shipments). One of the additional protests was approved on October 15, 2020; the other two remain pending. If the CBP approves these additional claims and accepts the evidence presented, then no additional duties will be owed for the remaining protested shipments.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Because the period of investigation covers a five-year period, the Company is compiling supporting documentation packages for all tableware collections imported during this period.</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the event CBP accepts the evidence presented, then no additional duties or penalties will be owed. If CBP rejects the Company’s position, then the estimated amount of duties that could be owed is $1.3 million. In such event, it is reasonably possible that additional penalties could be assessed, depending upon the level of culpability found, of up to $2.6 million for negligence and up to $5.2 million for gross negligence. In the event penalties are assessed, the Company will have the opportunity to further contest CBP’s findings and seek cancellation or mitigation of such assessments.</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Accordingly, based on the above uncertainties and variables, the Company considers the potential losses related to this matter to be reasonably possible, but not probable. However, in the event of one or more adverse determinations related to this matter, it is possible that the ultimate liability resulting from this matter and the impact on the Company’s results of operations could be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14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nine months ended September 30, 2022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2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 share</w:t>
            </w:r>
          </w:p>
        </w:tc>
        <w:tc>
          <w:tcPr>
            <w:tcW w:w="284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declared</w:t>
            </w:r>
          </w:p>
        </w:tc>
        <w:tc>
          <w:tcPr>
            <w:tcW w:w="2820" w:type="dxa"/>
            <w:vAlign w:val="bottom"/>
            <w:gridSpan w:val="2"/>
          </w:tcPr>
          <w:p>
            <w:pPr>
              <w:spacing w:after="0"/>
              <w:rPr>
                <w:sz w:val="20"/>
                <w:szCs w:val="20"/>
                <w:color w:val="auto"/>
              </w:rPr>
            </w:pPr>
            <w:r>
              <w:rPr>
                <w:rFonts w:ascii="Arial" w:cs="Arial" w:eastAsia="Arial" w:hAnsi="Arial"/>
                <w:sz w:val="16"/>
                <w:szCs w:val="16"/>
                <w:b w:val="1"/>
                <w:bCs w:val="1"/>
                <w:color w:val="auto"/>
              </w:rPr>
              <w:t>Date of record</w:t>
            </w:r>
          </w:p>
        </w:tc>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Payment date</w:t>
            </w:r>
          </w:p>
        </w:tc>
      </w:tr>
      <w:tr>
        <w:trPr>
          <w:trHeight w:val="212"/>
        </w:trPr>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3/8/2022</w:t>
            </w:r>
          </w:p>
        </w:tc>
        <w:tc>
          <w:tcPr>
            <w:tcW w:w="12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5/2/2022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5/16/2022</w:t>
            </w:r>
          </w:p>
        </w:tc>
      </w:tr>
      <w:tr>
        <w:trPr>
          <w:trHeight w:val="213"/>
        </w:trPr>
        <w:tc>
          <w:tcPr>
            <w:tcW w:w="2720" w:type="dxa"/>
            <w:vAlign w:val="bottom"/>
          </w:tcPr>
          <w:p>
            <w:pPr>
              <w:ind w:left="20"/>
              <w:spacing w:after="0"/>
              <w:rPr>
                <w:sz w:val="20"/>
                <w:szCs w:val="20"/>
                <w:color w:val="auto"/>
              </w:rPr>
            </w:pPr>
            <w:r>
              <w:rPr>
                <w:rFonts w:ascii="Arial" w:cs="Arial" w:eastAsia="Arial" w:hAnsi="Arial"/>
                <w:sz w:val="16"/>
                <w:szCs w:val="16"/>
                <w:color w:val="auto"/>
              </w:rPr>
              <w:t>$0.0425</w:t>
            </w:r>
          </w:p>
        </w:tc>
        <w:tc>
          <w:tcPr>
            <w:tcW w:w="10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6/23/2022</w:t>
            </w:r>
          </w:p>
        </w:tc>
        <w:tc>
          <w:tcPr>
            <w:tcW w:w="1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6"/>
                <w:szCs w:val="16"/>
                <w:color w:val="auto"/>
              </w:rPr>
              <w:t>8/1/2022</w:t>
            </w:r>
          </w:p>
        </w:tc>
        <w:tc>
          <w:tcPr>
            <w:tcW w:w="100" w:type="dxa"/>
            <w:vAlign w:val="bottom"/>
          </w:tcPr>
          <w:p>
            <w:pPr>
              <w:spacing w:after="0"/>
              <w:rPr>
                <w:sz w:val="18"/>
                <w:szCs w:val="18"/>
                <w:color w:val="auto"/>
              </w:rPr>
            </w:pPr>
          </w:p>
        </w:tc>
        <w:tc>
          <w:tcPr>
            <w:tcW w:w="2740" w:type="dxa"/>
            <w:vAlign w:val="bottom"/>
          </w:tcPr>
          <w:p>
            <w:pPr>
              <w:ind w:left="20"/>
              <w:spacing w:after="0"/>
              <w:rPr>
                <w:sz w:val="20"/>
                <w:szCs w:val="20"/>
                <w:color w:val="auto"/>
              </w:rPr>
            </w:pPr>
            <w:r>
              <w:rPr>
                <w:rFonts w:ascii="Arial" w:cs="Arial" w:eastAsia="Arial" w:hAnsi="Arial"/>
                <w:sz w:val="16"/>
                <w:szCs w:val="16"/>
                <w:color w:val="auto"/>
              </w:rPr>
              <w:t>8/15/2022</w:t>
            </w:r>
          </w:p>
        </w:tc>
      </w:tr>
      <w:tr>
        <w:trPr>
          <w:trHeight w:val="219"/>
        </w:trPr>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00" w:type="dxa"/>
            <w:vAlign w:val="bottom"/>
            <w:shd w:val="clear" w:color="auto" w:fill="CCEEFF"/>
          </w:tcPr>
          <w:p>
            <w:pPr>
              <w:spacing w:after="0"/>
              <w:rPr>
                <w:sz w:val="19"/>
                <w:szCs w:val="19"/>
                <w:color w:val="auto"/>
              </w:rPr>
            </w:pPr>
          </w:p>
        </w:tc>
        <w:tc>
          <w:tcPr>
            <w:tcW w:w="2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8/2/2022</w:t>
            </w:r>
          </w:p>
        </w:tc>
        <w:tc>
          <w:tcPr>
            <w:tcW w:w="120" w:type="dxa"/>
            <w:vAlign w:val="bottom"/>
            <w:shd w:val="clear" w:color="auto" w:fill="CCEEFF"/>
          </w:tcPr>
          <w:p>
            <w:pPr>
              <w:spacing w:after="0"/>
              <w:rPr>
                <w:sz w:val="19"/>
                <w:szCs w:val="19"/>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6"/>
                <w:szCs w:val="16"/>
                <w:color w:val="auto"/>
              </w:rPr>
              <w:t>11/1/2022</w:t>
            </w: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11/15/2022</w:t>
            </w:r>
          </w:p>
        </w:tc>
      </w:tr>
    </w:tbl>
    <w:p>
      <w:pPr>
        <w:spacing w:after="0" w:line="296"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During the nine months ended September 30, 2022, the Company paid dividends of $2.9 million. This included payments made on February 14, 2022, May 16, 2022 and August 15, 2022 of $0.9 million, $0.9 million and $0.9 million to stockholders of record on January 31, 2022, May 2, 2022 and August 1, 2022, respectively, and payments of $0.1 million for dividends payable upon the vesting of restricted shares and performance shares.</w:t>
      </w:r>
    </w:p>
    <w:p>
      <w:pPr>
        <w:spacing w:after="0" w:line="14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the three months ended September 30, 2022, the Company reduced retained earnings for the accrual of $1.0 million relating to the dividend payable on November 15, 2022. For the nine months ended September 30, 2022, the Company reduced retained earnings for the accrual of $2.9 million relating to the dividend payable on May 16, 2022, August 15, 2022 and November 15, 2022.</w:t>
      </w:r>
    </w:p>
    <w:p>
      <w:pPr>
        <w:spacing w:after="0" w:line="18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On November 1, 2022, the Board of Directors declared a quarterly dividend of 0.0425 per share of common stock payable on February 15, 2023 to stockholders of record on February 1,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During the nine months ended September 30, 2022, the Company repurchased 389,743 shares for a total cost of $4.7 million and thereafter retired the shares. Please see Part II, Item 2—Unregistered Sales of Equity Securities and Use of Proceeds included in this Quarterly Report on Form 10-Q.</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50" w:lineRule="exact"/>
        <w:rPr>
          <w:sz w:val="20"/>
          <w:szCs w:val="20"/>
          <w:color w:val="auto"/>
        </w:rPr>
      </w:pPr>
    </w:p>
    <w:p>
      <w:pPr>
        <w:jc w:val="center"/>
        <w:ind w:left="8200"/>
        <w:spacing w:after="0"/>
        <w:rPr>
          <w:sz w:val="20"/>
          <w:szCs w:val="20"/>
          <w:color w:val="auto"/>
        </w:rPr>
      </w:pPr>
      <w:r>
        <w:rPr>
          <w:rFonts w:ascii="Arial" w:cs="Arial" w:eastAsia="Arial" w:hAnsi="Arial"/>
          <w:sz w:val="16"/>
          <w:szCs w:val="16"/>
          <w:b w:val="1"/>
          <w:bCs w:val="1"/>
          <w:color w:val="auto"/>
        </w:rPr>
        <w:t>Nine Months Ended</w:t>
      </w:r>
    </w:p>
    <w:p>
      <w:pPr>
        <w:jc w:val="center"/>
        <w:ind w:left="820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2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209"/>
        </w:trPr>
        <w:tc>
          <w:tcPr>
            <w:tcW w:w="8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ind w:right="19"/>
              <w:spacing w:after="0"/>
              <w:rPr>
                <w:sz w:val="20"/>
                <w:szCs w:val="20"/>
                <w:color w:val="auto"/>
              </w:rPr>
            </w:pPr>
            <w:r>
              <w:rPr>
                <w:rFonts w:ascii="Arial" w:cs="Arial" w:eastAsia="Arial" w:hAnsi="Arial"/>
                <w:sz w:val="16"/>
                <w:szCs w:val="16"/>
                <w:color w:val="auto"/>
                <w:w w:val="89"/>
              </w:rPr>
              <w:t>10,804</w:t>
            </w:r>
          </w:p>
        </w:tc>
        <w:tc>
          <w:tcPr>
            <w:tcW w:w="56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tcPr>
          <w:p>
            <w:pPr>
              <w:ind w:left="440"/>
              <w:spacing w:after="0"/>
              <w:rPr>
                <w:sz w:val="20"/>
                <w:szCs w:val="20"/>
                <w:color w:val="auto"/>
              </w:rPr>
            </w:pPr>
            <w:r>
              <w:rPr>
                <w:rFonts w:ascii="Arial" w:cs="Arial" w:eastAsia="Arial" w:hAnsi="Arial"/>
                <w:sz w:val="16"/>
                <w:szCs w:val="16"/>
                <w:color w:val="auto"/>
              </w:rPr>
              <w:t>10,279</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taxes, net of refunds</w:t>
            </w:r>
          </w:p>
        </w:tc>
        <w:tc>
          <w:tcPr>
            <w:tcW w:w="9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6,527</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ind w:left="440"/>
              <w:spacing w:after="0"/>
              <w:rPr>
                <w:sz w:val="20"/>
                <w:szCs w:val="20"/>
                <w:color w:val="auto"/>
              </w:rPr>
            </w:pPr>
            <w:r>
              <w:rPr>
                <w:rFonts w:ascii="Arial" w:cs="Arial" w:eastAsia="Arial" w:hAnsi="Arial"/>
                <w:sz w:val="16"/>
                <w:szCs w:val="16"/>
                <w:color w:val="auto"/>
              </w:rPr>
              <w:t>12,616</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on dilution and partial sale of Vasconia ownership</w:t>
            </w: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ind w:left="460"/>
              <w:spacing w:after="0"/>
              <w:rPr>
                <w:sz w:val="20"/>
                <w:szCs w:val="20"/>
                <w:color w:val="auto"/>
              </w:rPr>
            </w:pPr>
            <w:r>
              <w:rPr>
                <w:rFonts w:ascii="Arial" w:cs="Arial" w:eastAsia="Arial" w:hAnsi="Arial"/>
                <w:sz w:val="16"/>
                <w:szCs w:val="16"/>
                <w:color w:val="auto"/>
                <w:w w:val="94"/>
              </w:rPr>
              <w:t>(1,673)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2022</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6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22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3"/>
        </w:trPr>
        <w:tc>
          <w:tcPr>
            <w:tcW w:w="5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95"/>
              </w:rPr>
              <w:t>2022</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w w:val="89"/>
              </w:rPr>
              <w:t>2021</w:t>
            </w:r>
          </w:p>
        </w:tc>
        <w:tc>
          <w:tcPr>
            <w:tcW w:w="0" w:type="dxa"/>
            <w:vAlign w:val="bottom"/>
          </w:tcPr>
          <w:p>
            <w:pPr>
              <w:spacing w:after="0"/>
              <w:rPr>
                <w:sz w:val="1"/>
                <w:szCs w:val="1"/>
                <w:color w:val="auto"/>
              </w:rPr>
            </w:pPr>
          </w:p>
        </w:tc>
      </w:tr>
      <w:tr>
        <w:trPr>
          <w:trHeight w:val="209"/>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translation adjustment: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(36,175)</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(31,623)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(31,752)</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(35,846)</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Translation adjustment during period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w:t>
            </w:r>
          </w:p>
        </w:tc>
        <w:tc>
          <w:tcPr>
            <w:tcW w:w="0" w:type="dxa"/>
            <w:vAlign w:val="bottom"/>
          </w:tcPr>
          <w:p>
            <w:pPr>
              <w:spacing w:after="0"/>
              <w:rPr>
                <w:sz w:val="1"/>
                <w:szCs w:val="1"/>
                <w:color w:val="auto"/>
              </w:rPr>
            </w:pPr>
          </w:p>
        </w:tc>
      </w:tr>
      <w:tr>
        <w:trPr>
          <w:trHeight w:val="216"/>
        </w:trPr>
        <w:tc>
          <w:tcPr>
            <w:tcW w:w="5780" w:type="dxa"/>
            <w:vAlign w:val="bottom"/>
          </w:tcPr>
          <w:p>
            <w:pPr>
              <w:ind w:left="24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3,404</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Translation Adjustment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(2,686)</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(7,109)</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4,463</w:t>
            </w:r>
          </w:p>
        </w:tc>
        <w:tc>
          <w:tcPr>
            <w:tcW w:w="0" w:type="dxa"/>
            <w:vAlign w:val="bottom"/>
          </w:tcPr>
          <w:p>
            <w:pPr>
              <w:spacing w:after="0"/>
              <w:rPr>
                <w:sz w:val="1"/>
                <w:szCs w:val="1"/>
                <w:color w:val="auto"/>
              </w:rPr>
            </w:pPr>
          </w:p>
        </w:tc>
      </w:tr>
      <w:tr>
        <w:trPr>
          <w:trHeight w:val="207"/>
        </w:trPr>
        <w:tc>
          <w:tcPr>
            <w:tcW w:w="57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(38,861)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(31,383)</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(38,861)</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(31,383)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deferred gains (losses) on cash flow hedges:</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1,636</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(1,062)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(1,125)</w:t>
            </w: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unrealized gains (losses)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3"/>
        </w:trPr>
        <w:tc>
          <w:tcPr>
            <w:tcW w:w="5780" w:type="dxa"/>
            <w:vAlign w:val="bottom"/>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40"/>
              <w:spacing w:after="0" w:line="219" w:lineRule="exact"/>
              <w:rPr>
                <w:sz w:val="20"/>
                <w:szCs w:val="20"/>
                <w:color w:val="auto"/>
              </w:rPr>
            </w:pPr>
            <w:r>
              <w:rPr>
                <w:rFonts w:ascii="Arial" w:cs="Arial" w:eastAsia="Arial" w:hAnsi="Arial"/>
                <w:sz w:val="16"/>
                <w:szCs w:val="16"/>
                <w:color w:val="auto"/>
              </w:rPr>
              <w:t xml:space="preserve">Settlement of cash flow hedge </w:t>
            </w:r>
            <w:r>
              <w:rPr>
                <w:rFonts w:ascii="Arial" w:cs="Arial" w:eastAsia="Arial" w:hAnsi="Arial"/>
                <w:sz w:val="21"/>
                <w:szCs w:val="21"/>
                <w:color w:val="auto"/>
                <w:vertAlign w:val="superscript"/>
              </w:rPr>
              <w:t>(2)</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w:t>
            </w:r>
          </w:p>
        </w:tc>
        <w:tc>
          <w:tcPr>
            <w:tcW w:w="0" w:type="dxa"/>
            <w:vAlign w:val="bottom"/>
          </w:tcPr>
          <w:p>
            <w:pPr>
              <w:spacing w:after="0"/>
              <w:rPr>
                <w:sz w:val="1"/>
                <w:szCs w:val="1"/>
                <w:color w:val="auto"/>
              </w:rPr>
            </w:pPr>
          </w:p>
        </w:tc>
      </w:tr>
      <w:tr>
        <w:trPr>
          <w:trHeight w:val="206"/>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 flow hedges, net of taxes of $92, $(247), $505, $(301)</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1,990</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Accumulated effect of retirement benefit obligations: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Amounts reclassified from accumulated other comprehensive loss: </w:t>
            </w:r>
            <w:r>
              <w:rPr>
                <w:rFonts w:ascii="Arial" w:cs="Arial" w:eastAsia="Arial" w:hAnsi="Arial"/>
                <w:sz w:val="21"/>
                <w:szCs w:val="21"/>
                <w:color w:val="auto"/>
                <w:vertAlign w:val="superscript"/>
              </w:rPr>
              <w:t>(3)</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actuarial loss, net of taxes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07"/>
        </w:trPr>
        <w:tc>
          <w:tcPr>
            <w:tcW w:w="57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(1,788)</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(2,100)</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 at end of period</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(38,659)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(33,553)</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(38,659)</w:t>
            </w: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(33,553)</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Amounts are recorded in equity in (losses) earnings on the unaudited condensed statements of operations.</w:t>
      </w:r>
    </w:p>
    <w:p>
      <w:pPr>
        <w:spacing w:after="0" w:line="45" w:lineRule="exact"/>
        <w:rPr>
          <w:rFonts w:ascii="Arial" w:cs="Arial" w:eastAsia="Arial" w:hAnsi="Arial"/>
          <w:sz w:val="19"/>
          <w:szCs w:val="19"/>
          <w:color w:val="auto"/>
          <w:vertAlign w:val="superscript"/>
        </w:rPr>
      </w:pPr>
    </w:p>
    <w:p>
      <w:pPr>
        <w:ind w:left="320" w:hanging="312"/>
        <w:spacing w:after="0"/>
        <w:tabs>
          <w:tab w:leader="none" w:pos="320" w:val="left"/>
        </w:tabs>
        <w:numPr>
          <w:ilvl w:val="0"/>
          <w:numId w:val="11"/>
        </w:numPr>
        <w:rPr>
          <w:rFonts w:ascii="Arial" w:cs="Arial" w:eastAsia="Arial" w:hAnsi="Arial"/>
          <w:sz w:val="9"/>
          <w:szCs w:val="9"/>
          <w:color w:val="auto"/>
        </w:rPr>
      </w:pPr>
      <w:r>
        <w:rPr>
          <w:rFonts w:ascii="Arial" w:cs="Arial" w:eastAsia="Arial" w:hAnsi="Arial"/>
          <w:sz w:val="14"/>
          <w:szCs w:val="14"/>
          <w:color w:val="auto"/>
        </w:rPr>
        <w:t>Amounts reclassified are recorded in interest expense and cost of sales on the unaudited condensed consolidated statement of operations.</w:t>
      </w:r>
    </w:p>
    <w:p>
      <w:pPr>
        <w:spacing w:after="0" w:line="56" w:lineRule="exact"/>
        <w:rPr>
          <w:rFonts w:ascii="Arial" w:cs="Arial" w:eastAsia="Arial" w:hAnsi="Arial"/>
          <w:sz w:val="9"/>
          <w:szCs w:val="9"/>
          <w:color w:val="auto"/>
        </w:rPr>
      </w:pPr>
    </w:p>
    <w:p>
      <w:pPr>
        <w:ind w:left="320" w:hanging="312"/>
        <w:spacing w:after="0"/>
        <w:tabs>
          <w:tab w:leader="none" w:pos="320" w:val="left"/>
        </w:tabs>
        <w:numPr>
          <w:ilvl w:val="0"/>
          <w:numId w:val="11"/>
        </w:numPr>
        <w:rPr>
          <w:rFonts w:ascii="Arial" w:cs="Arial" w:eastAsia="Arial" w:hAnsi="Arial"/>
          <w:sz w:val="9"/>
          <w:szCs w:val="9"/>
          <w:color w:val="auto"/>
        </w:rPr>
      </w:pPr>
      <w:r>
        <w:rPr>
          <w:rFonts w:ascii="Arial" w:cs="Arial" w:eastAsia="Arial" w:hAnsi="Arial"/>
          <w:sz w:val="14"/>
          <w:szCs w:val="14"/>
          <w:color w:val="auto"/>
        </w:rPr>
        <w:t>Amounts are recorded in selling, general and administrative expense on the unaudited condensed consolidated statements of operations.</w:t>
      </w:r>
    </w:p>
    <w:p>
      <w:pPr>
        <w:spacing w:after="0" w:line="200" w:lineRule="exact"/>
        <w:rPr>
          <w:rFonts w:ascii="Arial" w:cs="Arial" w:eastAsia="Arial" w:hAnsi="Arial"/>
          <w:sz w:val="9"/>
          <w:szCs w:val="9"/>
          <w:color w:val="auto"/>
        </w:rPr>
      </w:pPr>
    </w:p>
    <w:p>
      <w:pPr>
        <w:spacing w:after="0" w:line="200" w:lineRule="exact"/>
        <w:rPr>
          <w:rFonts w:ascii="Arial" w:cs="Arial" w:eastAsia="Arial" w:hAnsi="Arial"/>
          <w:sz w:val="9"/>
          <w:szCs w:val="9"/>
          <w:color w:val="auto"/>
        </w:rPr>
      </w:pPr>
    </w:p>
    <w:p>
      <w:pPr>
        <w:spacing w:after="0" w:line="212" w:lineRule="exact"/>
        <w:rPr>
          <w:rFonts w:ascii="Arial" w:cs="Arial" w:eastAsia="Arial" w:hAnsi="Arial"/>
          <w:sz w:val="9"/>
          <w:szCs w:val="9"/>
          <w:color w:val="auto"/>
        </w:rPr>
      </w:pPr>
    </w:p>
    <w:p>
      <w:pPr>
        <w:ind w:left="5540" w:hanging="111"/>
        <w:spacing w:after="0"/>
        <w:tabs>
          <w:tab w:leader="none" w:pos="5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All statements other than statements of historical facts contained in this Quarterly Report on Form 10-Q are forward-looking statements.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When used in this Quarterly Report on Form 10-Q, the words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“expects,” “intends,” “predicts,” “plans,” “believes,” “may,” “should,” “would,”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on Form 10-Q. Important factors that could cause the Company’s actual results to differ materially from those expressed as forward-looking statements include, without limitation, those set forth in the Company’s Annual Report on Form 10-K for the fiscal year ended December 31, 2021 (the “2021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in the Company’s subsequent filings with the U.S. Securities and Exchange Commission (the “SEC”). Such risks, uncertainties and other important factors include, among others, risks related to:</w:t>
      </w:r>
    </w:p>
    <w:p>
      <w:pPr>
        <w:spacing w:after="0" w:line="84"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Macroeconomic conditions, including inflationary impacts and disruptions to the global 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ongoing impact of the COVID-19 pandemic;</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in supply chain costs, including raw materials, sourcing, transportation and energy;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United Kingdom's exit from the European Union on the Company's U.K.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tariffs and trade policies, particularly with respect to China;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Legislative or regulatory risks relating to climate change;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Indebtedness, compliance with credit agreements, and access to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the capital markets and credit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seasonality of the Company's cash flows;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ability to complete acquisitions or successfully integrate acquisitions, such as the recent acquisition of S'well;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Intense market competition and changing customer practices or preferences;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Dependence on third-party manufacturers;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Technology, cybersecurity and data privacy risks;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Geopolitical conditions, including war, conflict, unrest and sanctions, including those related to the conflict in Ukraine;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liability claims;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Reputational risks.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The Company is required to file its Annual Reports on Forms 10-K, Quarterly Reports on Forms 10-Q, Current Reports on Form 8-K, and other reports and documents as required from time to time with the SEC. The Company also maintains a website at </w:t>
      </w:r>
      <w:r>
        <w:rPr>
          <w:rFonts w:ascii="Arial" w:cs="Arial" w:eastAsia="Arial" w:hAnsi="Arial"/>
          <w:sz w:val="18"/>
          <w:szCs w:val="18"/>
          <w:i w:val="1"/>
          <w:iCs w:val="1"/>
          <w:u w:val="single" w:color="auto"/>
          <w:color w:val="auto"/>
        </w:rPr>
        <w:t>http://www.lifetimebrands.com</w:t>
      </w:r>
      <w:r>
        <w:rPr>
          <w:rFonts w:ascii="Arial" w:cs="Arial" w:eastAsia="Arial" w:hAnsi="Arial"/>
          <w:sz w:val="18"/>
          <w:szCs w:val="18"/>
          <w:color w:val="auto"/>
        </w:rPr>
        <w:t>. Information contained on this website is not a part of or incorporated by reference into this Quarterly Report on Form 10-Q. The Company makes available on its website the Company’s Annual Report on Form 10-K, Quarterly Reports on Form 10-Q, Current Reports on Form 8-K and any amendments to these reports as soon as reasonably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practicable after these reports are filed with or furnished to the SEC. Users can access these reports free of charge on the Company’s website. The SEC also maintains a website that contains reports, proxy and information statements, and other information regarding the Company’s electronic filings with the SEC at </w:t>
      </w:r>
      <w:r>
        <w:rPr>
          <w:rFonts w:ascii="Arial" w:cs="Arial" w:eastAsia="Arial" w:hAnsi="Arial"/>
          <w:sz w:val="18"/>
          <w:szCs w:val="18"/>
          <w:i w:val="1"/>
          <w:iCs w:val="1"/>
          <w:u w:val="single" w:color="auto"/>
          <w:color w:val="auto"/>
        </w:rPr>
        <w:t>http://www.sec.gov.</w:t>
      </w:r>
    </w:p>
    <w:p>
      <w:pPr>
        <w:spacing w:after="0" w:line="18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Company intends to use its website as a means of disclosing material non-public information and for complying with its disclosure obligations under Regulation FD. Such disclosures will be included on the Company’s website in the ‘Investor Relations’ section. Accordingly, investors should monitor such portion of the Company’s website, in addition to following the Company's press releases, SEC filings and public conference calls and webcasts.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kitchen scales, thermometers, cutting boards, shears, cookware, pantryware, spice racks, and bakeware) and Tableware (dinnerware, stemware, flatware, and giftware); and one category, Home Solutions, which comprises other products used in the home (thermal beverageware, bath scales, weather and outdoor household products, food storage, neoprene travel products and home décor). In 2021, Kitchenware products and Tableware products accounted for approximately 85% of the Company’s U.S. segment’s net sales and 87% of the Company’s consolidated net sales.</w:t>
      </w:r>
    </w:p>
    <w:p>
      <w:pPr>
        <w:spacing w:after="0" w:line="17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23"/>
          <w:szCs w:val="23"/>
          <w:color w:val="auto"/>
          <w:vertAlign w:val="superscript"/>
        </w:rPr>
        <w:t>®</w:t>
      </w:r>
      <w:r>
        <w:rPr>
          <w:rFonts w:ascii="Arial" w:cs="Arial" w:eastAsia="Arial" w:hAnsi="Arial"/>
          <w:sz w:val="18"/>
          <w:szCs w:val="18"/>
          <w:color w:val="auto"/>
        </w:rPr>
        <w:t>, KitchenAid</w:t>
      </w:r>
      <w:r>
        <w:rPr>
          <w:rFonts w:ascii="Arial" w:cs="Arial" w:eastAsia="Arial" w:hAnsi="Arial"/>
          <w:sz w:val="23"/>
          <w:szCs w:val="23"/>
          <w:color w:val="auto"/>
          <w:vertAlign w:val="superscript"/>
        </w:rPr>
        <w:t>®</w:t>
      </w:r>
      <w:r>
        <w:rPr>
          <w:rFonts w:ascii="Arial" w:cs="Arial" w:eastAsia="Arial" w:hAnsi="Arial"/>
          <w:sz w:val="18"/>
          <w:szCs w:val="18"/>
          <w:color w:val="auto"/>
        </w:rPr>
        <w:t>, Taylor</w:t>
      </w:r>
      <w:r>
        <w:rPr>
          <w:rFonts w:ascii="Arial" w:cs="Arial" w:eastAsia="Arial" w:hAnsi="Arial"/>
          <w:sz w:val="23"/>
          <w:szCs w:val="23"/>
          <w:color w:val="auto"/>
          <w:vertAlign w:val="superscript"/>
        </w:rPr>
        <w:t>®</w:t>
      </w:r>
      <w:r>
        <w:rPr>
          <w:rFonts w:ascii="Arial" w:cs="Arial" w:eastAsia="Arial" w:hAnsi="Arial"/>
          <w:sz w:val="18"/>
          <w:szCs w:val="18"/>
          <w:color w:val="auto"/>
        </w:rPr>
        <w:t>, Mikasa</w:t>
      </w:r>
      <w:r>
        <w:rPr>
          <w:rFonts w:ascii="Arial" w:cs="Arial" w:eastAsia="Arial" w:hAnsi="Arial"/>
          <w:sz w:val="23"/>
          <w:szCs w:val="23"/>
          <w:color w:val="auto"/>
          <w:vertAlign w:val="superscript"/>
        </w:rPr>
        <w:t>®</w:t>
      </w:r>
      <w:r>
        <w:rPr>
          <w:rFonts w:ascii="Arial" w:cs="Arial" w:eastAsia="Arial" w:hAnsi="Arial"/>
          <w:sz w:val="18"/>
          <w:szCs w:val="18"/>
          <w:color w:val="auto"/>
        </w:rPr>
        <w:t>, KitchenCraft</w:t>
      </w:r>
      <w:r>
        <w:rPr>
          <w:rFonts w:ascii="Arial" w:cs="Arial" w:eastAsia="Arial" w:hAnsi="Arial"/>
          <w:sz w:val="23"/>
          <w:szCs w:val="23"/>
          <w:color w:val="auto"/>
          <w:vertAlign w:val="superscript"/>
        </w:rPr>
        <w:t>®</w:t>
      </w:r>
      <w:r>
        <w:rPr>
          <w:rFonts w:ascii="Arial" w:cs="Arial" w:eastAsia="Arial" w:hAnsi="Arial"/>
          <w:sz w:val="18"/>
          <w:szCs w:val="18"/>
          <w:color w:val="auto"/>
        </w:rPr>
        <w:t>, Built NY</w:t>
      </w:r>
      <w:r>
        <w:rPr>
          <w:rFonts w:ascii="Arial" w:cs="Arial" w:eastAsia="Arial" w:hAnsi="Arial"/>
          <w:sz w:val="23"/>
          <w:szCs w:val="23"/>
          <w:color w:val="auto"/>
          <w:vertAlign w:val="superscript"/>
        </w:rPr>
        <w:t>®</w:t>
      </w:r>
      <w:r>
        <w:rPr>
          <w:rFonts w:ascii="Arial" w:cs="Arial" w:eastAsia="Arial" w:hAnsi="Arial"/>
          <w:sz w:val="18"/>
          <w:szCs w:val="18"/>
          <w:color w:val="auto"/>
        </w:rPr>
        <w:t>, Kamenstein</w:t>
      </w:r>
      <w:r>
        <w:rPr>
          <w:rFonts w:ascii="Arial" w:cs="Arial" w:eastAsia="Arial" w:hAnsi="Arial"/>
          <w:sz w:val="23"/>
          <w:szCs w:val="23"/>
          <w:color w:val="auto"/>
          <w:vertAlign w:val="superscript"/>
        </w:rPr>
        <w:t>®</w:t>
      </w:r>
      <w:r>
        <w:rPr>
          <w:rFonts w:ascii="Arial" w:cs="Arial" w:eastAsia="Arial" w:hAnsi="Arial"/>
          <w:sz w:val="18"/>
          <w:szCs w:val="18"/>
          <w:color w:val="auto"/>
        </w:rPr>
        <w:t>, Pfaltzgraff</w:t>
      </w:r>
      <w:r>
        <w:rPr>
          <w:rFonts w:ascii="Arial" w:cs="Arial" w:eastAsia="Arial" w:hAnsi="Arial"/>
          <w:sz w:val="23"/>
          <w:szCs w:val="23"/>
          <w:color w:val="auto"/>
          <w:vertAlign w:val="superscript"/>
        </w:rPr>
        <w:t>®</w:t>
      </w:r>
      <w:r>
        <w:rPr>
          <w:rFonts w:ascii="Arial" w:cs="Arial" w:eastAsia="Arial" w:hAnsi="Arial"/>
          <w:sz w:val="18"/>
          <w:szCs w:val="18"/>
          <w:color w:val="auto"/>
        </w:rPr>
        <w:t>, Rabbit</w:t>
      </w:r>
      <w:r>
        <w:rPr>
          <w:rFonts w:ascii="Arial" w:cs="Arial" w:eastAsia="Arial" w:hAnsi="Arial"/>
          <w:sz w:val="23"/>
          <w:szCs w:val="23"/>
          <w:color w:val="auto"/>
          <w:vertAlign w:val="superscript"/>
        </w:rPr>
        <w:t>®</w:t>
      </w:r>
      <w:r>
        <w:rPr>
          <w:rFonts w:ascii="Arial" w:cs="Arial" w:eastAsia="Arial" w:hAnsi="Arial"/>
          <w:sz w:val="18"/>
          <w:szCs w:val="18"/>
          <w:color w:val="auto"/>
        </w:rPr>
        <w:t>, and Sabatier</w:t>
      </w:r>
      <w:r>
        <w:rPr>
          <w:rFonts w:ascii="Arial" w:cs="Arial" w:eastAsia="Arial" w:hAnsi="Arial"/>
          <w:sz w:val="23"/>
          <w:szCs w:val="23"/>
          <w:color w:val="auto"/>
          <w:vertAlign w:val="superscript"/>
        </w:rPr>
        <w:t>®</w:t>
      </w:r>
      <w:r>
        <w:rPr>
          <w:rFonts w:ascii="Arial" w:cs="Arial" w:eastAsia="Arial" w:hAnsi="Arial"/>
          <w:sz w:val="18"/>
          <w:szCs w:val="18"/>
          <w:color w:val="auto"/>
        </w:rPr>
        <w:t>. Historically, the Company’s sales growth has come from expanding product offerings within its product categories,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20"/>
          <w:szCs w:val="20"/>
          <w:color w:val="auto"/>
        </w:rPr>
        <w:t>D</w:t>
      </w:r>
      <w:r>
        <w:rPr>
          <w:rFonts w:ascii="Arial" w:cs="Arial" w:eastAsia="Arial" w:hAnsi="Arial"/>
          <w:sz w:val="17"/>
          <w:szCs w:val="17"/>
          <w:color w:val="auto"/>
        </w:rPr>
        <w:t>isruptions in the global supply chain have been caused by various factors, including increased demand for containers, limited container capacity and</w:t>
      </w:r>
      <w:r>
        <w:rPr>
          <w:rFonts w:ascii="Arial" w:cs="Arial" w:eastAsia="Arial" w:hAnsi="Arial"/>
          <w:sz w:val="20"/>
          <w:szCs w:val="20"/>
          <w:color w:val="auto"/>
        </w:rPr>
        <w:t xml:space="preserve"> </w:t>
      </w:r>
      <w:r>
        <w:rPr>
          <w:rFonts w:ascii="Arial" w:cs="Arial" w:eastAsia="Arial" w:hAnsi="Arial"/>
          <w:sz w:val="17"/>
          <w:szCs w:val="17"/>
          <w:color w:val="auto"/>
        </w:rPr>
        <w:t>backlog at shipping ports. The global economy is experiencing accelerated inflation, which has in part been caused by the supply chain disruptions, higher consumer spending and low interest rates. Further, the United Kingdom economy has been facing unfavorable economic and market conditions, with high inflation and low consumer confidence due to uncertain geopolitical and economic outlooks. The rise in inflation is contributing to higher prices, which may result in higher input cost for products, increased transportation and labor cost and impact consumer spending and buying patterns. The Company has been adversely impacted by these trends in 2022.</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has experienced an increase in delivery times and cost for products shipped from its U.K. warehouse to continental Europe. To remain competitive in the distribution of products within continental Europe, the Company expanded its distribution and warehouse capacity through a third-party operated distribution provider located in the Netherlands in the first quarter of 2022. The Company began shipments from this location in the second quarter of 2022.</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March 23 2022, the United States Trade Representative ("USTR") announced it had reinstated exclusions on certain product categories or harmonized tariff codes retroactive to October 12, 2021. The exclusion is effective through December 31, 2023.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two reportable segments, U.S. and International. The Company has segmented its operations to reflect the manner in which management reviews and evaluates the results of its operations. The U.S. segment includes the Company’s primary domestic business that designs, markets and distributes its products to retailers, distributors and directly to consumers through its own websites. The International segment consists of certain business operations conducted outside the U.S. Management evaluates the performance of the U.S. and International segments based on net sales and income from operations. Such measures give recognition to specifically identifiable operating costs such as cost of sales, distribution expenses and selling, general and administrative expenses. Certain general and administrative expenses, such as senior executive salaries and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benefits, stock compensation, director fees, and accounting, legal fees and consulting fees, are not allocated to the specific segments and are reflected as unallocated corporate expenses.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As of September 30, 2022, the Company owned 24.7% of the outstanding capital stock of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nine months ended September 30, 2022 and 2021 in the accompanying unaudited condensed consolidated statements of operations. Pursuant to a Shares Subscription Agreement, the Company may designate four persons to be nominated as members of Vasconia’s Board of Directors. As of September 30, 2022, Vasconia’s Board of Directors is comprised of eleven members, of whom the Company has designated two members.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On June 30, 2021, Vasconia issued additional shares of its stock, which diluted the Company’s investment ownership from approximately 30%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27%. The Company recorded a non-cash gain of $1.7 million, increasing the Company’s investment balance. Additionally, a loss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 million was recognized for the proportionate share of the diluted ownership for amounts previously recognized in accumulated other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The net loss of $0.3 million was included in equity in earnings, net of taxes, in the accompanying unaudited condensed consolidated statements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nine months ended September 30, 2021.</w:t>
      </w:r>
    </w:p>
    <w:p>
      <w:pPr>
        <w:spacing w:after="0" w:line="21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29, 2021, the Company sold 2.2 million shares further reducing its ownership from approximately 27% to approximately 25% in Vasconia for net cash proceeds of approximately $3.1 million. As a result, the Company recorded a gain of $1.0 million, after decreasing the Company’s investment balance. The gain on the sale resulted in a tax expense of $0.1 million. Additionally, a loss of $1.4 million was recognized for the proportionate share of the reduced ownership for amounts previously recognized in accumulated other comprehensive loss. The net loss, including taxes, of $0.5 million was included in equity in earnings (losses), net of taxes, in the accompanying unaudited condensed consolidated statements of operations for the three and nine months ended September 30,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business and working capital needs are seasonal, with a majority of sales occurring in the third and fourth quarters. In 2021 and 2020, net sales for the third and fourth quarters accounted for 56% and 62% of total annual net sales, respectively. The increase in the Company's net sales in the first half of the year in 2021 compared to historical trend was a result of increased demand for the Company's products due to shifts in consumer purchasing patterns. In anticipation of the pre-holiday shipping season, inventory levels increase primarily in the June through October time period. In 2022, the Company's inventory trends may deviate from historical trends due to a change in inventory strategy to react to the current market conditions impacting the Company and retailers.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Consistent with the seasonality of the Company’s net sales and inventory levels, the Company also experiences seasonality in its inventory turnover and turnover days from one quarter to the next.</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COVID-19 pandemic has caused, and may continue to cause, shifts in some of the Company's selling and purchasing cycles as customers deviate from their historical ordering patterns.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There have been no material changes to the Company’s critical accounting estimates discussed in the 2021 Annual Report on Form 10-K in Item 7 under the heading </w:t>
      </w:r>
      <w:r>
        <w:rPr>
          <w:rFonts w:ascii="Arial" w:cs="Arial" w:eastAsia="Arial" w:hAnsi="Arial"/>
          <w:sz w:val="16"/>
          <w:szCs w:val="16"/>
          <w:i w:val="1"/>
          <w:iCs w:val="1"/>
          <w:color w:val="auto"/>
        </w:rPr>
        <w:t>Management’s Discussion and Analysis of Financial Condition and Results of Operations – Critical Accounting Policies and Estimates</w:t>
      </w:r>
      <w:r>
        <w:rPr>
          <w:rFonts w:ascii="Arial" w:cs="Arial" w:eastAsia="Arial" w:hAnsi="Arial"/>
          <w:sz w:val="16"/>
          <w:szCs w:val="16"/>
          <w:color w:val="auto"/>
        </w:rPr>
        <w:t>.</w:t>
      </w: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of the Company as a percentage of net sales for the periods indicated: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40" w:type="dxa"/>
            <w:vAlign w:val="bottom"/>
          </w:tcPr>
          <w:p>
            <w:pPr>
              <w:spacing w:after="0"/>
              <w:rPr>
                <w:sz w:val="16"/>
                <w:szCs w:val="16"/>
                <w:color w:val="auto"/>
              </w:rPr>
            </w:pPr>
          </w:p>
        </w:tc>
        <w:tc>
          <w:tcPr>
            <w:tcW w:w="282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28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Nine Months Ended</w:t>
            </w:r>
          </w:p>
        </w:tc>
      </w:tr>
      <w:tr>
        <w:trPr>
          <w:trHeight w:val="213"/>
        </w:trPr>
        <w:tc>
          <w:tcPr>
            <w:tcW w:w="5440" w:type="dxa"/>
            <w:vAlign w:val="bottom"/>
          </w:tcPr>
          <w:p>
            <w:pPr>
              <w:spacing w:after="0"/>
              <w:rPr>
                <w:sz w:val="18"/>
                <w:szCs w:val="18"/>
                <w:color w:val="auto"/>
              </w:rPr>
            </w:pPr>
          </w:p>
        </w:tc>
        <w:tc>
          <w:tcPr>
            <w:tcW w:w="1940" w:type="dxa"/>
            <w:vAlign w:val="bottom"/>
            <w:tcBorders>
              <w:bottom w:val="single" w:sz="8" w:color="auto"/>
            </w:tcBorders>
            <w:gridSpan w:val="3"/>
          </w:tcPr>
          <w:p>
            <w:pPr>
              <w:ind w:left="920"/>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bottom w:val="single" w:sz="8" w:color="auto"/>
            </w:tcBorders>
            <w:gridSpan w:val="3"/>
          </w:tcPr>
          <w:p>
            <w:pPr>
              <w:jc w:val="center"/>
              <w:ind w:left="799"/>
              <w:spacing w:after="0"/>
              <w:rPr>
                <w:sz w:val="20"/>
                <w:szCs w:val="20"/>
                <w:color w:val="auto"/>
              </w:rPr>
            </w:pPr>
            <w:r>
              <w:rPr>
                <w:rFonts w:ascii="Arial" w:cs="Arial" w:eastAsia="Arial" w:hAnsi="Arial"/>
                <w:sz w:val="16"/>
                <w:szCs w:val="16"/>
                <w:b w:val="1"/>
                <w:bCs w:val="1"/>
                <w:color w:val="auto"/>
                <w:w w:val="89"/>
              </w:rPr>
              <w:t>September 30,</w:t>
            </w:r>
          </w:p>
        </w:tc>
        <w:tc>
          <w:tcPr>
            <w:tcW w:w="880" w:type="dxa"/>
            <w:vAlign w:val="bottom"/>
            <w:tcBorders>
              <w:bottom w:val="single" w:sz="8" w:color="auto"/>
            </w:tcBorders>
          </w:tcPr>
          <w:p>
            <w:pPr>
              <w:spacing w:after="0"/>
              <w:rPr>
                <w:sz w:val="18"/>
                <w:szCs w:val="18"/>
                <w:color w:val="auto"/>
              </w:rPr>
            </w:pPr>
          </w:p>
        </w:tc>
      </w:tr>
      <w:tr>
        <w:trPr>
          <w:trHeight w:val="210"/>
        </w:trPr>
        <w:tc>
          <w:tcPr>
            <w:tcW w:w="544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2021</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2021</w:t>
            </w:r>
          </w:p>
        </w:tc>
      </w:tr>
      <w:tr>
        <w:trPr>
          <w:trHeight w:val="212"/>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Cost of sales</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63.0</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64.5</w:t>
            </w:r>
          </w:p>
        </w:tc>
      </w:tr>
      <w:tr>
        <w:trPr>
          <w:trHeight w:val="21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36.4</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37.0</w:t>
            </w:r>
          </w:p>
        </w:tc>
        <w:tc>
          <w:tcPr>
            <w:tcW w:w="100" w:type="dxa"/>
            <w:vAlign w:val="bottom"/>
          </w:tcPr>
          <w:p>
            <w:pPr>
              <w:spacing w:after="0"/>
              <w:rPr>
                <w:sz w:val="18"/>
                <w:szCs w:val="18"/>
                <w:color w:val="auto"/>
              </w:rPr>
            </w:pP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35.5</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Distribution expenses</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8.4</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9.3</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9"/>
                <w:szCs w:val="19"/>
                <w:color w:val="auto"/>
              </w:rPr>
            </w:pPr>
          </w:p>
        </w:tc>
        <w:tc>
          <w:tcPr>
            <w:tcW w:w="1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19.2</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Wallace facility remediation expense</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0.2</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0.1</w:t>
            </w:r>
          </w:p>
        </w:tc>
      </w:tr>
      <w:tr>
        <w:trPr>
          <w:trHeight w:val="21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13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360" w:type="dxa"/>
            <w:vAlign w:val="bottom"/>
          </w:tcPr>
          <w:p>
            <w:pPr>
              <w:ind w:left="88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(1.7)</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(1.9)</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 to market gain on interest rate derivatives</w:t>
            </w: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9"/>
                <w:szCs w:val="19"/>
                <w:color w:val="auto"/>
              </w:rPr>
            </w:pPr>
          </w:p>
        </w:tc>
        <w:tc>
          <w:tcPr>
            <w:tcW w:w="1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r>
      <w:tr>
        <w:trPr>
          <w:trHeight w:val="207"/>
        </w:trPr>
        <w:tc>
          <w:tcPr>
            <w:tcW w:w="5440" w:type="dxa"/>
            <w:vAlign w:val="bottom"/>
          </w:tcPr>
          <w:p>
            <w:pPr>
              <w:ind w:left="20"/>
              <w:spacing w:after="0"/>
              <w:rPr>
                <w:sz w:val="20"/>
                <w:szCs w:val="20"/>
                <w:color w:val="auto"/>
              </w:rPr>
            </w:pPr>
            <w:r>
              <w:rPr>
                <w:rFonts w:ascii="Arial" w:cs="Arial" w:eastAsia="Arial" w:hAnsi="Arial"/>
                <w:sz w:val="16"/>
                <w:szCs w:val="16"/>
                <w:color w:val="auto"/>
              </w:rPr>
              <w:t>Income before income taxes and equity in (losses) earnings</w:t>
            </w:r>
          </w:p>
        </w:tc>
        <w:tc>
          <w:tcPr>
            <w:tcW w:w="136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8.0</w:t>
            </w:r>
          </w:p>
        </w:tc>
        <w:tc>
          <w:tcPr>
            <w:tcW w:w="1460" w:type="dxa"/>
            <w:vAlign w:val="bottom"/>
            <w:gridSpan w:val="2"/>
          </w:tcPr>
          <w:p>
            <w:pPr>
              <w:jc w:val="right"/>
              <w:ind w:right="119"/>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5.1</w:t>
            </w:r>
          </w:p>
        </w:tc>
      </w:tr>
      <w:tr>
        <w:trPr>
          <w:trHeight w:val="219"/>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3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1360" w:type="dxa"/>
            <w:vAlign w:val="bottom"/>
            <w:shd w:val="clear" w:color="auto" w:fill="CCEEFF"/>
          </w:tcPr>
          <w:p>
            <w:pPr>
              <w:ind w:left="880"/>
              <w:spacing w:after="0"/>
              <w:rPr>
                <w:sz w:val="20"/>
                <w:szCs w:val="20"/>
                <w:color w:val="auto"/>
              </w:rPr>
            </w:pPr>
            <w:r>
              <w:rPr>
                <w:rFonts w:ascii="Arial" w:cs="Arial" w:eastAsia="Arial" w:hAnsi="Arial"/>
                <w:sz w:val="16"/>
                <w:szCs w:val="16"/>
                <w:color w:val="auto"/>
              </w:rPr>
              <w:t>(0.7)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w:t>
            </w:r>
          </w:p>
        </w:tc>
      </w:tr>
      <w:tr>
        <w:trPr>
          <w:trHeight w:val="213"/>
        </w:trPr>
        <w:tc>
          <w:tcPr>
            <w:tcW w:w="5440" w:type="dxa"/>
            <w:vAlign w:val="bottom"/>
          </w:tcPr>
          <w:p>
            <w:pPr>
              <w:ind w:left="20"/>
              <w:spacing w:after="0"/>
              <w:rPr>
                <w:sz w:val="20"/>
                <w:szCs w:val="20"/>
                <w:color w:val="auto"/>
              </w:rPr>
            </w:pPr>
            <w:r>
              <w:rPr>
                <w:rFonts w:ascii="Arial" w:cs="Arial" w:eastAsia="Arial" w:hAnsi="Arial"/>
                <w:sz w:val="16"/>
                <w:szCs w:val="16"/>
                <w:color w:val="auto"/>
              </w:rPr>
              <w:t>Equity in (losses) earnings, net of taxes</w:t>
            </w:r>
          </w:p>
        </w:tc>
        <w:tc>
          <w:tcPr>
            <w:tcW w:w="1360" w:type="dxa"/>
            <w:vAlign w:val="bottom"/>
          </w:tcPr>
          <w:p>
            <w:pPr>
              <w:ind w:left="88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0.1</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0.1</w:t>
            </w:r>
          </w:p>
        </w:tc>
      </w:tr>
      <w:tr>
        <w:trPr>
          <w:trHeight w:val="234"/>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13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w w:val="97"/>
              </w:rPr>
              <w:t>(3.4)%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w w:val="97"/>
              </w:rPr>
              <w:t>(1.8)%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3.5 %</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SEPTEMBER 30, 2022 COMPARED TO THE THREE MONTHS ENDED SEPTEMBER 30, 2021</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Consolidated net sales for the three months ended September 30, 2022 were $186.6 million, representing a decrease of $38.2 million, or 17.0%, as compared to net sales of $224.8 million for the corresponding period in 2021. In constant currency, a non-GAAP financial measure, which excludes the impact of foreign exchange fluctuations and was determined by applying 2022 average rates to 2021 local currency amounts, consolidated net sales decreased by $34.7 million, or 15.7%, as compared to consolidated net sales in the corresponding period in 2021.</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Net sales for the U.S. segment for the three months ended September 30, 2022 were $172.8 million, a decrease of $24.9 million, or 12.6%, as compared to net sales of $197.7 million for the corresponding period in 2021.</w:t>
      </w:r>
    </w:p>
    <w:p>
      <w:pPr>
        <w:spacing w:after="0" w:line="170"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Net sales for the U.S. segment’s Kitchenware product category were $92.6 million for the three months ended September 30, 2022, a decrease of $20.8 million, or 18.3%, as compared to $113.4 million for the corresponding period in 2021. The decrease was driven by lower sales for kitchen tools and gadgets, cutlery and boards, and bakeware primarily due to inventory buildup at brick-and-mortar and e-commerce retailers.</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Net sales for the U.S. segment’s Tableware product category were $44.5 million for the three months ended September 30, 2022, a decrease of $7.2 million, or 13.9%, as compared to $51.7 million for the corresponding period in 2021. The decrease was driven by lower flatware sales to brick-and-mortar retailers.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Net sales for the U.S. segment’s Home Solutions product category were $35.7 million for the three months ended September 30, 2022, an increase of $3.1 million, or 9.5%, as compared to $32.6 million for the corresponding period in 2021. The increase was due to an increase in hydration product sales attributable to S'well, partially offset by lower sales for measurement products.</w:t>
      </w:r>
    </w:p>
    <w:p>
      <w:pPr>
        <w:spacing w:after="0" w:line="184"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Net sales for the International segment were $13.8 million for the three months ended September 30, 2022, a decrease of $13.3 million, or 49.1%, as compared to net sales of $27.1 million for the corresponding period in 2021. In constant currency, which excludes the impact of foreign exchange fluctuations, net sales decreased $9.9 million, or 41.9%, as compared to consolidated net sales in the corresponding period in 2021. The decrease was driven by lower sales to brick-and-mortar retailers and e-commerce sales due to low consumer confidence in the region.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Gross margin for the three months ended September 30, 2022 was $67.8 million, or 36.4%, as compared to $83.1 million, or 37.0%, for the corresponding period in 2021.</w:t>
      </w:r>
    </w:p>
    <w:p>
      <w:pPr>
        <w:spacing w:after="0" w:line="17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Gross margin for the U.S. segment was $63.3 million, or 36.6%, for the three months ended September 30, 2022, as compared to $74.5 million, or 37.7%, for the corresponding period in 2021. The decrease in gross margin was driven by lower sales. The decrease in gross margin percentage for the U.S. was driven by product mix.</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Gross margin for the International segment was $4.5 million, or 32.6%, for the three months ended September 30, 2022, as compared to $8.6 million, or 31.7%, for the corresponding period in 2021. The decrease in gross margin was driven by lower sales. The improvement in the gross margin percentage was attributable to product and customer mix.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Distribution expenses for the three months ended September 30, 2022 were $18.6 million, as compared to $18.9 million for the corresponding period in 2021. Distribution expenses as a percentage of net sales were 10.0% for the three months ended September 30, 2022, as compared to 8.4% for the three months ended September 30, 2021.</w:t>
      </w:r>
    </w:p>
    <w:p>
      <w:pPr>
        <w:spacing w:after="0" w:line="18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Distribution expenses as a percentage of net sales for the U.S. segment were approximately 9.0% and 7.2% for the three months ended September 30, 2022 and 2021, respectively. As a percentage of sales shipped from the Company’s U.S. warehouses, distribution expenses were 10.4% and 8.4% for the three months ended September 30, 2022 and 2021, respectively. The increase in expenses as a percentage of sales was attributable to lower shipment volume resulting in an unfavorable impact of fixed expenses, increased storage fees due to high inventory levels and higher labor rates.</w:t>
      </w:r>
    </w:p>
    <w:p>
      <w:pPr>
        <w:spacing w:after="0" w:line="15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Distribution expenses as a percentage of net sales for the International segment were 22.5% for the three months ended September 30, 2022, compared to 17.5% for the corresponding period in 2021. As a percentage of sales shipped from the Company’s international warehouses, excluding non-recurring expenses, distribution expenses were 22.9% and 14.5% for the three months ended September 30, 2022 and 2021, respectively. The increase was attributable to lower shipment volume, higher warehouse supply expenses and an increase in business occupancy tax expense for the U.K. warehouse, partially offset by lower labor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Selling, general and administrative expenses for the three months ended September 30, 2022 were $36.5 million, a decrease of $5.5 million, or 13.1%, as compared to $42.0 million for the corresponding period in 2021.</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Selling, general and administrative expenses for the U.S. segment were $28.3 million for the three months ended September 30, 2022, as compared to</w:t>
      </w:r>
    </w:p>
    <w:p>
      <w:pPr>
        <w:spacing w:after="0" w:line="4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$29.3 million for the corresponding period in 2021. As a percentage of net sales, selling, general and administrative expenses were 16.4% and 14.8% for the three months ended September 30, 2022 and 2021, respectively. The decrease was attributable to lower incentive compensation, partially offset by an increase in selling expenses related to advertising and trade shows.</w:t>
      </w:r>
    </w:p>
    <w:p>
      <w:pPr>
        <w:spacing w:after="0" w:line="1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Selling, general and administrative expenses for the International segment were $3.9 million for the three months ended September 30, 2022, as compared to $6.3 million for the corresponding period in 2021. As a percentage of net sales, selling, general and administrative expenses were 28.3% and 23.3% for the three months ended September 30, 2022 and 2021, respectively. The expense decrease was attributable to lower amortization expense on intangible assets as a result of the prior year impairment and lower unfavorable foreign currency exchange losses.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Unallocated corporate expenses for the three months ended September 30, 2022 were $4.3 million, as compared to $6.4 million for the corresponding period in 2021. The current period decrease was driven by lower incentive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Wallace facility remediation expense</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Wallace EPA matter, the Company recorded an additional expense of $5.1 million for the three months ended September 30, 2022, to increase its estimated liability for remediation cost related to the Wallace facility. For the three months ended September 30, 2021, the Company recorded an initial estimate of $0.5 million, related to remedial design portion of the liability. Refer to NOTE 13 — CONTINGENCIES for further discussion on this matter.</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expense was $4.6 million and $3.8 million for the three months ended September 30, 2022 and 2021, respectively. The increase in expense was a result of higher interest rates on outstanding borrowings in the current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gain on interest rate derivatives</w:t>
      </w:r>
    </w:p>
    <w:p>
      <w:pPr>
        <w:spacing w:after="0" w:line="12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Mark to market gain on interest rate derivatives was $0.6 million for the three months ended September 30, 2022, as compared to a mark to market gain on interest rate derivatives of $0.1 million for the three months ended September 30, 2021. The increase was attributable to the change in the fair value based on the increase in interest rates.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September 30, 2022, the intent of the Company is to hold these derivative contracts until their maturity.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Income tax provision of $1.8 million and income tax provision of $5.6 million for the three months ended September 30, 2022 and 2021, respectively, represent taxes on both U.S. and foreign earnings at a combined effective income tax provision rate of 50.6% and 31.1%, respectively. The effective tax rate for the three months ended September 30, 2022 differs from the federal statutory income tax rate of 21.0% primarily due to foreign losses for which no tax benefit is recognized as such amounts are fully offset with a valuation allowance. The effective tax rate for the three months ended September 30, 2021 differs from the federal statutory income tax rate of 21.0% primarily due to state and local tax expense, and foreign losses for which no tax benefit is recognized as such amounts are fully offset with a valuation allowance.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 earnings</w:t>
      </w:r>
    </w:p>
    <w:p>
      <w:pPr>
        <w:spacing w:after="0" w:line="12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Equity in losses of Vasconia, net of taxes, was $8.2 million for the three months ended September 30, 2022, as compared to equity in earnings of Vasconia, net of taxes, of $0.7 million for the three months ended September 30, 2021. Vasconia reported loss from operations of $5.5 million for the three months ended September 30, 2022, as compared to income from operations of $3.9 million for the three months ended September 30, 2021. The decrease in income from operations was primarily attributable to decreased operating results in the current period in Vasconia's kitchenware and aluminum division.</w:t>
      </w:r>
    </w:p>
    <w:p>
      <w:pPr>
        <w:spacing w:after="0" w:line="15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recorded an impairment charge of $6.2 million to reduce the carrying value of the Company's investment in Vasconia to its fair value. The decline in the fair value was determined to be other than temporary due to the decline in the quoted stock price and the quarterly decline in the operating results of Vasconia.</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September 30, 2021, the Company recognized a net loss, including taxes, of $0.5 million related to a partial sale of the Company's ownership in its Vasconia investment. The net loss was comprised of a gain of $1.0 million, for the difference between the selling price and the Company’s basis in the sale of shares, offset by tax expense of $0.1 million and a loss of $1.4 million, related to amounts previously recognized in accumulated other comprehensive loss.</w:t>
      </w:r>
    </w:p>
    <w:p>
      <w:pPr>
        <w:spacing w:after="0" w:line="291" w:lineRule="exact"/>
        <w:rPr>
          <w:sz w:val="20"/>
          <w:szCs w:val="20"/>
          <w:color w:val="auto"/>
        </w:rPr>
      </w:pPr>
    </w:p>
    <w:p>
      <w:pPr>
        <w:jc w:val="center"/>
        <w:ind w:left="360" w:right="1760"/>
        <w:spacing w:after="0" w:line="275" w:lineRule="auto"/>
        <w:rPr>
          <w:sz w:val="20"/>
          <w:szCs w:val="20"/>
          <w:color w:val="auto"/>
        </w:rPr>
      </w:pPr>
      <w:r>
        <w:rPr>
          <w:rFonts w:ascii="Arial" w:cs="Arial" w:eastAsia="Arial" w:hAnsi="Arial"/>
          <w:sz w:val="18"/>
          <w:szCs w:val="18"/>
          <w:b w:val="1"/>
          <w:bCs w:val="1"/>
          <w:color w:val="auto"/>
        </w:rPr>
        <w:t>MANAGEMENT’S DISCUSSION AND ANALYSIS NINE MONTHS ENDED SEPTEMBER 30, 2022 COMPARED TO THE NINE MONTHS ENDED SEPTEMBER 30, 2021</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Consolidated net sales for the nine months ended September 30, 2022 were $520.6 million, a decrease of $86.5 million, or 14.2%, as compared to net sales of $607.1 million for the corresponding period in 2021. In constant currency, a non-GAAP financial measure, which excludes the impact of foreign exchange fluctuations and was determined by applying 2022 average rates to 2021 local currency amounts, consolidated net sales decreased by $81.8 million, or 13.6%, as compared to consolidated net sales in the corresponding period in 2021.</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sales for the U.S. segment for the nine months ended September 30, 2022 were $476.2 million, a decrease of $64.3 million, or 11.9%, as compared to net sales of $540.5 million for the corresponding period in 2021.</w:t>
      </w:r>
    </w:p>
    <w:p>
      <w:pPr>
        <w:spacing w:after="0" w:line="17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Net sales for the U.S. segment’s Kitchenware product category were $291.1 million for the nine months ended September 30, 2022, a decrease of $46.0 million, or 13.6%, as compared to $337.1 million for the corresponding period in 2021. The decrease was mainly driven by lower sales for kitchen tools and gadgets, cutlery and board, and bakeware products primarily due to</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inventory buildup at brick-and-mortar and e-commerce retailers. The decrease was partially offset by an increase in sales for barware and wine products attributable to a new warehouse club program in 2022.</w:t>
      </w:r>
    </w:p>
    <w:p>
      <w:pPr>
        <w:spacing w:after="0" w:line="170"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Net sales for the U.S. segment’s Tableware product category were $101.0 million for the nine months ended September 30, 2022, a decrease of $18.2 million, or 15.3%, as compared to $119.2 million for the corresponding period in 2021. The decrease came from all product lines due to lower sales to brick-and-mortar retailers and e-commerce sales.</w:t>
      </w:r>
    </w:p>
    <w:p>
      <w:pPr>
        <w:spacing w:after="0" w:line="184"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Net sales for the U.S. segment’s Home Solutions product category were $84.1 million for the nine months ended September 30, 2022, a decrease of $0.1 million, or 0.1%, as compared to $84.2 million for the corresponding period in 2021. The decrease was primarily driven by lower sales for measurement and home décor products, partially offset by hydration product sales attributable to S'well.</w:t>
      </w:r>
    </w:p>
    <w:p>
      <w:pPr>
        <w:spacing w:after="0" w:line="18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Net sales for the International segment were $44.4 million for the nine months ended September 30, 2022, a decrease of $22.2 million, or 33.3%, as compared to net sales of $66.6 million for the corresponding period in 2021. In constant currency, which excludes the impact of foreign exchange fluctuations, net sales decreased $17.7 million, or 28.5%, as compared to consolidated net sales in the corresponding period in 2021. The decrease was attributable to lower sales to brick-and-mortar retailers, e-commerce sales and a decrease in the Company’s global trading business in Asia driven by lower sales with an Australian distributor.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1060"/>
        <w:spacing w:after="0" w:line="277" w:lineRule="auto"/>
        <w:rPr>
          <w:sz w:val="20"/>
          <w:szCs w:val="20"/>
          <w:color w:val="auto"/>
        </w:rPr>
      </w:pPr>
      <w:r>
        <w:rPr>
          <w:rFonts w:ascii="Arial" w:cs="Arial" w:eastAsia="Arial" w:hAnsi="Arial"/>
          <w:sz w:val="18"/>
          <w:szCs w:val="18"/>
          <w:color w:val="auto"/>
        </w:rPr>
        <w:t>Gross margin for the nine months ended September 30, 2022 was $186.1 million, or 35.7%, as compared to $215.3 million, or 35.5%, for the corresponding period in 2021.</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Gross margin for the U.S. segment was $172.1 million, or 36.1%, for the nine months ended September 30, 2022, as compared to $193.9 million, or 35.9%, for the corresponding period in 2021. The decrease in gross margin for the U.S. was driven by lower sales. The improvement in gross margin percentage was due to product mix, a tariff reduction on certain product categories and less dependency on non-vessel operating common carriers.</w:t>
      </w:r>
    </w:p>
    <w:p>
      <w:pPr>
        <w:spacing w:after="0" w:line="16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Gross margin for the International segment was $14.0 million, or 31.5%, for the nine months ended September 30, 2022, as compared to $21.4 million, or 32.1%, for the corresponding period in 2021. The decrease in gross margin was driven by lower sales. The decrease in gross margin percentage was due to the impact of fixed overhead costs on lower sales volume for the 2022 period, partially offset by customer mix.</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Distribution expenses for the nine months ended September 30, 2022 were $55.2 million, as compared to $56.5 million for the corresponding period in 2021. Distribution expenses as a percentage of net sales were 10.6% for the nine months ended September 30, 2022, as compared to 9.3% for the nine months ended September 30, 2021.</w:t>
      </w:r>
    </w:p>
    <w:p>
      <w:pPr>
        <w:spacing w:after="0" w:line="184"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Distribution expenses as a percentage of net sales for the U.S. segment were approximately 9.4% and 8.2% for the nine months ended September 30, 2022 and 2021, respectively. Distribution expenses during the nine months ended September 30, 2022 include $0.1 million for the Company’s distribution operation redesign costs. As a percentage of sales shipped from the Company’s U.S. warehouses, excluding non-recurring expenses, distribution expenses were 10.5% and 8.9% for the nine months ended September 30, 2022 and 2021, respectively. The increase in the expenses as a percentage of sales was a result of lower shipment volume resulting in an unfavorable impact of fixed expenses, increased storage fees due to high inventory levels and higher labor rates, partially offset by lower warehouse equipment and supply expenses.</w:t>
      </w:r>
    </w:p>
    <w:p>
      <w:pPr>
        <w:spacing w:after="0" w:line="17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Distribution expenses as a percentage of net sales for the International segment were 23.5% for the nine months ended September 30, 2022, compared to 18.1% for the corresponding period in 2021. Distribution expenses during the nine months ended September 30, 2022 include $0.5 million for the Company’s relocation costs for its new warehouse distribution facility in the Netherlands. As a percentage of sales shipped from the Company’s international warehouse, excluding non-recurring expenses, distribution expenses were 22.2% and 15.4% for the nine months ended September 30, 2022 and 2021, respectively. The increase was primarily attributed to lower shipment volume, higher warehouse supply expenses and an increase in business occupancy tax expense for the U.K. warehouse, partially offset by lower labor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Selling, general and administrative expenses for the nine months ended September 30, 2022 were $114.2 million, a decrease of $2.2 million, or 1.9%, as compared to $116.4 million for the corresponding period in 2021.</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Selling, general and administrative expenses for the U.S. segment were $85.9 million for the nine months ended September 30, 2022, as compared to $83.2 million for the corresponding period in 2021. As a percentage of net sales, selling, general and administrative expenses were 18.0% and 15.4% for the nine months ended September 30, 2022 and 2021, respectively. The increase was attributable to integration costs related to the S'well acquisition, higher advertising expenses and employee related expenses, partially offset by lower incentive compensation.</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Selling, general and administrative expenses for the International segment were $13.2 million for the nine months ended September 30, 2022, as compared to $15.5 million for the corresponding period in 2021. The decrease was primarily attributable to lower amortization expense on intangible assets as a result of the prior year impairment.</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Unallocated corporate expenses for the nine months ended September 30, 2022 were $15.1 million, as compared to $17.7 million for the corresponding period in 2021. The decrease was driven by lower incentive compensation expense, partially offset by an increase in legal and professional fees related to the S'well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Wallace facility remediation expense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Wallace EPA matter, the Company recorded an additional expense of $5.1 million for the nine months ended September 30, 2022, to increase its estimated liability for remediation cost related to the Wallace facility. For the nine months ended September 30, 2021, the Company recorded an initial estimate of $0.5 million, related to remedial design portion of the liability. Refer to NOTE 13 — CONTINGENCIES for further discussion on this matter.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Interest expense was $12.1 million and $11.7 million for the nine months ended September 30, 2022 and 2021, respectively. The increase in expense was a result of higher interest rates on outstanding borrowings in the current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to market gain on interest rate derivatives</w:t>
      </w:r>
    </w:p>
    <w:p>
      <w:pPr>
        <w:spacing w:after="0" w:line="12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Mark to market gain on interest rate derivatives was $2.0 million for the nine months ended September 30, 2022, as compared to a mark to market gain on interest rate derivatives of $0.7 million for the nine months ended September 30, 2021. The increase was attributable to the change in the fair value based on the increase in interest rates. The mark to market amount represents the change in fair value on the Company’s interest rate derivatives that have not been designated as hedging instruments. These derivatives were entered into for purposes of locking-in a fixed interest rate on a portion of the Company’s variable interest rate debt. As of September 30, 2022, the intent of the Company is to hold these derivative contracts until their maturity.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Income tax provision of $3.4 million and $9.8 million for the nine months ended September 30, 2022 and 2021, respectively, represent taxes on both US and foreign earnings at combined effective income tax provision rates of 245.9% and 31.8%, respectively. The effective tax rate for the nine months ended September 30, 2022 differs from the federal statutory income tax rate of 21% primarily due to foreign losses for which no tax benefit is recognized as such amounts are fully offset with a valuation allowance. The effective tax rate for the nine months ended September 30, 2021 differs from the federal statutory income tax rate of 21% primarily due to state and local tax expense, and foreign losses for which no tax benefit is recognized as such amounts are fully offset with a valuation allowance.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 earnings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Equity in losses of Vasconia, net of taxes, was $7.4 million for the nine months ended September 30, 2022, as compared to equity in earnings of Vasconia, net of taxes, of $1.2 million for the nine months ended September 30, 2021. Vasconia reported loss from operations of $0.3 million for the nine months ended September 30, 2022, as compared to income from operations of $14.2 million for the nine months ended September 30, 2021. The decrease in income from operations was primarily attributable to decreased operating results in the current period in both Vasconia's kitchenware and aluminum divisions.</w:t>
      </w:r>
    </w:p>
    <w:p>
      <w:pPr>
        <w:spacing w:after="0" w:line="18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The Company recorded an impairment charge of $6.2 million to reduce the carrying value of the Company's investment in Vasconia to its fair value. The decline in the fair value was determined to be other than temporary due to the decline in the quoted stock price and the quarterly decline in the operating results of Vasconia.</w:t>
      </w:r>
    </w:p>
    <w:p>
      <w:pPr>
        <w:spacing w:after="0" w:line="184"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During the nine months ended September 30, 2021, the Company's ownership in its equity method investment decreased as a result of a dilution of its investment in Vasconia and a subsequent partial sale of its investment. The Company recognized a net loss of $0.3 million related to the dilution of the Company's ownership in its Vasconia investment. The net loss was comprised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of a loss of $2.0 million, related to amounts that were previously recognized in accumulated other comprehensive loss, net of a non-cash gain of $1.7 million for the difference between the selling price and the Company's basis in the diluted shares.</w:t>
      </w:r>
    </w:p>
    <w:p>
      <w:pPr>
        <w:spacing w:after="0" w:line="17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Additionally, the Company recognized a net loss of $0.5 million related to a partial sale of the Company’s ownership in its Vasconia investment. The net loss was comprised of a loss of $1.0 million, for the difference between the selling price and the Company’s basis in the sale of shares, offset by tax expense of $0.1 million and a loss of $1.4 million, related to amounts previously recognized in accumulated other comprehensive loss.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Historically, the Company’s principal sources of cash to fund liquidity needs were: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165"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At September 30, 2022, the Company had cash and cash equivalents of $5.9 million, compared to $28.0 million at December 31, 2021. Working capital was $287.7 million at September 30, 2022, compared to $271.3 million at December 31, 2021. Liquidity, which includes cash and cash equivalents and availability under the ABL Agreement, was approximately $170.6 million at September 30, 2022.</w:t>
      </w:r>
    </w:p>
    <w:p>
      <w:pPr>
        <w:spacing w:after="0" w:line="18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For the three months ended September 30, 2022, inventory turnover was 1.7 times, or 219 days, as compared to 2.4 times, or 154 days, for the three months ended September 30, 2021. In the first half of fiscal 2022, the Company increased its inventory levels to address supply chain disruptions and to support anticipated customer demand. However, inventory turns have slowed due to macroeconomic challenges that companies across industries and retailers in particular faced. Inflation has led to weaker end market demand and supply chain disruptions have led to inventory buildup.</w:t>
      </w:r>
    </w:p>
    <w:p>
      <w:pPr>
        <w:spacing w:after="0" w:line="16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In connection with the Wallace EPA Matter, the company expects in the next twelve months it will be required to provide financial assurance of $5.6 million, which it expects to provide in the form of a letter of credit. This would reduce availability under the revolving credit facility.</w:t>
      </w:r>
    </w:p>
    <w:p>
      <w:pPr>
        <w:spacing w:after="0" w:line="146"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Company believes that availability under the revolving credit facility under its ABL Agreement, cash on hand and cash flows from operations are sufficient to fund the Company’s operations for the next twelve months. However, if circumstances were to adversely change, the Company may seek alternative sources of liquidity including debt and/or equity financing. However, there can be no assurance that any such alternative sources would be available or sufficient or available on terms favorable to the Company.</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Company closely monitors the creditworthiness of its customers. Based upon its evaluation of changes in customers’ creditworthiness, the Company may modify credit limits and/or terms of sale. However, notwithstanding the Company’s efforts to monitor its customers’ financial condition, the Company could be materially adversely affected by changes in customers' creditworthiness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August 26, 2022, the Company entered into Amendment No. 2 (the “Amendment”) to the Company’s credit agreement, dated as of March 2, 2018 (as amended, the “ABL Agreement”) among the Company, as a Borrower, certain subsidiaries of the Company, as Borrowers and/or Loan Parties, JPMorgan Chase Bank, N.A., as Administrative Agent and a Lender, HSBC Bank USA, National Association and Wells Fargo Bank, National Association, as Co-Documentation Agents and Lenders, and Manufacturers and Traders Trust Company, as a Lender, that provides for the Company’s ABL facility. The ABL Agreement provides for a senior secured asset-based revolving credit facility in the maximum aggregate principal amount of $200.0 million, which facility will mature on August 26, 2027 (subject to an earlier springing maturity date that is 90 days prior to the Term Loan maturity date of February 28, 2025 if the Company’s Term Loan has not been repaid or refinanced by such date).</w:t>
      </w:r>
    </w:p>
    <w:p>
      <w:pPr>
        <w:spacing w:after="0" w:line="17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Company's loan agreement, dated as of March 2, 2018, (the “Term Loan Agreement” and together with the ABL Agreement, the “Debt Agreements”) provides for a senior secured term loan credit facility in the original principal amount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$275.0 million, which matures on February 28, 2025. The Term Loan Agreement requires the Company to make an annual prepayment of principal based upon a percentage of the Company's excess cash flow, (“Excess Cash Flow”), if any. The percentage applied to the Company’s excess cash flow is based on the Company’s Total Net Leverage Ratio (as defined in the Debt Agreements). When an Excess Cash Flow payment is required, each lender has the option to decline a portion or all of the prepayment amount payable to it. An estimate of the amount of the Excess Cash Flow payment is recorded in current maturity of term loan on the unaudited condensed consolidated balance sheets. Additionally, the Term Loan Agreement requires quarterly payments, which commenced on June 30, 2018, of principal equal to 0.25% of the original aggregate principal amount of the Term Loan facility, which payments are to be adjusted from time to time to account for prepayments made. Per the Term Loan Agreement, when the Company makes an Excess Cash Flow payment, the payment is first applied to satisfy the next eight (8) scheduled future quarterly required payments of the Term Loan in order of maturity and then to the remaining scheduled installments on a pro rata basis. The quarterly principal payments have been satisfied through maturity of the Term Loan by the annual Excess Cash Flow payments made to date.</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maximum borrowing amount under the ABL Agreement may be increased to up to $250.0 million if certain conditions are met and further limited to $220.0 million pursuant to the Term Loan Agreement. One or more tranches of additional term loans (the “Incremental Term Facilities”) may be added under the Term Loan Agreement if certain conditions are met. The Incremental Facilities may not exceed the sum of (i) $50.0 million plus (ii) an unlimited amount so long as, in the case of (ii) only, the Company’s secured net leverage ratio, as defined in and computed on a pro forma basis pursuant to the Term Loan Agreement, after giving effect to such increase, is no greater than 3.75 to 1.00, subject to certain limitations and for the period defined pursuant to the Term Loan Agreement but not to mature earlier than the maturity date of the then existing term loans.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2022 and December 31, 2021, the total availability under the ABL Agreement was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2021</w:t>
            </w:r>
          </w:p>
        </w:tc>
      </w:tr>
      <w:tr>
        <w:trPr>
          <w:trHeight w:val="21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Maximum aggregate principal allowed</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150,000</w:t>
            </w: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Outstanding borrowings under the ABL Agreement</w:t>
            </w:r>
          </w:p>
        </w:tc>
        <w:tc>
          <w:tcPr>
            <w:tcW w:w="1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(32,545)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Standby letters of credit</w:t>
            </w:r>
          </w:p>
        </w:tc>
        <w:tc>
          <w:tcPr>
            <w:tcW w:w="1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(3,659)</w:t>
            </w:r>
          </w:p>
        </w:tc>
      </w:tr>
      <w:tr>
        <w:trPr>
          <w:trHeight w:val="207"/>
        </w:trPr>
        <w:tc>
          <w:tcPr>
            <w:tcW w:w="7360" w:type="dxa"/>
            <w:vAlign w:val="bottom"/>
          </w:tcPr>
          <w:p>
            <w:pPr>
              <w:ind w:left="20"/>
              <w:spacing w:after="0"/>
              <w:rPr>
                <w:sz w:val="20"/>
                <w:szCs w:val="20"/>
                <w:color w:val="auto"/>
              </w:rPr>
            </w:pPr>
            <w:r>
              <w:rPr>
                <w:rFonts w:ascii="Arial" w:cs="Arial" w:eastAsia="Arial" w:hAnsi="Arial"/>
                <w:sz w:val="16"/>
                <w:szCs w:val="16"/>
                <w:color w:val="auto"/>
              </w:rPr>
              <w:t>Total availability under the ABL Agreement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164,690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146,341</w:t>
            </w:r>
          </w:p>
        </w:tc>
      </w:tr>
      <w:tr>
        <w:trPr>
          <w:trHeight w:val="23"/>
        </w:trPr>
        <w:tc>
          <w:tcPr>
            <w:tcW w:w="7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bl>
    <w:p>
      <w:pPr>
        <w:spacing w:after="0" w:line="26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Availability under the ABL Agreement is limited to the lesser of the $200.0 million commitment thereunder and the borrowing base and therefore depends on the valuation of certain current assets comprising the borrowing base. The borrowing capacity under the ABL Agreement will depend, in part, on eligible levels of accounts receivable and inventory that fluctuate regularly. Due to the seasonality of the Company’s business, this means that the Company may have greater borrowing availability during the third and fourth quarters of each year. Consequently, the $200.0 million commitment thereunder may not represent actual borrowing capacity.</w:t>
      </w:r>
    </w:p>
    <w:p>
      <w:pPr>
        <w:spacing w:after="0" w:line="188" w:lineRule="exact"/>
        <w:rPr>
          <w:sz w:val="20"/>
          <w:szCs w:val="20"/>
          <w:color w:val="auto"/>
        </w:rPr>
      </w:pPr>
    </w:p>
    <w:p>
      <w:pPr>
        <w:ind w:right="480"/>
        <w:spacing w:after="0" w:line="274" w:lineRule="auto"/>
        <w:rPr>
          <w:sz w:val="20"/>
          <w:szCs w:val="20"/>
          <w:color w:val="auto"/>
        </w:rPr>
      </w:pPr>
      <w:r>
        <w:rPr>
          <w:rFonts w:ascii="Arial" w:cs="Arial" w:eastAsia="Arial" w:hAnsi="Arial"/>
          <w:sz w:val="18"/>
          <w:szCs w:val="18"/>
          <w:color w:val="auto"/>
        </w:rPr>
        <w:t>The current and non-current portions of the Company’s Term Loan facility included in the condensed consolidated balance sheets were as follows (in thousands):</w:t>
      </w: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 2022</w:t>
            </w:r>
          </w:p>
        </w:tc>
        <w:tc>
          <w:tcPr>
            <w:tcW w:w="200" w:type="dxa"/>
            <w:vAlign w:val="bottom"/>
          </w:tcPr>
          <w:p>
            <w:pPr>
              <w:spacing w:after="0"/>
              <w:rPr>
                <w:sz w:val="18"/>
                <w:szCs w:val="18"/>
                <w:color w:val="auto"/>
              </w:rPr>
            </w:pPr>
          </w:p>
        </w:tc>
        <w:tc>
          <w:tcPr>
            <w:tcW w:w="1660" w:type="dxa"/>
            <w:vAlign w:val="bottom"/>
          </w:tcPr>
          <w:p>
            <w:pPr>
              <w:jc w:val="right"/>
              <w:ind w:right="199"/>
              <w:spacing w:after="0"/>
              <w:rPr>
                <w:sz w:val="20"/>
                <w:szCs w:val="20"/>
                <w:color w:val="auto"/>
              </w:rPr>
            </w:pPr>
            <w:r>
              <w:rPr>
                <w:rFonts w:ascii="Arial" w:cs="Arial" w:eastAsia="Arial" w:hAnsi="Arial"/>
                <w:sz w:val="16"/>
                <w:szCs w:val="16"/>
                <w:b w:val="1"/>
                <w:bCs w:val="1"/>
                <w:color w:val="auto"/>
                <w:w w:val="94"/>
              </w:rPr>
              <w:t>December 31, 2021</w:t>
            </w:r>
          </w:p>
        </w:tc>
      </w:tr>
      <w:tr>
        <w:trPr>
          <w:trHeight w:val="199"/>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1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r>
      <w:tr>
        <w:trPr>
          <w:trHeight w:val="240"/>
        </w:trPr>
        <w:tc>
          <w:tcPr>
            <w:tcW w:w="7360" w:type="dxa"/>
            <w:vAlign w:val="bottom"/>
          </w:tcPr>
          <w:p>
            <w:pPr>
              <w:ind w:left="140"/>
              <w:spacing w:after="0"/>
              <w:rPr>
                <w:sz w:val="20"/>
                <w:szCs w:val="20"/>
                <w:color w:val="auto"/>
              </w:rPr>
            </w:pPr>
            <w:r>
              <w:rPr>
                <w:rFonts w:ascii="Arial" w:cs="Arial" w:eastAsia="Arial" w:hAnsi="Arial"/>
                <w:sz w:val="16"/>
                <w:szCs w:val="16"/>
                <w:color w:val="auto"/>
              </w:rPr>
              <w:t>Estimated Excess Cash Flow principal payment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7,200</w:t>
            </w:r>
          </w:p>
        </w:tc>
      </w:tr>
      <w:tr>
        <w:trPr>
          <w:trHeight w:val="243"/>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16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w:t>
            </w:r>
          </w:p>
        </w:tc>
      </w:tr>
      <w:tr>
        <w:trPr>
          <w:trHeight w:val="239"/>
        </w:trPr>
        <w:tc>
          <w:tcPr>
            <w:tcW w:w="7360" w:type="dxa"/>
            <w:vAlign w:val="bottom"/>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5,771</w:t>
            </w: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r>
      <w:tr>
        <w:trPr>
          <w:trHeight w:val="213"/>
        </w:trPr>
        <w:tc>
          <w:tcPr>
            <w:tcW w:w="7360" w:type="dxa"/>
            <w:vAlign w:val="bottom"/>
          </w:tcPr>
          <w:p>
            <w:pPr>
              <w:ind w:left="20"/>
              <w:spacing w:after="0"/>
              <w:rPr>
                <w:sz w:val="20"/>
                <w:szCs w:val="20"/>
                <w:color w:val="auto"/>
              </w:rPr>
            </w:pPr>
            <w:r>
              <w:rPr>
                <w:rFonts w:ascii="Arial" w:cs="Arial" w:eastAsia="Arial" w:hAnsi="Arial"/>
                <w:sz w:val="16"/>
                <w:szCs w:val="16"/>
                <w:color w:val="auto"/>
              </w:rPr>
              <w:t>Non-current portion of Term Loan facility:</w:t>
            </w: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9"/>
        </w:trPr>
        <w:tc>
          <w:tcPr>
            <w:tcW w:w="7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Term Loan facility, net of current portion</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244,927</w:t>
            </w:r>
          </w:p>
        </w:tc>
      </w:tr>
      <w:tr>
        <w:trPr>
          <w:trHeight w:val="213"/>
        </w:trPr>
        <w:tc>
          <w:tcPr>
            <w:tcW w:w="7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Estimated unamortized debt issuance costs</w:t>
            </w: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(3,054)</w:t>
            </w:r>
          </w:p>
        </w:tc>
      </w:tr>
      <w:tr>
        <w:trPr>
          <w:trHeight w:val="235"/>
        </w:trPr>
        <w:tc>
          <w:tcPr>
            <w:tcW w:w="7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Non-current portion of Term Loan facility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242,505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241,873</w:t>
            </w: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estimated Excess Cash Flow principal payment recorded at September 30, 2022 represents the Company’s estimate for the 2023 Excess Cash Flow payment. The 2022 Excess Cash Flow payment, paid on March 30, 2022, totaled $6.2 million. The Excess Cash Flow payment differs from the estimated amount at December 31, 2021 of $7.2 million as certain lenders opted to decline their payments per the terms of the Term Loan Agreement.</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foreign subsidiary borrowers under the ABL Agreement are secured by security interests in substantially all of the assets of, and stock in, such foreign subsidiary borrowers, subject to certain limitations. The obligations of the Company under the Debt Agreements and any hedging arrangements and cash management services and the guarantees by its domestic subsidiaries in respect of those obligations are secured by security interests in substantially all of the assets and stock (but in the case of foreign subsidiaries, limited to 65% of the capital stock in first-tier foreign subsidiaries and not including the stock of subsidiaries of such first-tier foreign subsidiaries) owned by the Company and the U.S. subsidiary guarantors, subject to certain exceptions. Such security interests consist of (1) a first-priority lien, subject to certain permitted liens, with respect to certain assets of the Company and certain of its subsidiaries (the “ABL Collateral”) pledged as collateral in favor of lenders under the ABL Agreement and a second-priority lien in the ABL Collateral in favor of the lenders under the Term Loan Agreement and (2) a first-priority lien, subject to certain permitted liens, with respect to certain assets of the Company and certain of its subsidiaries (the “Term Loan Collateral”) pledged as collateral in favor of lenders under the Term Loan Agreement and a second-priority lien in the Term Loan Collateral in favor of the lenders under the ABL Agreement.</w:t>
      </w:r>
    </w:p>
    <w:p>
      <w:pPr>
        <w:spacing w:after="0" w:line="17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Borrowings under the revolving credit facility bear interest, at the Company’s option, at one of the following rates: (i) an alternate base rate, defined, for any day, as the greater of the prime rate, a federal funds and overnight bank funding based rate plus 0.5% or one-month Adjusted Term Secured Overnight Financing Rate (“SOFR”) plus 1.0% as of a specified date in advance of the determination, but in each case not less than 1.0%, plus a margin of 0.25% to 0.50%, or (ii) Adjusted Term SOFR, which is the Term SOFR Rate for the selected 1, 3 or 6 month interest period plus 0.10% (or Euro Interbank Offered Rate “EURIBOR” for borrowings denominated in Euro; or Sterling Overnight Index Average “SONIA” for borrowings denominated in Pounds Sterling), but in each case not less than zero, plus a margin of 1.25% to 1.50%. The respective margins are based upon average quarterly availability, as defined in and computed pursuant to the ABL Agreement. In addition, the Company pays a commitment fee of 0.20% to 0.25% per annum based on the average daily unused portion of the aggregate commitment under the ABL Agreement. The interest rate on outstanding borrowings under the ABL Agreement at September 30, 2022 was between 2.19% and 6.75%.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Term Loan facility bears interest, at the Company’s option, at one of the following rates: (i) alternate base rate, defined, for any day, as the greater of</w:t>
      </w:r>
    </w:p>
    <w:p>
      <w:pPr>
        <w:spacing w:after="0" w:line="46" w:lineRule="exact"/>
        <w:rPr>
          <w:sz w:val="20"/>
          <w:szCs w:val="20"/>
          <w:color w:val="auto"/>
        </w:rPr>
      </w:pPr>
    </w:p>
    <w:p>
      <w:pPr>
        <w:ind w:right="120" w:firstLine="8"/>
        <w:spacing w:after="0" w:line="302"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prime rate, (y) a federal funds and overnight bank funding based rate plus 0.5% or (z) one-month LIBOR, but not less than 1.0%, plus 1.0%, which alternate base rate shall not be less than 2.0%, plus a margin of 2.5% or (ii) LIBOR for the applicable interest period, multiplied by any statutory reserve rate, but not less than 1.0%, plus a margin of 3.5%. The interest rate on outstanding borrowings under the Term Loan at September 30, 2022 was 6.02%.</w:t>
      </w:r>
    </w:p>
    <w:p>
      <w:pPr>
        <w:spacing w:after="0" w:line="15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liens,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$20.0 million and 10% of the aggregate commitment under the ABL Agreement at any time and (b) ending on the day after such availability has exceeded the greater of $20.0 million and 10% of the aggregate commitment under the ABL Agreement for 45 consecutive days, the Company is required to maintain a minimum fixed charge coverage ratio of 1.10 to 1.00 as of the last day of any period of four consecutive fiscal quarters.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September 30, 2022.</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Prior to the amendment of the credit agreement, the Company’s ABL provided for an aggregate principal amount of $150.0 million. Upon entering into the Amendment to the ABL agreement the Company repaid its outstanding ABL borrowing in the amount of $32.0 million and re-borrowed such amounts under the ABL Agreement, as amended. Unamortized debt issuance costs that were written off were immaterial.</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The Company’s adjusted EBITDA (including pro forma adjustments), for the trailing twelve months ended September 30, 2022 was $69.3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nine months ended September 30, 2022 were $2.0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Adjusted EBITDA is a non-GAAP financial measure within the meaning of Regulation G and Item 10(e) of Regulation S-K, each promulgated by the SEC. This measure is provided because management of the Company uses this financial measure in evaluating the Company’s on-going financial results and trends, and management believes that exclusion of certain items allows for more accurate period-to-period comparison of the Company’s operating performance by investors and analysts. Management also uses this non-GAAP information as an indicator of business performance. Adjusted EBITDA, as discussed above, is also one of the measures used to calculate financial covenants required to be provided to the Company’s lenders pursuant to its Debt Agreements.</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U.S. GAAP. Further, the Company’s non-GAAP information may be different from the non-GAAP information provided by other companies including other companies within the home retail industry.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(loss) income, as reported, to adjusted EBITDA, for each of the last four quarters and the 12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2022:</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Quarter Ended</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4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6"/>
                <w:szCs w:val="16"/>
                <w:color w:val="auto"/>
              </w:rPr>
            </w:pPr>
          </w:p>
        </w:tc>
        <w:tc>
          <w:tcPr>
            <w:tcW w:w="126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6"/>
                <w:szCs w:val="16"/>
                <w:color w:val="auto"/>
              </w:rPr>
            </w:pPr>
          </w:p>
        </w:tc>
        <w:tc>
          <w:tcPr>
            <w:tcW w:w="124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Twelve Months</w:t>
            </w: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w w:val="99"/>
              </w:rPr>
              <w:t>December 31, 2021</w:t>
            </w: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36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Ended September</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500" w:type="dxa"/>
            <w:vAlign w:val="bottom"/>
            <w:tcBorders>
              <w:bottom w:val="single" w:sz="8" w:color="auto"/>
            </w:tcBorders>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30, 2022</w:t>
            </w: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 as reported</w:t>
            </w: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(10,064)</w:t>
            </w:r>
          </w:p>
        </w:tc>
        <w:tc>
          <w:tcPr>
            <w:tcW w:w="0" w:type="dxa"/>
            <w:vAlign w:val="bottom"/>
          </w:tcPr>
          <w:p>
            <w:pPr>
              <w:spacing w:after="0"/>
              <w:rPr>
                <w:sz w:val="1"/>
                <w:szCs w:val="1"/>
                <w:color w:val="auto"/>
              </w:rPr>
            </w:pP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Undistributed equity (earnings) losses, net</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8,159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6,943</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Income tax provision (benefit)</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10,124</w:t>
            </w:r>
          </w:p>
        </w:tc>
        <w:tc>
          <w:tcPr>
            <w:tcW w:w="0" w:type="dxa"/>
            <w:vAlign w:val="bottom"/>
          </w:tcPr>
          <w:p>
            <w:pPr>
              <w:spacing w:after="0"/>
              <w:rPr>
                <w:sz w:val="1"/>
                <w:szCs w:val="1"/>
                <w:color w:val="auto"/>
              </w:rPr>
            </w:pP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Interest expense</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15,936</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Mark to market (gain) on interest rate derivatives</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(2,388)</w:t>
            </w:r>
          </w:p>
        </w:tc>
        <w:tc>
          <w:tcPr>
            <w:tcW w:w="0" w:type="dxa"/>
            <w:vAlign w:val="bottom"/>
          </w:tcPr>
          <w:p>
            <w:pPr>
              <w:spacing w:after="0"/>
              <w:rPr>
                <w:sz w:val="1"/>
                <w:szCs w:val="1"/>
                <w:color w:val="auto"/>
              </w:rPr>
            </w:pP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Depreciation and amortization</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4,598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19,495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 impairments</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14,760</w:t>
            </w:r>
          </w:p>
        </w:tc>
        <w:tc>
          <w:tcPr>
            <w:tcW w:w="0" w:type="dxa"/>
            <w:vAlign w:val="bottom"/>
          </w:tcPr>
          <w:p>
            <w:pPr>
              <w:spacing w:after="0"/>
              <w:rPr>
                <w:sz w:val="1"/>
                <w:szCs w:val="1"/>
                <w:color w:val="auto"/>
              </w:rPr>
            </w:pP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Stock compensation expense</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4,809</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Acquisition related expenses</w:t>
            </w:r>
          </w:p>
        </w:tc>
        <w:tc>
          <w:tcPr>
            <w:tcW w:w="5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1,681</w:t>
            </w:r>
          </w:p>
        </w:tc>
        <w:tc>
          <w:tcPr>
            <w:tcW w:w="0" w:type="dxa"/>
            <w:vAlign w:val="bottom"/>
          </w:tcPr>
          <w:p>
            <w:pPr>
              <w:spacing w:after="0"/>
              <w:rPr>
                <w:sz w:val="1"/>
                <w:szCs w:val="1"/>
                <w:color w:val="auto"/>
              </w:rPr>
            </w:pPr>
          </w:p>
        </w:tc>
      </w:tr>
      <w:tr>
        <w:trPr>
          <w:trHeight w:val="216"/>
        </w:trPr>
        <w:tc>
          <w:tcPr>
            <w:tcW w:w="4120" w:type="dxa"/>
            <w:vAlign w:val="bottom"/>
          </w:tcPr>
          <w:p>
            <w:pPr>
              <w:ind w:left="360"/>
              <w:spacing w:after="0" w:line="216" w:lineRule="exact"/>
              <w:rPr>
                <w:sz w:val="20"/>
                <w:szCs w:val="20"/>
                <w:color w:val="auto"/>
              </w:rPr>
            </w:pPr>
            <w:r>
              <w:rPr>
                <w:rFonts w:ascii="Arial" w:cs="Arial" w:eastAsia="Arial" w:hAnsi="Arial"/>
                <w:sz w:val="16"/>
                <w:szCs w:val="16"/>
                <w:color w:val="auto"/>
              </w:rPr>
              <w:t>Warehouse relocation and redesign expenses</w:t>
            </w:r>
            <w:r>
              <w:rPr>
                <w:rFonts w:ascii="Arial" w:cs="Arial" w:eastAsia="Arial" w:hAnsi="Arial"/>
                <w:sz w:val="21"/>
                <w:szCs w:val="21"/>
                <w:color w:val="auto"/>
                <w:vertAlign w:val="superscript"/>
              </w:rPr>
              <w:t>(1)</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360"/>
              <w:spacing w:after="0" w:line="216" w:lineRule="exact"/>
              <w:rPr>
                <w:sz w:val="20"/>
                <w:szCs w:val="20"/>
                <w:color w:val="auto"/>
              </w:rPr>
            </w:pPr>
            <w:r>
              <w:rPr>
                <w:rFonts w:ascii="Arial" w:cs="Arial" w:eastAsia="Arial" w:hAnsi="Arial"/>
                <w:sz w:val="16"/>
                <w:szCs w:val="16"/>
                <w:color w:val="auto"/>
              </w:rPr>
              <w:t>S'well integration costs</w:t>
            </w:r>
            <w:r>
              <w:rPr>
                <w:rFonts w:ascii="Arial" w:cs="Arial" w:eastAsia="Arial" w:hAnsi="Arial"/>
                <w:sz w:val="21"/>
                <w:szCs w:val="21"/>
                <w:color w:val="auto"/>
                <w:vertAlign w:val="superscript"/>
              </w:rPr>
              <w:t>(2)</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w:t>
            </w:r>
          </w:p>
        </w:tc>
        <w:tc>
          <w:tcPr>
            <w:tcW w:w="0" w:type="dxa"/>
            <w:vAlign w:val="bottom"/>
          </w:tcPr>
          <w:p>
            <w:pPr>
              <w:spacing w:after="0"/>
              <w:rPr>
                <w:sz w:val="1"/>
                <w:szCs w:val="1"/>
                <w:color w:val="auto"/>
              </w:rPr>
            </w:pPr>
          </w:p>
        </w:tc>
      </w:tr>
      <w:tr>
        <w:trPr>
          <w:trHeight w:val="213"/>
        </w:trPr>
        <w:tc>
          <w:tcPr>
            <w:tcW w:w="4120" w:type="dxa"/>
            <w:vAlign w:val="bottom"/>
          </w:tcPr>
          <w:p>
            <w:pPr>
              <w:ind w:left="360"/>
              <w:spacing w:after="0"/>
              <w:rPr>
                <w:sz w:val="20"/>
                <w:szCs w:val="20"/>
                <w:color w:val="auto"/>
              </w:rPr>
            </w:pPr>
            <w:r>
              <w:rPr>
                <w:rFonts w:ascii="Arial" w:cs="Arial" w:eastAsia="Arial" w:hAnsi="Arial"/>
                <w:sz w:val="16"/>
                <w:szCs w:val="16"/>
                <w:color w:val="auto"/>
              </w:rPr>
              <w:t>Wallace facility remediation expense</w:t>
            </w:r>
          </w:p>
        </w:tc>
        <w:tc>
          <w:tcPr>
            <w:tcW w:w="5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5,140</w:t>
            </w:r>
          </w:p>
        </w:tc>
        <w:tc>
          <w:tcPr>
            <w:tcW w:w="0" w:type="dxa"/>
            <w:vAlign w:val="bottom"/>
          </w:tcPr>
          <w:p>
            <w:pPr>
              <w:spacing w:after="0"/>
              <w:rPr>
                <w:sz w:val="1"/>
                <w:szCs w:val="1"/>
                <w:color w:val="auto"/>
              </w:rPr>
            </w:pPr>
          </w:p>
        </w:tc>
      </w:tr>
      <w:tr>
        <w:trPr>
          <w:trHeight w:val="21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 before limitation</w:t>
            </w: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69,410</w:t>
            </w:r>
          </w:p>
        </w:tc>
        <w:tc>
          <w:tcPr>
            <w:tcW w:w="0" w:type="dxa"/>
            <w:vAlign w:val="bottom"/>
          </w:tcPr>
          <w:p>
            <w:pPr>
              <w:spacing w:after="0"/>
              <w:rPr>
                <w:sz w:val="1"/>
                <w:szCs w:val="1"/>
                <w:color w:val="auto"/>
              </w:rPr>
            </w:pPr>
          </w:p>
        </w:tc>
      </w:tr>
      <w:tr>
        <w:trPr>
          <w:trHeight w:val="210"/>
        </w:trPr>
        <w:tc>
          <w:tcPr>
            <w:tcW w:w="4120" w:type="dxa"/>
            <w:vAlign w:val="bottom"/>
            <w:tcBorders>
              <w:bottom w:val="single" w:sz="8" w:color="CCEEFF"/>
            </w:tcBorders>
          </w:tcPr>
          <w:p>
            <w:pPr>
              <w:ind w:left="500"/>
              <w:spacing w:after="0" w:line="210" w:lineRule="exact"/>
              <w:rPr>
                <w:sz w:val="20"/>
                <w:szCs w:val="20"/>
                <w:color w:val="auto"/>
              </w:rPr>
            </w:pPr>
            <w:r>
              <w:rPr>
                <w:rFonts w:ascii="Arial" w:cs="Arial" w:eastAsia="Arial" w:hAnsi="Arial"/>
                <w:sz w:val="16"/>
                <w:szCs w:val="16"/>
                <w:color w:val="auto"/>
              </w:rPr>
              <w:t xml:space="preserve">Permitted non-recurring charge limitation </w:t>
            </w:r>
            <w:r>
              <w:rPr>
                <w:rFonts w:ascii="Arial" w:cs="Arial" w:eastAsia="Arial" w:hAnsi="Arial"/>
                <w:sz w:val="21"/>
                <w:szCs w:val="21"/>
                <w:color w:val="auto"/>
                <w:vertAlign w:val="superscript"/>
              </w:rPr>
              <w:t>(3)</w:t>
            </w:r>
          </w:p>
        </w:tc>
        <w:tc>
          <w:tcPr>
            <w:tcW w:w="50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(1,403)</w:t>
            </w:r>
          </w:p>
        </w:tc>
        <w:tc>
          <w:tcPr>
            <w:tcW w:w="0" w:type="dxa"/>
            <w:vAlign w:val="bottom"/>
          </w:tcPr>
          <w:p>
            <w:pPr>
              <w:spacing w:after="0"/>
              <w:rPr>
                <w:sz w:val="1"/>
                <w:szCs w:val="1"/>
                <w:color w:val="auto"/>
              </w:rPr>
            </w:pPr>
          </w:p>
        </w:tc>
      </w:tr>
      <w:tr>
        <w:trPr>
          <w:trHeight w:val="209"/>
        </w:trPr>
        <w:tc>
          <w:tcPr>
            <w:tcW w:w="41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(4)</w:t>
            </w: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68,007</w:t>
            </w:r>
          </w:p>
        </w:tc>
        <w:tc>
          <w:tcPr>
            <w:tcW w:w="0" w:type="dxa"/>
            <w:vAlign w:val="bottom"/>
          </w:tcPr>
          <w:p>
            <w:pPr>
              <w:spacing w:after="0"/>
              <w:rPr>
                <w:sz w:val="1"/>
                <w:szCs w:val="1"/>
                <w:color w:val="auto"/>
              </w:rPr>
            </w:pPr>
          </w:p>
        </w:tc>
      </w:tr>
      <w:tr>
        <w:trPr>
          <w:trHeight w:val="166"/>
        </w:trPr>
        <w:tc>
          <w:tcPr>
            <w:tcW w:w="4120" w:type="dxa"/>
            <w:vAlign w:val="bottom"/>
          </w:tcPr>
          <w:p>
            <w:pPr>
              <w:ind w:left="500"/>
              <w:spacing w:after="0" w:line="166" w:lineRule="exact"/>
              <w:rPr>
                <w:sz w:val="20"/>
                <w:szCs w:val="20"/>
                <w:color w:val="auto"/>
              </w:rPr>
            </w:pPr>
            <w:r>
              <w:rPr>
                <w:rFonts w:ascii="Arial" w:cs="Arial" w:eastAsia="Arial" w:hAnsi="Arial"/>
                <w:sz w:val="16"/>
                <w:szCs w:val="16"/>
                <w:color w:val="auto"/>
              </w:rPr>
              <w:t>Pro forma historical S'well and projected synergies</w:t>
            </w: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2"/>
        </w:trPr>
        <w:tc>
          <w:tcPr>
            <w:tcW w:w="4120" w:type="dxa"/>
            <w:vAlign w:val="bottom"/>
            <w:tcBorders>
              <w:bottom w:val="single" w:sz="8" w:color="CCEEFF"/>
            </w:tcBorders>
          </w:tcPr>
          <w:p>
            <w:pPr>
              <w:ind w:left="140"/>
              <w:spacing w:after="0" w:line="213" w:lineRule="exact"/>
              <w:rPr>
                <w:sz w:val="20"/>
                <w:szCs w:val="20"/>
                <w:color w:val="auto"/>
              </w:rPr>
            </w:pPr>
            <w:r>
              <w:rPr>
                <w:rFonts w:ascii="Arial" w:cs="Arial" w:eastAsia="Arial" w:hAnsi="Arial"/>
                <w:sz w:val="16"/>
                <w:szCs w:val="16"/>
                <w:color w:val="auto"/>
              </w:rPr>
              <w:t>adjustment</w:t>
            </w:r>
            <w:r>
              <w:rPr>
                <w:rFonts w:ascii="Arial" w:cs="Arial" w:eastAsia="Arial" w:hAnsi="Arial"/>
                <w:sz w:val="21"/>
                <w:szCs w:val="21"/>
                <w:color w:val="auto"/>
                <w:vertAlign w:val="superscript"/>
              </w:rPr>
              <w:t>(5)</w:t>
            </w: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Borders>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6"/>
                <w:szCs w:val="16"/>
                <w:color w:val="auto"/>
              </w:rPr>
              <w:t>Pro forma Adjusted EBITDA</w:t>
            </w:r>
            <w:r>
              <w:rPr>
                <w:rFonts w:ascii="Arial" w:cs="Arial" w:eastAsia="Arial" w:hAnsi="Arial"/>
                <w:sz w:val="21"/>
                <w:szCs w:val="21"/>
                <w:color w:val="auto"/>
                <w:vertAlign w:val="superscript"/>
              </w:rPr>
              <w:t>(4)</w:t>
            </w: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30,862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6,951</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69,257</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60" w:firstLine="8"/>
        <w:spacing w:after="0" w:line="224" w:lineRule="auto"/>
        <w:tabs>
          <w:tab w:leader="none" w:pos="163" w:val="left"/>
        </w:tabs>
        <w:numPr>
          <w:ilvl w:val="0"/>
          <w:numId w:val="14"/>
        </w:numPr>
        <w:rPr>
          <w:rFonts w:ascii="Arial" w:cs="Arial" w:eastAsia="Arial" w:hAnsi="Arial"/>
          <w:sz w:val="19"/>
          <w:szCs w:val="19"/>
          <w:color w:val="auto"/>
          <w:vertAlign w:val="superscript"/>
        </w:rPr>
      </w:pPr>
      <w:r>
        <w:rPr>
          <w:rFonts w:ascii="Arial" w:cs="Arial" w:eastAsia="Arial" w:hAnsi="Arial"/>
          <w:sz w:val="13"/>
          <w:szCs w:val="13"/>
          <w:color w:val="auto"/>
        </w:rPr>
        <w:t>For the twelve months ended September 30, 2022, the warehouse relocation and redesign expenses included $0.6 million of expenses related to the International segment and $0.5 million of expenses related to the U.S. segment.</w:t>
      </w:r>
    </w:p>
    <w:p>
      <w:pPr>
        <w:spacing w:after="0" w:line="23" w:lineRule="exact"/>
        <w:rPr>
          <w:rFonts w:ascii="Arial" w:cs="Arial" w:eastAsia="Arial" w:hAnsi="Arial"/>
          <w:sz w:val="19"/>
          <w:szCs w:val="19"/>
          <w:color w:val="auto"/>
          <w:vertAlign w:val="superscript"/>
        </w:rPr>
      </w:pPr>
    </w:p>
    <w:p>
      <w:pPr>
        <w:ind w:left="160" w:hanging="152"/>
        <w:spacing w:after="0"/>
        <w:tabs>
          <w:tab w:leader="none" w:pos="160" w:val="left"/>
        </w:tabs>
        <w:numPr>
          <w:ilvl w:val="0"/>
          <w:numId w:val="14"/>
        </w:numPr>
        <w:rPr>
          <w:rFonts w:ascii="Arial" w:cs="Arial" w:eastAsia="Arial" w:hAnsi="Arial"/>
          <w:sz w:val="18"/>
          <w:szCs w:val="18"/>
          <w:color w:val="auto"/>
          <w:vertAlign w:val="superscript"/>
        </w:rPr>
      </w:pPr>
      <w:r>
        <w:rPr>
          <w:rFonts w:ascii="Arial" w:cs="Arial" w:eastAsia="Arial" w:hAnsi="Arial"/>
          <w:sz w:val="12"/>
          <w:szCs w:val="12"/>
          <w:color w:val="auto"/>
        </w:rPr>
        <w:t>For the twelve months ended September 30, 2022, S'well integration costs included $0.5 million of expenses related to inventory step up adjustment in connection with S'well acquisition.</w:t>
      </w:r>
    </w:p>
    <w:p>
      <w:pPr>
        <w:spacing w:after="0" w:line="59" w:lineRule="exact"/>
        <w:rPr>
          <w:rFonts w:ascii="Arial" w:cs="Arial" w:eastAsia="Arial" w:hAnsi="Arial"/>
          <w:sz w:val="18"/>
          <w:szCs w:val="18"/>
          <w:color w:val="auto"/>
          <w:vertAlign w:val="superscript"/>
        </w:rPr>
      </w:pPr>
    </w:p>
    <w:p>
      <w:pPr>
        <w:ind w:right="160" w:firstLine="8"/>
        <w:spacing w:after="0" w:line="261" w:lineRule="auto"/>
        <w:tabs>
          <w:tab w:leader="none" w:pos="149" w:val="left"/>
        </w:tabs>
        <w:numPr>
          <w:ilvl w:val="0"/>
          <w:numId w:val="14"/>
        </w:numPr>
        <w:rPr>
          <w:rFonts w:ascii="Arial" w:cs="Arial" w:eastAsia="Arial" w:hAnsi="Arial"/>
          <w:sz w:val="17"/>
          <w:szCs w:val="17"/>
          <w:color w:val="auto"/>
          <w:vertAlign w:val="superscript"/>
        </w:rPr>
      </w:pPr>
      <w:r>
        <w:rPr>
          <w:rFonts w:ascii="Arial" w:cs="Arial" w:eastAsia="Arial" w:hAnsi="Arial"/>
          <w:sz w:val="12"/>
          <w:szCs w:val="12"/>
          <w:color w:val="auto"/>
        </w:rPr>
        <w:t>Permitted non-recurring charges include integration charges, Wallace facility remediation expense, and warehouse relocation and redesign expenses. These are permitted exclusions from the Company’s consolidated adjusted EBITDA, subject to limitations, pursuant to the Company’s Debt Agreements.</w:t>
      </w:r>
    </w:p>
    <w:p>
      <w:pPr>
        <w:spacing w:after="0" w:line="30" w:lineRule="exact"/>
        <w:rPr>
          <w:rFonts w:ascii="Arial" w:cs="Arial" w:eastAsia="Arial" w:hAnsi="Arial"/>
          <w:sz w:val="17"/>
          <w:szCs w:val="17"/>
          <w:color w:val="auto"/>
          <w:vertAlign w:val="superscript"/>
        </w:rPr>
      </w:pPr>
    </w:p>
    <w:p>
      <w:pPr>
        <w:ind w:right="120" w:firstLine="8"/>
        <w:spacing w:after="0" w:line="303" w:lineRule="auto"/>
        <w:tabs>
          <w:tab w:leader="none" w:pos="146" w:val="left"/>
        </w:tabs>
        <w:numPr>
          <w:ilvl w:val="0"/>
          <w:numId w:val="14"/>
        </w:numPr>
        <w:rPr>
          <w:rFonts w:ascii="Arial" w:cs="Arial" w:eastAsia="Arial" w:hAnsi="Arial"/>
          <w:sz w:val="16"/>
          <w:szCs w:val="16"/>
          <w:color w:val="auto"/>
          <w:vertAlign w:val="superscript"/>
        </w:rPr>
      </w:pPr>
      <w:r>
        <w:rPr>
          <w:rFonts w:ascii="Arial" w:cs="Arial" w:eastAsia="Arial" w:hAnsi="Arial"/>
          <w:sz w:val="11"/>
          <w:szCs w:val="11"/>
          <w:color w:val="auto"/>
        </w:rPr>
        <w:t>Adjusted EBITDA is a non-GAAP financial measure that is defined in the Company’s debt agreements. Adjusted EBITDA is defined as net (loss) income, adjusted to exclude undistributed equity in (earnings) losses, income tax provision (benefit), interest expense, mark to market (gain) on interest rate derivatives, depreciation and amortization, intangible asset impairments, stock compensation expense, Wallace facility remediation expense, and other items detailed in the table above that are consistent with exclusions permitted by our debt agreements.</w:t>
      </w:r>
    </w:p>
    <w:p>
      <w:pPr>
        <w:spacing w:after="0" w:line="200" w:lineRule="exact"/>
        <w:rPr>
          <w:rFonts w:ascii="Arial" w:cs="Arial" w:eastAsia="Arial" w:hAnsi="Arial"/>
          <w:sz w:val="16"/>
          <w:szCs w:val="16"/>
          <w:color w:val="auto"/>
          <w:vertAlign w:val="superscript"/>
        </w:rPr>
      </w:pPr>
    </w:p>
    <w:p>
      <w:pPr>
        <w:spacing w:after="0" w:line="319" w:lineRule="exact"/>
        <w:rPr>
          <w:rFonts w:ascii="Arial" w:cs="Arial" w:eastAsia="Arial" w:hAnsi="Arial"/>
          <w:sz w:val="16"/>
          <w:szCs w:val="16"/>
          <w:color w:val="auto"/>
          <w:vertAlign w:val="superscript"/>
        </w:rPr>
      </w:pPr>
    </w:p>
    <w:p>
      <w:pPr>
        <w:ind w:left="5540" w:hanging="111"/>
        <w:spacing w:after="0"/>
        <w:tabs>
          <w:tab w:leader="none" w:pos="55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0" w:firstLine="8"/>
        <w:spacing w:after="0" w:line="401" w:lineRule="auto"/>
        <w:tabs>
          <w:tab w:leader="none" w:pos="152" w:val="left"/>
        </w:tabs>
        <w:numPr>
          <w:ilvl w:val="0"/>
          <w:numId w:val="15"/>
        </w:numPr>
        <w:rPr>
          <w:rFonts w:ascii="Arial" w:cs="Arial" w:eastAsia="Arial" w:hAnsi="Arial"/>
          <w:sz w:val="17"/>
          <w:szCs w:val="17"/>
          <w:color w:val="auto"/>
          <w:vertAlign w:val="superscript"/>
        </w:rPr>
      </w:pPr>
      <w:r>
        <w:rPr>
          <w:rFonts w:ascii="Arial" w:cs="Arial" w:eastAsia="Arial" w:hAnsi="Arial"/>
          <w:sz w:val="12"/>
          <w:szCs w:val="12"/>
          <w:color w:val="auto"/>
        </w:rPr>
        <w:t>Pro forma historical S'well and projected synergies adjustment represents a permitted adjustment to the Company’s adjusted EBITDA for the acquisition of S'well on March 2, 2022 pursuant to the Company’s Debt Agreements. Pro forma projected synergies represents the amount of projected cost savings, operating expense reductions and cost saving synergies projected by the Company as a result of actions taken through September 30, 2022 or expected to be taken as of September 30, 2022, net of the benefits realized during the twelve months ended September 30, 2022.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11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$30.0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the Receivable Purchase Agreement, the Company sold to HSBC $30.0 million and $109.8 million of receivables during the three and nine months ended September 30, 2022, respectively and $33.7 million and $113.2 million of receivables during three and nine months ended September 30, 2021, respectively. Charges of $0.2 million and $0.1 million related to the sale of the receivables are included in selling, general and administrative expenses in the unaudited condensed consolidated statements of operations for the three months ended September 30, 2022 and 2021, respectively. Charges of $0.5 million and $0.3 million related to the sale of the receivables are included in selling, general and administrative expenses in the unaudited condensed consolidated statements of operations for the nine months ended September 30, 2022 and 2021, respectively. At September 30, 2022 and 2021, $20.2 million and $15.8 million, respectively, of receivables sold were outstanding and due to HSBC from customers.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outstanding notional value of interest rate swaps was $50.0 million at September 30, 2022.</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The Company designated a portion of these interest rate swaps as cash flow hedges of the Company’s exposure to the variability of the payment of interest on a portion of its Term Loan borrowings. The hedge periods of these agreements commenced in April 2018 and expire in March 2023. The original notional values are reduced over these periods. The aggregate notional value of designated interest rate swaps was $25.0 million at September 30, 2022.</w:t>
      </w:r>
    </w:p>
    <w:p>
      <w:pPr>
        <w:spacing w:after="0" w:line="14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In June 2019, the Company entered into additional interest rate swap agreements, with an aggregate notional value of $25.0 million at September 30, 2022. These non-designated interest rate swaps serve as cash flow hedges of the Company’s exposure to the variability of the payment of interest on a portion of its Term Loan borrowings and expire in February 2025.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Contracts</w:t>
      </w:r>
    </w:p>
    <w:p>
      <w:pPr>
        <w:spacing w:after="0" w:line="11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Company is party from time to time to certain foreign exchange contracts, primarily to offset the earnings impact related to fluctuations in foreign currency exchange rates associated with inventory purchases denominated in foreign currencies. 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 limiting the impact of foreign currency exchange rate fluctuations on earnings. The Company purchases foreign currency forward contracts with terms less than 18 months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w:t>
      </w:r>
    </w:p>
    <w:p>
      <w:pPr>
        <w:spacing w:after="0" w:line="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aggregate gross notional value of foreign exchange contracts at September 30, 2022 was $3.5 million. These foreign exchange contracts have been designated as hedges in order to apply hedge accounting.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exposed to market risks as well as changes in foreign currency exchange rates as measured against the USD and each other, and to changes to the credit risk of derivative counterparties. The Company attempts to minimize these risks primarily by using foreign currency forward contracts and by maintaining counterparty credit limits. These hedging activities provide only limited protection against currency exchange and credit risk. Factors that could influence the effectiveness of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Company’s hedging programs include those impacting currency markets and the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September 30, 2022, the Company did not have any foreign currency forward contract derivatives that are not designated as hedges. These foreign exchange contracts have been designated as hedges in to order to apply hedge accounting.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Net cash used in operating activities was $20.1 million for the nine months ended September 30, 2022, as compared to net cash provided by operating activities of $14.6 million for the nine months ended September 30, 2021. The decrease from 2022 compared to 2021 was attributable to a net loss generated in 2022 compared to 2021, timing of payments for accounts payable and accrued expenses, partially offset by timing of collections related to the Company's accounts receivables.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cash used in investing activities was $19.9 million and $0.5 million for the nine months ended September 30, 2022 and 2021, respectively. The increase from 2022 compared to 2021 was attributable to the cash consideration of $18.0 million paid for the acquisition of S'well.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Net cash provided by financing activities was $18.4 million and for the nine months ended September 30, 2022, as compared to net cash used in financing activities of $41.5 million for the nine months ended September 30, 2021. The change was mainly attributable to proceeds from the Company's revolving credit facility under its ABL Agreement in the 2022 period and the lower Excess Cash Flow principal payment on the term loan for the 2022 period compared to the 2021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21"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During the nine months ended September 30, 2022, the Company repurchased 389,743 shares for a total cost of $4.7 million and thereafter retired the shares. Please see Part II, Item 2—Unregistered Sales of Equity Securities and Use of Proceeds included in this Quarterly Report on Form 10-Q.</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2021 Annual Report on Form 10-K.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50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September 30, 2022,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5" w:lineRule="exact"/>
        <w:rPr>
          <w:rFonts w:ascii="Arial" w:cs="Arial" w:eastAsia="Arial" w:hAnsi="Arial"/>
          <w:sz w:val="18"/>
          <w:szCs w:val="18"/>
          <w:b w:val="1"/>
          <w:bCs w:val="1"/>
          <w:color w:val="auto"/>
        </w:rPr>
      </w:pPr>
    </w:p>
    <w:p>
      <w:pPr>
        <w:ind w:left="480" w:hanging="472"/>
        <w:spacing w:after="0"/>
        <w:tabs>
          <w:tab w:leader="none" w:pos="4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500" w:right="2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There were no changes in the Company’s internal controls over financial reporting that occurred during the Company’s most recent fiscal quarter that has materially affected, or is reasonably likely to materially affect, the Company’s internal controls over financial reporting.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a description of the Company’s legal proceedings, please see NOTE 13 — CONTINGENCIES, to the Company's condensed consolidated financial statements included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addition to the other information set forth in this Quarterly Report on Form 10-Q, readers should carefully consider the factors discussed in Part I, Item 1A—Risk Factors in the 2021 Annual Report on Form 10-K, and in the Company’s other filings with the SEC, which could materially affect the Company’s business, financial condition, cash flows or future results. There have been no material changes from the risk factors previously disclosed in Part I, Item 1A—Risk Factors in the 2021 Annual Report on Form 10-K</w:t>
      </w:r>
      <w:r>
        <w:rPr>
          <w:rFonts w:ascii="Arial" w:cs="Arial" w:eastAsia="Arial" w:hAnsi="Arial"/>
          <w:sz w:val="18"/>
          <w:szCs w:val="18"/>
          <w:b w:val="1"/>
          <w:bCs w:val="1"/>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approximate</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dollar value of</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Total number of</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shares that may</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yet be purchased</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2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87"/>
              </w:rPr>
              <w:t>shares purchased</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under the plans</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2220" w:type="dxa"/>
            <w:vAlign w:val="bottom"/>
            <w:gridSpan w:val="2"/>
            <w:vMerge w:val="continue"/>
          </w:tcPr>
          <w:p>
            <w:pPr>
              <w:spacing w:after="0"/>
              <w:rPr>
                <w:sz w:val="14"/>
                <w:szCs w:val="14"/>
                <w:color w:val="auto"/>
              </w:rPr>
            </w:pPr>
          </w:p>
        </w:tc>
        <w:tc>
          <w:tcPr>
            <w:tcW w:w="206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Average price</w:t>
            </w:r>
          </w:p>
        </w:tc>
        <w:tc>
          <w:tcPr>
            <w:tcW w:w="20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as part of publicly</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or programs</w:t>
            </w:r>
          </w:p>
        </w:tc>
        <w:tc>
          <w:tcPr>
            <w:tcW w:w="0" w:type="dxa"/>
            <w:vAlign w:val="bottom"/>
          </w:tcPr>
          <w:p>
            <w:pPr>
              <w:spacing w:after="0"/>
              <w:rPr>
                <w:sz w:val="1"/>
                <w:szCs w:val="1"/>
                <w:color w:val="auto"/>
              </w:rPr>
            </w:pPr>
          </w:p>
        </w:tc>
      </w:tr>
      <w:tr>
        <w:trPr>
          <w:trHeight w:val="162"/>
        </w:trPr>
        <w:tc>
          <w:tcPr>
            <w:tcW w:w="2860" w:type="dxa"/>
            <w:vAlign w:val="bottom"/>
            <w:vMerge w:val="restart"/>
          </w:tcPr>
          <w:p>
            <w:pPr>
              <w:ind w:left="20"/>
              <w:spacing w:after="0"/>
              <w:rPr>
                <w:sz w:val="20"/>
                <w:szCs w:val="20"/>
                <w:color w:val="auto"/>
              </w:rPr>
            </w:pPr>
            <w:r>
              <w:rPr>
                <w:rFonts w:ascii="Arial" w:cs="Arial" w:eastAsia="Arial" w:hAnsi="Arial"/>
                <w:sz w:val="16"/>
                <w:szCs w:val="16"/>
                <w:color w:val="auto"/>
              </w:rPr>
              <w:t>Period</w:t>
            </w:r>
          </w:p>
        </w:tc>
        <w:tc>
          <w:tcPr>
            <w:tcW w:w="222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5"/>
              </w:rPr>
              <w:t>shares</w:t>
            </w:r>
          </w:p>
        </w:tc>
        <w:tc>
          <w:tcPr>
            <w:tcW w:w="2060" w:type="dxa"/>
            <w:vAlign w:val="bottom"/>
            <w:gridSpan w:val="2"/>
            <w:vMerge w:val="continue"/>
          </w:tcPr>
          <w:p>
            <w:pPr>
              <w:spacing w:after="0"/>
              <w:rPr>
                <w:sz w:val="14"/>
                <w:szCs w:val="14"/>
                <w:color w:val="auto"/>
              </w:rPr>
            </w:pPr>
          </w:p>
        </w:tc>
        <w:tc>
          <w:tcPr>
            <w:tcW w:w="208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88"/>
              </w:rPr>
              <w:t>announced plans</w:t>
            </w:r>
          </w:p>
        </w:tc>
        <w:tc>
          <w:tcPr>
            <w:tcW w:w="19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5"/>
              </w:rPr>
              <w:t>subsequent to</w:t>
            </w:r>
          </w:p>
        </w:tc>
        <w:tc>
          <w:tcPr>
            <w:tcW w:w="0" w:type="dxa"/>
            <w:vAlign w:val="bottom"/>
          </w:tcPr>
          <w:p>
            <w:pPr>
              <w:spacing w:after="0"/>
              <w:rPr>
                <w:sz w:val="1"/>
                <w:szCs w:val="1"/>
                <w:color w:val="auto"/>
              </w:rPr>
            </w:pPr>
          </w:p>
        </w:tc>
      </w:tr>
      <w:tr>
        <w:trPr>
          <w:trHeight w:val="216"/>
        </w:trPr>
        <w:tc>
          <w:tcPr>
            <w:tcW w:w="2860" w:type="dxa"/>
            <w:vAlign w:val="bottom"/>
            <w:vMerge w:val="continue"/>
          </w:tcPr>
          <w:p>
            <w:pPr>
              <w:spacing w:after="0"/>
              <w:rPr>
                <w:sz w:val="18"/>
                <w:szCs w:val="18"/>
                <w:color w:val="auto"/>
              </w:rPr>
            </w:pPr>
          </w:p>
        </w:tc>
        <w:tc>
          <w:tcPr>
            <w:tcW w:w="2220" w:type="dxa"/>
            <w:vAlign w:val="bottom"/>
            <w:gridSpan w:val="2"/>
          </w:tcPr>
          <w:p>
            <w:pPr>
              <w:jc w:val="center"/>
              <w:spacing w:after="0" w:line="216" w:lineRule="exact"/>
              <w:rPr>
                <w:sz w:val="20"/>
                <w:szCs w:val="20"/>
                <w:color w:val="auto"/>
              </w:rPr>
            </w:pPr>
            <w:r>
              <w:rPr>
                <w:rFonts w:ascii="Arial" w:cs="Arial" w:eastAsia="Arial" w:hAnsi="Arial"/>
                <w:sz w:val="16"/>
                <w:szCs w:val="16"/>
                <w:b w:val="1"/>
                <w:bCs w:val="1"/>
                <w:color w:val="auto"/>
                <w:w w:val="85"/>
              </w:rPr>
              <w:t>purchased</w:t>
            </w:r>
            <w:r>
              <w:rPr>
                <w:rFonts w:ascii="Arial" w:cs="Arial" w:eastAsia="Arial" w:hAnsi="Arial"/>
                <w:sz w:val="21"/>
                <w:szCs w:val="21"/>
                <w:b w:val="1"/>
                <w:bCs w:val="1"/>
                <w:color w:val="auto"/>
                <w:w w:val="85"/>
                <w:vertAlign w:val="superscript"/>
              </w:rPr>
              <w:t>(1)</w:t>
            </w:r>
          </w:p>
        </w:tc>
        <w:tc>
          <w:tcPr>
            <w:tcW w:w="2060" w:type="dxa"/>
            <w:vAlign w:val="bottom"/>
            <w:gridSpan w:val="2"/>
          </w:tcPr>
          <w:p>
            <w:pPr>
              <w:ind w:left="480"/>
              <w:spacing w:after="0"/>
              <w:rPr>
                <w:sz w:val="20"/>
                <w:szCs w:val="20"/>
                <w:color w:val="auto"/>
              </w:rPr>
            </w:pPr>
            <w:r>
              <w:rPr>
                <w:rFonts w:ascii="Arial" w:cs="Arial" w:eastAsia="Arial" w:hAnsi="Arial"/>
                <w:sz w:val="16"/>
                <w:szCs w:val="16"/>
                <w:b w:val="1"/>
                <w:bCs w:val="1"/>
                <w:color w:val="auto"/>
              </w:rPr>
              <w:t>paid per share</w:t>
            </w:r>
          </w:p>
        </w:tc>
        <w:tc>
          <w:tcPr>
            <w:tcW w:w="2080" w:type="dxa"/>
            <w:vAlign w:val="bottom"/>
            <w:gridSpan w:val="2"/>
          </w:tcPr>
          <w:p>
            <w:pPr>
              <w:jc w:val="center"/>
              <w:ind w:right="100"/>
              <w:spacing w:after="0" w:line="216" w:lineRule="exact"/>
              <w:rPr>
                <w:sz w:val="20"/>
                <w:szCs w:val="20"/>
                <w:color w:val="auto"/>
              </w:rPr>
            </w:pPr>
            <w:r>
              <w:rPr>
                <w:rFonts w:ascii="Arial" w:cs="Arial" w:eastAsia="Arial" w:hAnsi="Arial"/>
                <w:sz w:val="16"/>
                <w:szCs w:val="16"/>
                <w:b w:val="1"/>
                <w:bCs w:val="1"/>
                <w:color w:val="auto"/>
                <w:w w:val="87"/>
              </w:rPr>
              <w:t>or programs</w:t>
            </w:r>
            <w:r>
              <w:rPr>
                <w:rFonts w:ascii="Arial" w:cs="Arial" w:eastAsia="Arial" w:hAnsi="Arial"/>
                <w:sz w:val="21"/>
                <w:szCs w:val="21"/>
                <w:b w:val="1"/>
                <w:bCs w:val="1"/>
                <w:color w:val="auto"/>
                <w:w w:val="87"/>
                <w:vertAlign w:val="superscript"/>
              </w:rPr>
              <w:t>(2)</w:t>
            </w:r>
          </w:p>
        </w:tc>
        <w:tc>
          <w:tcPr>
            <w:tcW w:w="19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7"/>
              </w:rPr>
              <w:t xml:space="preserve">end of period </w:t>
            </w:r>
            <w:r>
              <w:rPr>
                <w:rFonts w:ascii="Arial" w:cs="Arial" w:eastAsia="Arial" w:hAnsi="Arial"/>
                <w:sz w:val="21"/>
                <w:szCs w:val="21"/>
                <w:b w:val="1"/>
                <w:bCs w:val="1"/>
                <w:color w:val="auto"/>
                <w:w w:val="87"/>
                <w:vertAlign w:val="superscript"/>
              </w:rPr>
              <w:t>(2)</w:t>
            </w:r>
          </w:p>
        </w:tc>
        <w:tc>
          <w:tcPr>
            <w:tcW w:w="0" w:type="dxa"/>
            <w:vAlign w:val="bottom"/>
          </w:tcPr>
          <w:p>
            <w:pPr>
              <w:spacing w:after="0"/>
              <w:rPr>
                <w:sz w:val="1"/>
                <w:szCs w:val="1"/>
                <w:color w:val="auto"/>
              </w:rPr>
            </w:pPr>
          </w:p>
        </w:tc>
      </w:tr>
      <w:tr>
        <w:trPr>
          <w:trHeight w:val="210"/>
        </w:trPr>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August 1 - August 31, 2022</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22,725</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22,687</w:t>
            </w:r>
          </w:p>
        </w:tc>
        <w:tc>
          <w:tcPr>
            <w:tcW w:w="1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15,586,060</w:t>
            </w:r>
          </w:p>
        </w:tc>
        <w:tc>
          <w:tcPr>
            <w:tcW w:w="0" w:type="dxa"/>
            <w:vAlign w:val="bottom"/>
          </w:tcPr>
          <w:p>
            <w:pPr>
              <w:spacing w:after="0"/>
              <w:rPr>
                <w:sz w:val="1"/>
                <w:szCs w:val="1"/>
                <w:color w:val="auto"/>
              </w:rPr>
            </w:pPr>
          </w:p>
        </w:tc>
      </w:tr>
      <w:tr>
        <w:trPr>
          <w:trHeight w:val="213"/>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September 1 - September 30, 2022</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30,265</w:t>
            </w: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1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30,265</w:t>
            </w:r>
          </w:p>
        </w:tc>
        <w:tc>
          <w:tcPr>
            <w:tcW w:w="1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15,322,269</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340" w:right="20" w:hanging="332"/>
        <w:spacing w:after="0" w:line="237" w:lineRule="auto"/>
        <w:tabs>
          <w:tab w:leader="none" w:pos="327"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The repurchased shares include 38 shares acquired other than as part of a publicly announced plan or program. The Company repurchased these securities in connection with its Amended and Restated 2000 Long Term Incentive Plan, which allows participants to use shares to satisfy the exercise price of options exercised, certain tax liabilities arising from the exercise of options, and certain tax liabilities arising from the vesting of restricted stock. The foregoing number does not include unvested shares forfeited back to the Company pursuant to the terms of its stock compensation plans.</w:t>
      </w:r>
    </w:p>
    <w:p>
      <w:pPr>
        <w:spacing w:after="0" w:line="49" w:lineRule="exact"/>
        <w:rPr>
          <w:rFonts w:ascii="Arial" w:cs="Arial" w:eastAsia="Arial" w:hAnsi="Arial"/>
          <w:sz w:val="19"/>
          <w:szCs w:val="19"/>
          <w:color w:val="auto"/>
          <w:vertAlign w:val="superscript"/>
        </w:rPr>
      </w:pPr>
    </w:p>
    <w:p>
      <w:pPr>
        <w:ind w:left="340" w:right="200" w:hanging="332"/>
        <w:spacing w:after="0" w:line="237" w:lineRule="auto"/>
        <w:tabs>
          <w:tab w:leader="none" w:pos="327"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On March 14, 2022, the Company announced that its Board of Directors of the Company authorized the repurchase of up to $20.0 million of the Company’s common stock, replacing the Company’s previously-authorized $10 million share repurchase program. The repurchase authorization permits the Company to effect the repurchases from time to time through open market purchases and privately negotiated transactions. During the three months ended September 30, 2022, the Company repurchased 52,952 shares for a total cost of $0.5 million and thereafter retired the shares.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i w:val="1"/>
          <w:iCs w:val="1"/>
          <w:color w:val="auto"/>
        </w:rPr>
        <w:t>The information set forth below is included herein, by our option, for the purpose of providing disclosure under “Item 5.02 – Departure of Directors or Certain Officers; Election of Directors; Appointment of Certain Officers; Compensatory Arrangements of Certain Officers” of Form 8-K.</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November 1, 2022, the Company entered into a transition agreement (the “Transition Agreement”) with Jeffrey Siegel, the Company’s Executive Chairman, which amended the terms of the Fourth Amended and Restated Employment Agreement, dated as of June 27, 2019, by and between Mr. Siegel and the Company (the “Employment Agreement”), for the primary purpose of extending the term of the Employment Agreement through March 31, 2023 (the “Transition Termination Date”). The Transition Agreement becomes effective on January 1, 2023 and shall remain in effect until the Transition Termination Date (the “Transition Period”). During the Transition Period, Mr. Siegel shall provide business support and advisory services to the Company and shall be entitled to the following compensation: (i) a base salary equal to $14,000 per month and (ii) continued entitlement to the reimbursements and retirement and welfare benefits set forth in Section 4(d)(i) and Section 4(e) of the Employment Agreement. Mr. Siegel’s 2022 bonus shall be determined and paid pursuant to Section 4(b) of the Employment Agreement, provided that Mr. Siegel shall not be entitled to any other bonus compensation, including in respect of the services provided during the Transition Period. Upon termination of Mr. Siegel’s employment on the Transition Termination Date, he will receive severance equal to the sum of $691,667 and the average of the annual bonuses paid to him for 2020, 2021, and 2022.</w:t>
      </w:r>
    </w:p>
    <w:p>
      <w:pPr>
        <w:spacing w:after="0" w:line="16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information provided in this Item 5.02 is qualified in its entirety by reference to the terms of the Transition Agreement attached hereto as Exhibit 10.3 and the Employment Agreement referenced hereto as Exhibit 10.4, each of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below, which is incorporated by reference herein.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500" w:type="dxa"/>
            <w:vAlign w:val="bottom"/>
            <w:gridSpan w:val="14"/>
          </w:tcPr>
          <w:p>
            <w:pPr>
              <w:ind w:left="24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57"/>
        </w:trPr>
        <w:tc>
          <w:tcPr>
            <w:tcW w:w="160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31.1</w:t>
            </w:r>
          </w:p>
        </w:tc>
        <w:tc>
          <w:tcPr>
            <w:tcW w:w="9560" w:type="dxa"/>
            <w:vAlign w:val="bottom"/>
            <w:gridSpan w:val="16"/>
          </w:tcPr>
          <w:p>
            <w:pPr>
              <w:spacing w:after="0"/>
              <w:rPr>
                <w:sz w:val="20"/>
                <w:szCs w:val="20"/>
                <w:color w:val="auto"/>
              </w:rPr>
            </w:pPr>
            <w:r>
              <w:rPr>
                <w:rFonts w:ascii="Arial" w:cs="Arial" w:eastAsia="Arial" w:hAnsi="Arial"/>
                <w:sz w:val="18"/>
                <w:szCs w:val="18"/>
                <w:color w:val="0000FF"/>
                <w:w w:val="91"/>
              </w:rPr>
              <w:t>Certification by Robert B. Kay, Chief Executive Officer and Director, pursuant to Rule 13a-14(a) or Rule 15d-14(a) of the Securities</w:t>
            </w: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7080" w:type="dxa"/>
            <w:vAlign w:val="bottom"/>
            <w:tcBorders>
              <w:top w:val="single" w:sz="8" w:color="0000FF"/>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89"/>
              </w:rPr>
              <w:t>and Exchange Act of 1934, as adopted pursuant to Section 302 of the Sarbanes-Oxley Act of 2002</w:t>
            </w:r>
          </w:p>
        </w:tc>
        <w:tc>
          <w:tcPr>
            <w:tcW w:w="246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600" w:type="dxa"/>
            <w:vAlign w:val="bottom"/>
          </w:tcPr>
          <w:p>
            <w:pPr>
              <w:spacing w:after="0"/>
              <w:rPr>
                <w:sz w:val="20"/>
                <w:szCs w:val="20"/>
                <w:color w:val="auto"/>
              </w:rPr>
            </w:pPr>
            <w:r>
              <w:rPr>
                <w:rFonts w:ascii="Arial" w:cs="Arial" w:eastAsia="Arial" w:hAnsi="Arial"/>
                <w:sz w:val="18"/>
                <w:szCs w:val="18"/>
                <w:color w:val="auto"/>
              </w:rPr>
              <w:t>31.2</w:t>
            </w:r>
          </w:p>
        </w:tc>
        <w:tc>
          <w:tcPr>
            <w:tcW w:w="9560" w:type="dxa"/>
            <w:vAlign w:val="bottom"/>
            <w:gridSpan w:val="16"/>
          </w:tcPr>
          <w:p>
            <w:pPr>
              <w:spacing w:after="0"/>
              <w:rPr>
                <w:sz w:val="20"/>
                <w:szCs w:val="20"/>
                <w:color w:val="auto"/>
              </w:rPr>
            </w:pPr>
            <w:r>
              <w:rPr>
                <w:rFonts w:ascii="Arial" w:cs="Arial" w:eastAsia="Arial" w:hAnsi="Arial"/>
                <w:sz w:val="18"/>
                <w:szCs w:val="18"/>
                <w:color w:val="0000FF"/>
                <w:w w:val="92"/>
              </w:rPr>
              <w:t>Certification by Laurence Winoker, Executive Vice President, Treasurer and Chief Financial Officer, pursuant to Rule 13a-14(a) or</w:t>
            </w: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9420" w:type="dxa"/>
            <w:vAlign w:val="bottom"/>
            <w:tcBorders>
              <w:top w:val="single" w:sz="8" w:color="0000FF"/>
              <w:bottom w:val="single" w:sz="8" w:color="0000FF"/>
            </w:tcBorders>
            <w:gridSpan w:val="12"/>
          </w:tcPr>
          <w:p>
            <w:pPr>
              <w:spacing w:after="0" w:line="156" w:lineRule="exact"/>
              <w:rPr>
                <w:sz w:val="20"/>
                <w:szCs w:val="20"/>
                <w:color w:val="auto"/>
              </w:rPr>
            </w:pPr>
            <w:r>
              <w:rPr>
                <w:rFonts w:ascii="Arial" w:cs="Arial" w:eastAsia="Arial" w:hAnsi="Arial"/>
                <w:sz w:val="18"/>
                <w:szCs w:val="18"/>
                <w:color w:val="0000FF"/>
                <w:w w:val="89"/>
              </w:rPr>
              <w:t>Rule 15d-14(a) of the Securities and Exchange Act of 1934, as adopted pursuant to Section 302 of the Sarbanes-Oxley Act of 2002</w:t>
            </w:r>
          </w:p>
        </w:tc>
        <w:tc>
          <w:tcPr>
            <w:tcW w:w="20" w:type="dxa"/>
            <w:vAlign w:val="bottom"/>
            <w:tcBorders>
              <w:bottom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600" w:type="dxa"/>
            <w:vAlign w:val="bottom"/>
          </w:tcPr>
          <w:p>
            <w:pPr>
              <w:spacing w:after="0"/>
              <w:rPr>
                <w:sz w:val="20"/>
                <w:szCs w:val="20"/>
                <w:color w:val="auto"/>
              </w:rPr>
            </w:pPr>
            <w:r>
              <w:rPr>
                <w:rFonts w:ascii="Arial" w:cs="Arial" w:eastAsia="Arial" w:hAnsi="Arial"/>
                <w:sz w:val="18"/>
                <w:szCs w:val="18"/>
                <w:color w:val="auto"/>
              </w:rPr>
              <w:t>32.1</w:t>
            </w:r>
          </w:p>
        </w:tc>
        <w:tc>
          <w:tcPr>
            <w:tcW w:w="9560" w:type="dxa"/>
            <w:vAlign w:val="bottom"/>
            <w:gridSpan w:val="16"/>
          </w:tcPr>
          <w:p>
            <w:pPr>
              <w:spacing w:after="0"/>
              <w:rPr>
                <w:sz w:val="20"/>
                <w:szCs w:val="20"/>
                <w:color w:val="auto"/>
              </w:rPr>
            </w:pPr>
            <w:r>
              <w:rPr>
                <w:rFonts w:ascii="Arial" w:cs="Arial" w:eastAsia="Arial" w:hAnsi="Arial"/>
                <w:sz w:val="18"/>
                <w:szCs w:val="18"/>
                <w:color w:val="0000FF"/>
                <w:w w:val="93"/>
              </w:rPr>
              <w:t>Certification by Robert B. Kay, Chief Executive Officer and Director, and Laurence Winoker, Executive Vice President, Treasurer</w:t>
            </w:r>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9360" w:type="dxa"/>
            <w:vAlign w:val="bottom"/>
            <w:tcBorders>
              <w:top w:val="single" w:sz="8" w:color="0000FF"/>
              <w:bottom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0"/>
              </w:rPr>
              <w:t>and Chief Financial Officer, pursuant to 18 U.S.C. Section 1350, as adopted pursuant to Section 906 of the Sarbanes-Oxley Act of</w:t>
            </w:r>
          </w:p>
        </w:tc>
        <w:tc>
          <w:tcPr>
            <w:tcW w:w="20" w:type="dxa"/>
            <w:vAlign w:val="bottom"/>
            <w:tcBorders>
              <w:bottom w:val="single" w:sz="8" w:color="0000FF"/>
            </w:tcBorders>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360" w:type="dxa"/>
            <w:vAlign w:val="bottom"/>
            <w:tcBorders>
              <w:bottom w:val="single" w:sz="8" w:color="0000FF"/>
            </w:tcBorders>
          </w:tcPr>
          <w:p>
            <w:pPr>
              <w:spacing w:after="0" w:line="169" w:lineRule="exact"/>
              <w:rPr>
                <w:sz w:val="20"/>
                <w:szCs w:val="20"/>
                <w:color w:val="auto"/>
              </w:rPr>
            </w:pPr>
            <w:r>
              <w:rPr>
                <w:rFonts w:ascii="Arial" w:cs="Arial" w:eastAsia="Arial" w:hAnsi="Arial"/>
                <w:sz w:val="18"/>
                <w:szCs w:val="18"/>
                <w:color w:val="0000FF"/>
                <w:w w:val="84"/>
              </w:rPr>
              <w:t>2002</w:t>
            </w:r>
          </w:p>
        </w:tc>
        <w:tc>
          <w:tcPr>
            <w:tcW w:w="7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600" w:type="dxa"/>
            <w:vAlign w:val="bottom"/>
          </w:tcPr>
          <w:p>
            <w:pPr>
              <w:spacing w:after="0"/>
              <w:rPr>
                <w:sz w:val="20"/>
                <w:szCs w:val="20"/>
                <w:color w:val="auto"/>
              </w:rPr>
            </w:pPr>
            <w:r>
              <w:rPr>
                <w:rFonts w:ascii="Arial" w:cs="Arial" w:eastAsia="Arial" w:hAnsi="Arial"/>
                <w:sz w:val="18"/>
                <w:szCs w:val="18"/>
                <w:color w:val="auto"/>
              </w:rPr>
              <w:t>10.1</w:t>
            </w:r>
          </w:p>
        </w:tc>
        <w:tc>
          <w:tcPr>
            <w:tcW w:w="9560" w:type="dxa"/>
            <w:vAlign w:val="bottom"/>
            <w:gridSpan w:val="16"/>
          </w:tcPr>
          <w:p>
            <w:pPr>
              <w:spacing w:after="0"/>
              <w:rPr>
                <w:rFonts w:ascii="Arial" w:cs="Arial" w:eastAsia="Arial" w:hAnsi="Arial"/>
                <w:sz w:val="18"/>
                <w:szCs w:val="18"/>
                <w:color w:val="0000FF"/>
                <w:w w:val="94"/>
              </w:rPr>
            </w:pPr>
            <w:hyperlink r:id="rId62">
              <w:r>
                <w:rPr>
                  <w:rFonts w:ascii="Arial" w:cs="Arial" w:eastAsia="Arial" w:hAnsi="Arial"/>
                  <w:sz w:val="18"/>
                  <w:szCs w:val="18"/>
                  <w:color w:val="0000FF"/>
                  <w:w w:val="94"/>
                </w:rPr>
                <w:t>Third Amendment to Amended and Restated Employment Agreement, dated as of August 1, 2022, between the Company and</w:t>
              </w:r>
            </w:hyperlink>
          </w:p>
        </w:tc>
        <w:tc>
          <w:tcPr>
            <w:tcW w:w="0" w:type="dxa"/>
            <w:vAlign w:val="bottom"/>
          </w:tcPr>
          <w:p>
            <w:pPr>
              <w:spacing w:after="0"/>
              <w:rPr>
                <w:sz w:val="1"/>
                <w:szCs w:val="1"/>
                <w:color w:val="auto"/>
              </w:rPr>
            </w:pPr>
          </w:p>
        </w:tc>
      </w:tr>
      <w:tr>
        <w:trPr>
          <w:trHeight w:val="156"/>
        </w:trPr>
        <w:tc>
          <w:tcPr>
            <w:tcW w:w="1600" w:type="dxa"/>
            <w:vAlign w:val="bottom"/>
          </w:tcPr>
          <w:p>
            <w:pPr>
              <w:spacing w:after="0"/>
              <w:rPr>
                <w:sz w:val="13"/>
                <w:szCs w:val="13"/>
                <w:color w:val="auto"/>
              </w:rPr>
            </w:pPr>
          </w:p>
        </w:tc>
        <w:tc>
          <w:tcPr>
            <w:tcW w:w="9080" w:type="dxa"/>
            <w:vAlign w:val="bottom"/>
            <w:tcBorders>
              <w:top w:val="single" w:sz="8" w:color="0000FF"/>
            </w:tcBorders>
            <w:gridSpan w:val="8"/>
          </w:tcPr>
          <w:p>
            <w:pPr>
              <w:spacing w:after="0" w:line="15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Laurence Winoker (incorporated by reference to Exhibit 10.1 to the Company's quarterly report on Form 10-Q for the quarter</w:t>
              </w:r>
            </w:hyperlink>
          </w:p>
        </w:tc>
        <w:tc>
          <w:tcPr>
            <w:tcW w:w="480" w:type="dxa"/>
            <w:vAlign w:val="bottom"/>
            <w:gridSpan w:val="8"/>
          </w:tcPr>
          <w:p>
            <w:pPr>
              <w:spacing w:after="0" w:line="156" w:lineRule="exact"/>
              <w:rPr>
                <w:rFonts w:ascii="Arial" w:cs="Arial" w:eastAsia="Arial" w:hAnsi="Arial"/>
                <w:sz w:val="18"/>
                <w:szCs w:val="18"/>
                <w:color w:val="0000FF"/>
                <w:w w:val="91"/>
              </w:rPr>
            </w:pPr>
            <w:hyperlink r:id="rId62">
              <w:r>
                <w:rPr>
                  <w:rFonts w:ascii="Arial" w:cs="Arial" w:eastAsia="Arial" w:hAnsi="Arial"/>
                  <w:sz w:val="18"/>
                  <w:szCs w:val="18"/>
                  <w:color w:val="0000FF"/>
                  <w:w w:val="91"/>
                </w:rPr>
                <w:t>ended</w:t>
              </w:r>
            </w:hyperlink>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9500" w:type="dxa"/>
            <w:vAlign w:val="bottom"/>
            <w:tcBorders>
              <w:top w:val="single" w:sz="8" w:color="0000FF"/>
            </w:tcBorders>
            <w:gridSpan w:val="14"/>
          </w:tcPr>
          <w:p>
            <w:pPr>
              <w:spacing w:after="0" w:line="169" w:lineRule="exact"/>
              <w:rPr>
                <w:rFonts w:ascii="Arial" w:cs="Arial" w:eastAsia="Arial" w:hAnsi="Arial"/>
                <w:sz w:val="18"/>
                <w:szCs w:val="18"/>
                <w:color w:val="0000FF"/>
              </w:rPr>
            </w:pPr>
            <w:hyperlink r:id="rId62">
              <w:r>
                <w:rPr>
                  <w:rFonts w:ascii="Arial" w:cs="Arial" w:eastAsia="Arial" w:hAnsi="Arial"/>
                  <w:sz w:val="18"/>
                  <w:szCs w:val="18"/>
                  <w:color w:val="0000FF"/>
                </w:rPr>
                <w:t>June 30, 2022)</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600" w:type="dxa"/>
            <w:vAlign w:val="bottom"/>
          </w:tcPr>
          <w:p>
            <w:pPr>
              <w:spacing w:after="0"/>
              <w:rPr>
                <w:sz w:val="20"/>
                <w:szCs w:val="20"/>
                <w:color w:val="auto"/>
              </w:rPr>
            </w:pPr>
            <w:r>
              <w:rPr>
                <w:rFonts w:ascii="Arial" w:cs="Arial" w:eastAsia="Arial" w:hAnsi="Arial"/>
                <w:sz w:val="18"/>
                <w:szCs w:val="18"/>
                <w:color w:val="auto"/>
              </w:rPr>
              <w:t>10.2</w:t>
            </w:r>
          </w:p>
        </w:tc>
        <w:tc>
          <w:tcPr>
            <w:tcW w:w="9560" w:type="dxa"/>
            <w:vAlign w:val="bottom"/>
            <w:gridSpan w:val="16"/>
          </w:tcPr>
          <w:p>
            <w:pPr>
              <w:spacing w:after="0"/>
              <w:rPr>
                <w:rFonts w:ascii="Arial" w:cs="Arial" w:eastAsia="Arial" w:hAnsi="Arial"/>
                <w:sz w:val="18"/>
                <w:szCs w:val="18"/>
                <w:color w:val="0000FF"/>
                <w:w w:val="95"/>
              </w:rPr>
            </w:pPr>
            <w:hyperlink r:id="rId63">
              <w:r>
                <w:rPr>
                  <w:rFonts w:ascii="Arial" w:cs="Arial" w:eastAsia="Arial" w:hAnsi="Arial"/>
                  <w:sz w:val="18"/>
                  <w:szCs w:val="18"/>
                  <w:color w:val="0000FF"/>
                  <w:w w:val="95"/>
                </w:rPr>
                <w:t>Amendment No. 2, dated as of August 26, 2022, by and among the Company, the other Loan Parties party thereto (as defined</w:t>
              </w:r>
            </w:hyperlink>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3740" w:type="dxa"/>
            <w:vAlign w:val="bottom"/>
            <w:gridSpan w:val="3"/>
            <w:shd w:val="clear" w:color="auto" w:fill="0000FF"/>
          </w:tcPr>
          <w:p>
            <w:pPr>
              <w:spacing w:after="0" w:line="20" w:lineRule="exact"/>
              <w:rPr>
                <w:sz w:val="1"/>
                <w:szCs w:val="1"/>
                <w:color w:val="auto"/>
              </w:rPr>
            </w:pPr>
          </w:p>
        </w:tc>
        <w:tc>
          <w:tcPr>
            <w:tcW w:w="36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0" w:type="dxa"/>
            <w:vAlign w:val="bottom"/>
          </w:tcPr>
          <w:p>
            <w:pPr>
              <w:spacing w:after="0"/>
              <w:rPr>
                <w:sz w:val="13"/>
                <w:szCs w:val="13"/>
                <w:color w:val="auto"/>
              </w:rPr>
            </w:pPr>
          </w:p>
        </w:tc>
        <w:tc>
          <w:tcPr>
            <w:tcW w:w="9560" w:type="dxa"/>
            <w:vAlign w:val="bottom"/>
            <w:gridSpan w:val="16"/>
          </w:tcPr>
          <w:p>
            <w:pPr>
              <w:spacing w:after="0" w:line="15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therein), and JPMorgan Chase Bank, N.A., as Administrative Agent (incorporated by reference to Exhibit 10.1 to the Company's</w:t>
              </w:r>
            </w:hyperlink>
          </w:p>
        </w:tc>
        <w:tc>
          <w:tcPr>
            <w:tcW w:w="0" w:type="dxa"/>
            <w:vAlign w:val="bottom"/>
          </w:tcPr>
          <w:p>
            <w:pPr>
              <w:spacing w:after="0"/>
              <w:rPr>
                <w:sz w:val="1"/>
                <w:szCs w:val="1"/>
                <w:color w:val="auto"/>
              </w:rPr>
            </w:pPr>
          </w:p>
        </w:tc>
      </w:tr>
      <w:tr>
        <w:trPr>
          <w:trHeight w:val="169"/>
        </w:trPr>
        <w:tc>
          <w:tcPr>
            <w:tcW w:w="1600" w:type="dxa"/>
            <w:vAlign w:val="bottom"/>
          </w:tcPr>
          <w:p>
            <w:pPr>
              <w:spacing w:after="0"/>
              <w:rPr>
                <w:sz w:val="14"/>
                <w:szCs w:val="14"/>
                <w:color w:val="auto"/>
              </w:rPr>
            </w:pPr>
          </w:p>
        </w:tc>
        <w:tc>
          <w:tcPr>
            <w:tcW w:w="926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r:id="rId63">
              <w:r>
                <w:rPr>
                  <w:rFonts w:ascii="Arial" w:cs="Arial" w:eastAsia="Arial" w:hAnsi="Arial"/>
                  <w:sz w:val="18"/>
                  <w:szCs w:val="18"/>
                  <w:color w:val="0000FF"/>
                </w:rPr>
                <w:t>Current Report on Form 8-K filed August 29, 2022)</w:t>
              </w:r>
            </w:hyperlink>
          </w:p>
        </w:tc>
        <w:tc>
          <w:tcPr>
            <w:tcW w:w="30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3740" w:type="dxa"/>
            <w:vAlign w:val="bottom"/>
            <w:gridSpan w:val="3"/>
            <w:shd w:val="clear" w:color="auto" w:fill="0000FF"/>
          </w:tcPr>
          <w:p>
            <w:pPr>
              <w:spacing w:after="0" w:line="20" w:lineRule="exact"/>
              <w:rPr>
                <w:sz w:val="1"/>
                <w:szCs w:val="1"/>
                <w:color w:val="auto"/>
              </w:rPr>
            </w:pPr>
          </w:p>
        </w:tc>
        <w:tc>
          <w:tcPr>
            <w:tcW w:w="3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600" w:type="dxa"/>
            <w:vAlign w:val="bottom"/>
            <w:vMerge w:val="continue"/>
          </w:tcPr>
          <w:p>
            <w:pPr>
              <w:spacing w:after="0"/>
              <w:rPr>
                <w:sz w:val="24"/>
                <w:szCs w:val="24"/>
                <w:color w:val="auto"/>
              </w:rPr>
            </w:pPr>
          </w:p>
        </w:tc>
        <w:tc>
          <w:tcPr>
            <w:tcW w:w="7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9"/>
              </w:rPr>
              <w:t>Transition Agreement, dated as of November 1, 2022, by and among the Company and Jeffrey Siegel.</w:t>
            </w:r>
          </w:p>
        </w:tc>
        <w:tc>
          <w:tcPr>
            <w:tcW w:w="22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6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16"/>
          </w:tcPr>
          <w:p>
            <w:pPr>
              <w:spacing w:after="0"/>
              <w:rPr>
                <w:rFonts w:ascii="Arial" w:cs="Arial" w:eastAsia="Arial" w:hAnsi="Arial"/>
                <w:sz w:val="18"/>
                <w:szCs w:val="18"/>
                <w:color w:val="0000FF"/>
                <w:w w:val="95"/>
              </w:rPr>
            </w:pPr>
            <w:hyperlink r:id="rId64">
              <w:r>
                <w:rPr>
                  <w:rFonts w:ascii="Arial" w:cs="Arial" w:eastAsia="Arial" w:hAnsi="Arial"/>
                  <w:sz w:val="18"/>
                  <w:szCs w:val="18"/>
                  <w:color w:val="0000FF"/>
                  <w:w w:val="95"/>
                </w:rPr>
                <w:t>Fourth Amended and Restated Employment Agreement, dated as of June 27, 2019, between the Company and Jeffrey Siegel</w:t>
              </w:r>
            </w:hyperlink>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79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(incorporated by reference to Exhibit 10.1 to the Company’s Current Report on Form 8-K filed June 28, 2019)</w:t>
              </w:r>
            </w:hyperlink>
          </w:p>
        </w:tc>
        <w:tc>
          <w:tcPr>
            <w:tcW w:w="1080" w:type="dxa"/>
            <w:vAlign w:val="bottom"/>
            <w:tcBorders>
              <w:top w:val="single" w:sz="8" w:color="0000FF"/>
            </w:tcBorders>
          </w:tcPr>
          <w:p>
            <w:pPr>
              <w:spacing w:after="0"/>
              <w:rPr>
                <w:sz w:val="13"/>
                <w:szCs w:val="13"/>
                <w:color w:val="auto"/>
              </w:rPr>
            </w:pPr>
          </w:p>
        </w:tc>
        <w:tc>
          <w:tcPr>
            <w:tcW w:w="5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1600" w:type="dxa"/>
            <w:vAlign w:val="bottom"/>
          </w:tcPr>
          <w:p>
            <w:pPr>
              <w:spacing w:after="0"/>
              <w:rPr>
                <w:sz w:val="20"/>
                <w:szCs w:val="20"/>
                <w:color w:val="auto"/>
              </w:rPr>
            </w:pPr>
            <w:r>
              <w:rPr>
                <w:rFonts w:ascii="Arial" w:cs="Arial" w:eastAsia="Arial" w:hAnsi="Arial"/>
                <w:sz w:val="18"/>
                <w:szCs w:val="18"/>
                <w:color w:val="auto"/>
              </w:rPr>
              <w:t>101.INS</w:t>
            </w:r>
          </w:p>
        </w:tc>
        <w:tc>
          <w:tcPr>
            <w:tcW w:w="9560" w:type="dxa"/>
            <w:vAlign w:val="bottom"/>
            <w:gridSpan w:val="16"/>
          </w:tcPr>
          <w:p>
            <w:pPr>
              <w:spacing w:after="0"/>
              <w:rPr>
                <w:sz w:val="20"/>
                <w:szCs w:val="20"/>
                <w:color w:val="auto"/>
              </w:rPr>
            </w:pPr>
            <w:r>
              <w:rPr>
                <w:rFonts w:ascii="Arial" w:cs="Arial" w:eastAsia="Arial" w:hAnsi="Arial"/>
                <w:sz w:val="18"/>
                <w:szCs w:val="18"/>
                <w:color w:val="auto"/>
                <w:w w:val="94"/>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600" w:type="dxa"/>
            <w:vAlign w:val="bottom"/>
          </w:tcPr>
          <w:p>
            <w:pPr>
              <w:spacing w:after="0"/>
              <w:rPr>
                <w:sz w:val="20"/>
                <w:szCs w:val="20"/>
                <w:color w:val="auto"/>
              </w:rPr>
            </w:pPr>
          </w:p>
        </w:tc>
        <w:tc>
          <w:tcPr>
            <w:tcW w:w="956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11"/>
        </w:trPr>
        <w:tc>
          <w:tcPr>
            <w:tcW w:w="160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4"/>
        </w:trPr>
        <w:tc>
          <w:tcPr>
            <w:tcW w:w="1600" w:type="dxa"/>
            <w:vAlign w:val="bottom"/>
          </w:tcPr>
          <w:p>
            <w:pPr>
              <w:spacing w:after="0"/>
              <w:rPr>
                <w:sz w:val="20"/>
                <w:szCs w:val="20"/>
                <w:color w:val="auto"/>
              </w:rPr>
            </w:pPr>
            <w:r>
              <w:rPr>
                <w:rFonts w:ascii="Arial" w:cs="Arial" w:eastAsia="Arial" w:hAnsi="Arial"/>
                <w:sz w:val="18"/>
                <w:szCs w:val="18"/>
                <w:color w:val="auto"/>
              </w:rPr>
              <w:t>101.LAB</w:t>
            </w:r>
          </w:p>
        </w:tc>
        <w:tc>
          <w:tcPr>
            <w:tcW w:w="956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283"/>
        </w:trPr>
        <w:tc>
          <w:tcPr>
            <w:tcW w:w="1600" w:type="dxa"/>
            <w:vAlign w:val="bottom"/>
          </w:tcPr>
          <w:p>
            <w:pPr>
              <w:spacing w:after="0"/>
              <w:rPr>
                <w:sz w:val="20"/>
                <w:szCs w:val="20"/>
                <w:color w:val="auto"/>
              </w:rPr>
            </w:pPr>
            <w:r>
              <w:rPr>
                <w:rFonts w:ascii="Arial" w:cs="Arial" w:eastAsia="Arial" w:hAnsi="Arial"/>
                <w:sz w:val="18"/>
                <w:szCs w:val="18"/>
                <w:color w:val="auto"/>
              </w:rPr>
              <w:t>101.PRE</w:t>
            </w:r>
          </w:p>
        </w:tc>
        <w:tc>
          <w:tcPr>
            <w:tcW w:w="956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44"/>
        </w:trPr>
        <w:tc>
          <w:tcPr>
            <w:tcW w:w="16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gridSpan w:val="16"/>
          </w:tcPr>
          <w:p>
            <w:pPr>
              <w:spacing w:after="0"/>
              <w:rPr>
                <w:sz w:val="20"/>
                <w:szCs w:val="20"/>
                <w:color w:val="auto"/>
              </w:rPr>
            </w:pPr>
            <w:r>
              <w:rPr>
                <w:rFonts w:ascii="Arial" w:cs="Arial" w:eastAsia="Arial" w:hAnsi="Arial"/>
                <w:sz w:val="18"/>
                <w:szCs w:val="18"/>
                <w:color w:val="auto"/>
              </w:rPr>
              <w:t>The cover page from this Quarterly Report on Form 10-Q, formatted in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 w:lineRule="exact"/>
        <w:rPr>
          <w:sz w:val="20"/>
          <w:szCs w:val="20"/>
          <w:color w:val="auto"/>
        </w:rPr>
      </w:pPr>
    </w:p>
    <w:tbl>
      <w:tblPr>
        <w:tblLayout w:type="fixed"/>
        <w:tblInd w:w="5820" w:type="dxa"/>
        <w:tblCellMar>
          <w:top w:w="0" w:type="dxa"/>
          <w:left w:w="0" w:type="dxa"/>
          <w:bottom w:w="0" w:type="dxa"/>
          <w:right w:w="0" w:type="dxa"/>
        </w:tblCellMar>
      </w:tblP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Lifetime Brands, Inc.</w:t>
            </w:r>
          </w:p>
        </w:tc>
        <w:tc>
          <w:tcPr>
            <w:tcW w:w="1920" w:type="dxa"/>
            <w:vAlign w:val="bottom"/>
          </w:tcPr>
          <w:p>
            <w:pPr>
              <w:spacing w:after="0"/>
              <w:rPr>
                <w:sz w:val="20"/>
                <w:szCs w:val="20"/>
                <w:color w:val="auto"/>
              </w:rPr>
            </w:pPr>
          </w:p>
        </w:tc>
      </w:tr>
      <w:tr>
        <w:trPr>
          <w:trHeight w:val="499"/>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920" w:type="dxa"/>
            <w:vAlign w:val="bottom"/>
          </w:tcPr>
          <w:p>
            <w:pPr>
              <w:ind w:left="580"/>
              <w:spacing w:after="0"/>
              <w:rPr>
                <w:sz w:val="20"/>
                <w:szCs w:val="20"/>
                <w:color w:val="auto"/>
              </w:rPr>
            </w:pPr>
            <w:r>
              <w:rPr>
                <w:rFonts w:ascii="Arial" w:cs="Arial" w:eastAsia="Arial" w:hAnsi="Arial"/>
                <w:sz w:val="18"/>
                <w:szCs w:val="18"/>
                <w:color w:val="auto"/>
                <w:w w:val="89"/>
              </w:rPr>
              <w:t>November 3, 2022</w:t>
            </w: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Robert B. Kay</w:t>
            </w:r>
          </w:p>
        </w:tc>
        <w:tc>
          <w:tcPr>
            <w:tcW w:w="1920" w:type="dxa"/>
            <w:vAlign w:val="bottom"/>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920" w:type="dxa"/>
            <w:vAlign w:val="bottom"/>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920" w:type="dxa"/>
            <w:vAlign w:val="bottom"/>
          </w:tcPr>
          <w:p>
            <w:pPr>
              <w:spacing w:after="0"/>
              <w:rPr>
                <w:sz w:val="20"/>
                <w:szCs w:val="20"/>
                <w:color w:val="auto"/>
              </w:rPr>
            </w:pPr>
          </w:p>
        </w:tc>
      </w:tr>
      <w:tr>
        <w:trPr>
          <w:trHeight w:val="50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c>
          <w:tcPr>
            <w:tcW w:w="1920" w:type="dxa"/>
            <w:vAlign w:val="bottom"/>
          </w:tcPr>
          <w:p>
            <w:pPr>
              <w:ind w:left="580"/>
              <w:spacing w:after="0"/>
              <w:rPr>
                <w:sz w:val="20"/>
                <w:szCs w:val="20"/>
                <w:color w:val="auto"/>
              </w:rPr>
            </w:pPr>
            <w:r>
              <w:rPr>
                <w:rFonts w:ascii="Arial" w:cs="Arial" w:eastAsia="Arial" w:hAnsi="Arial"/>
                <w:sz w:val="18"/>
                <w:szCs w:val="18"/>
                <w:color w:val="auto"/>
                <w:w w:val="89"/>
              </w:rPr>
              <w:t>November 3, 2022</w:t>
            </w:r>
          </w:p>
        </w:tc>
      </w:tr>
      <w:tr>
        <w:trPr>
          <w:trHeight w:val="222"/>
        </w:trPr>
        <w:tc>
          <w:tcPr>
            <w:tcW w:w="3460" w:type="dxa"/>
            <w:vAlign w:val="bottom"/>
          </w:tcPr>
          <w:p>
            <w:pPr>
              <w:ind w:left="20"/>
              <w:spacing w:after="0"/>
              <w:rPr>
                <w:sz w:val="20"/>
                <w:szCs w:val="20"/>
                <w:color w:val="auto"/>
              </w:rPr>
            </w:pPr>
            <w:r>
              <w:rPr>
                <w:rFonts w:ascii="Arial" w:cs="Arial" w:eastAsia="Arial" w:hAnsi="Arial"/>
                <w:sz w:val="18"/>
                <w:szCs w:val="18"/>
                <w:color w:val="auto"/>
              </w:rPr>
              <w:t>Laurence Winoker</w:t>
            </w:r>
          </w:p>
        </w:tc>
        <w:tc>
          <w:tcPr>
            <w:tcW w:w="1920" w:type="dxa"/>
            <w:vAlign w:val="bottom"/>
          </w:tcPr>
          <w:p>
            <w:pPr>
              <w:spacing w:after="0"/>
              <w:rPr>
                <w:sz w:val="19"/>
                <w:szCs w:val="19"/>
                <w:color w:val="auto"/>
              </w:rPr>
            </w:pPr>
          </w:p>
        </w:tc>
      </w:tr>
      <w:tr>
        <w:trPr>
          <w:trHeight w:val="176"/>
        </w:trPr>
        <w:tc>
          <w:tcPr>
            <w:tcW w:w="3460" w:type="dxa"/>
            <w:vAlign w:val="bottom"/>
          </w:tcPr>
          <w:p>
            <w:pPr>
              <w:ind w:left="20"/>
              <w:spacing w:after="0" w:line="176" w:lineRule="exact"/>
              <w:rPr>
                <w:sz w:val="20"/>
                <w:szCs w:val="20"/>
                <w:color w:val="auto"/>
              </w:rPr>
            </w:pPr>
            <w:r>
              <w:rPr>
                <w:rFonts w:ascii="Arial" w:cs="Arial" w:eastAsia="Arial" w:hAnsi="Arial"/>
                <w:sz w:val="18"/>
                <w:szCs w:val="18"/>
                <w:color w:val="auto"/>
                <w:w w:val="92"/>
              </w:rPr>
              <w:t>Executive Vice President, Treasurer and Chief</w:t>
            </w:r>
          </w:p>
        </w:tc>
        <w:tc>
          <w:tcPr>
            <w:tcW w:w="1920" w:type="dxa"/>
            <w:vAlign w:val="bottom"/>
          </w:tcPr>
          <w:p>
            <w:pPr>
              <w:spacing w:after="0"/>
              <w:rPr>
                <w:sz w:val="15"/>
                <w:szCs w:val="15"/>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Financial Officer</w:t>
            </w:r>
          </w:p>
        </w:tc>
        <w:tc>
          <w:tcPr>
            <w:tcW w:w="1920" w:type="dxa"/>
            <w:vAlign w:val="bottom"/>
          </w:tcPr>
          <w:p>
            <w:pPr>
              <w:spacing w:after="0"/>
              <w:rPr>
                <w:sz w:val="20"/>
                <w:szCs w:val="20"/>
                <w:color w:val="auto"/>
              </w:rPr>
            </w:pPr>
          </w:p>
        </w:tc>
      </w:tr>
      <w:tr>
        <w:trPr>
          <w:trHeight w:val="242"/>
        </w:trPr>
        <w:tc>
          <w:tcPr>
            <w:tcW w:w="3460" w:type="dxa"/>
            <w:vAlign w:val="bottom"/>
          </w:tcPr>
          <w:p>
            <w:pPr>
              <w:ind w:left="20"/>
              <w:spacing w:after="0"/>
              <w:rPr>
                <w:sz w:val="20"/>
                <w:szCs w:val="20"/>
                <w:color w:val="auto"/>
              </w:rPr>
            </w:pPr>
            <w:r>
              <w:rPr>
                <w:rFonts w:ascii="Arial" w:cs="Arial" w:eastAsia="Arial" w:hAnsi="Arial"/>
                <w:sz w:val="18"/>
                <w:szCs w:val="18"/>
                <w:color w:val="auto"/>
                <w:w w:val="99"/>
              </w:rPr>
              <w:t>(Principal Financial and Accounting Officer)</w:t>
            </w:r>
          </w:p>
        </w:tc>
        <w:tc>
          <w:tcPr>
            <w:tcW w:w="19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220"/>
          </w:cols>
          <w:pgMar w:left="320" w:top="121" w:right="359"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u w:val="single" w:color="auto"/>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22"/>
          <w:szCs w:val="22"/>
          <w:color w:val="auto"/>
        </w:rPr>
        <w:t>November 1, 2022</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color w:val="auto"/>
        </w:rPr>
        <w:t>Jeffrey Siegel</w:t>
      </w:r>
    </w:p>
    <w:p>
      <w:pPr>
        <w:spacing w:after="0" w:line="204" w:lineRule="auto"/>
        <w:rPr>
          <w:sz w:val="20"/>
          <w:szCs w:val="20"/>
          <w:color w:val="auto"/>
        </w:rPr>
      </w:pPr>
      <w:r>
        <w:rPr>
          <w:rFonts w:ascii="Arial" w:cs="Arial" w:eastAsia="Arial" w:hAnsi="Arial"/>
          <w:sz w:val="22"/>
          <w:szCs w:val="22"/>
          <w:color w:val="auto"/>
        </w:rPr>
        <w:t>c/o Lifetime Brands, Inc.</w:t>
      </w:r>
    </w:p>
    <w:p>
      <w:pPr>
        <w:spacing w:after="0" w:line="205" w:lineRule="auto"/>
        <w:rPr>
          <w:sz w:val="20"/>
          <w:szCs w:val="20"/>
          <w:color w:val="auto"/>
        </w:rPr>
      </w:pPr>
      <w:r>
        <w:rPr>
          <w:rFonts w:ascii="Arial" w:cs="Arial" w:eastAsia="Arial" w:hAnsi="Arial"/>
          <w:sz w:val="22"/>
          <w:szCs w:val="22"/>
          <w:color w:val="auto"/>
        </w:rPr>
        <w:t>1000 Stewart Avenue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Garden City, NY 11530</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Transition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Jeff:</w:t>
      </w:r>
    </w:p>
    <w:p>
      <w:pPr>
        <w:spacing w:after="0" w:line="206" w:lineRule="exact"/>
        <w:rPr>
          <w:sz w:val="20"/>
          <w:szCs w:val="20"/>
          <w:color w:val="auto"/>
        </w:rPr>
      </w:pPr>
    </w:p>
    <w:p>
      <w:pPr>
        <w:jc w:val="both"/>
        <w:ind w:firstLine="648"/>
        <w:spacing w:after="0" w:line="221" w:lineRule="auto"/>
        <w:rPr>
          <w:sz w:val="20"/>
          <w:szCs w:val="20"/>
          <w:color w:val="auto"/>
        </w:rPr>
      </w:pPr>
      <w:r>
        <w:rPr>
          <w:rFonts w:ascii="Arial" w:cs="Arial" w:eastAsia="Arial" w:hAnsi="Arial"/>
          <w:sz w:val="21"/>
          <w:szCs w:val="21"/>
          <w:color w:val="auto"/>
        </w:rPr>
        <w:t>This letter (this “</w:t>
      </w:r>
      <w:r>
        <w:rPr>
          <w:rFonts w:ascii="Arial" w:cs="Arial" w:eastAsia="Arial" w:hAnsi="Arial"/>
          <w:sz w:val="21"/>
          <w:szCs w:val="21"/>
          <w:u w:val="single" w:color="auto"/>
          <w:color w:val="auto"/>
        </w:rPr>
        <w:t>Transition Agreement</w:t>
      </w:r>
      <w:r>
        <w:rPr>
          <w:rFonts w:ascii="Arial" w:cs="Arial" w:eastAsia="Arial" w:hAnsi="Arial"/>
          <w:sz w:val="21"/>
          <w:szCs w:val="21"/>
          <w:color w:val="auto"/>
        </w:rPr>
        <w:t>”) will confirm our agreement relating to the terms of your remaining employment with Lifetime Brands, Inc. (the “</w:t>
      </w:r>
      <w:r>
        <w:rPr>
          <w:rFonts w:ascii="Arial" w:cs="Arial" w:eastAsia="Arial" w:hAnsi="Arial"/>
          <w:sz w:val="21"/>
          <w:szCs w:val="21"/>
          <w:u w:val="single" w:color="auto"/>
          <w:color w:val="auto"/>
        </w:rPr>
        <w:t>Company</w:t>
      </w:r>
      <w:r>
        <w:rPr>
          <w:rFonts w:ascii="Arial" w:cs="Arial" w:eastAsia="Arial" w:hAnsi="Arial"/>
          <w:sz w:val="21"/>
          <w:szCs w:val="21"/>
          <w:color w:val="auto"/>
        </w:rPr>
        <w:t>”) and amend the terms of the Fourth Amended and Restated Employment Agreement by and between you and the Company, dated as of June 27, 2019, including all amendments thereto (the “</w:t>
      </w:r>
      <w:r>
        <w:rPr>
          <w:rFonts w:ascii="Arial" w:cs="Arial" w:eastAsia="Arial" w:hAnsi="Arial"/>
          <w:sz w:val="21"/>
          <w:szCs w:val="21"/>
          <w:u w:val="single" w:color="auto"/>
          <w:color w:val="auto"/>
        </w:rPr>
        <w:t>Employment</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The term of the Employment Agreement shall be extended until March 31, 2023 (the “</w:t>
      </w:r>
      <w:r>
        <w:rPr>
          <w:rFonts w:ascii="Arial" w:cs="Arial" w:eastAsia="Arial" w:hAnsi="Arial"/>
          <w:sz w:val="21"/>
          <w:szCs w:val="21"/>
          <w:u w:val="single" w:color="auto"/>
          <w:color w:val="auto"/>
        </w:rPr>
        <w:t>Transition Termination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Date</w:t>
      </w:r>
      <w:r>
        <w:rPr>
          <w:rFonts w:ascii="Arial" w:cs="Arial" w:eastAsia="Arial" w:hAnsi="Arial"/>
          <w:sz w:val="21"/>
          <w:szCs w:val="21"/>
          <w:color w:val="auto"/>
        </w:rPr>
        <w:t>”), subject to the revisions set forth in this Transition Agreement. Capitalized terms not defined herein will have the respective meanings ascribed to them in the Employment Agreement. This Transition Agreement shall become effective on January 1, 2023 (the “</w:t>
      </w:r>
      <w:r>
        <w:rPr>
          <w:rFonts w:ascii="Arial" w:cs="Arial" w:eastAsia="Arial" w:hAnsi="Arial"/>
          <w:sz w:val="21"/>
          <w:szCs w:val="21"/>
          <w:u w:val="single" w:color="auto"/>
          <w:color w:val="auto"/>
        </w:rPr>
        <w:t>Transition Effective Date</w:t>
      </w:r>
      <w:r>
        <w:rPr>
          <w:rFonts w:ascii="Arial" w:cs="Arial" w:eastAsia="Arial" w:hAnsi="Arial"/>
          <w:sz w:val="21"/>
          <w:szCs w:val="21"/>
          <w:color w:val="auto"/>
        </w:rPr>
        <w:t>”), and until such date, the terms of the Employment Agreement shall remain in full force and effect without regard to the terms of this Transition Agreement.</w:t>
      </w:r>
    </w:p>
    <w:p>
      <w:pPr>
        <w:spacing w:after="0" w:line="186" w:lineRule="exact"/>
        <w:rPr>
          <w:sz w:val="20"/>
          <w:szCs w:val="20"/>
          <w:color w:val="auto"/>
        </w:rPr>
      </w:pPr>
    </w:p>
    <w:p>
      <w:pPr>
        <w:jc w:val="both"/>
        <w:ind w:firstLine="656"/>
        <w:spacing w:after="0" w:line="217"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 xml:space="preserve">Termination of Employment. </w:t>
      </w:r>
      <w:r>
        <w:rPr>
          <w:rFonts w:ascii="Arial" w:cs="Arial" w:eastAsia="Arial" w:hAnsi="Arial"/>
          <w:sz w:val="22"/>
          <w:szCs w:val="22"/>
          <w:color w:val="auto"/>
        </w:rPr>
        <w:t>Your employment with the Company will terminate, and you will resign from all</w:t>
      </w:r>
      <w:r>
        <w:rPr>
          <w:rFonts w:ascii="Arial" w:cs="Arial" w:eastAsia="Arial" w:hAnsi="Arial"/>
          <w:sz w:val="22"/>
          <w:szCs w:val="22"/>
          <w:b w:val="1"/>
          <w:bCs w:val="1"/>
          <w:color w:val="auto"/>
        </w:rPr>
        <w:t xml:space="preserve"> </w:t>
      </w:r>
      <w:r>
        <w:rPr>
          <w:rFonts w:ascii="Arial" w:cs="Arial" w:eastAsia="Arial" w:hAnsi="Arial"/>
          <w:sz w:val="22"/>
          <w:szCs w:val="22"/>
          <w:color w:val="auto"/>
        </w:rPr>
        <w:t>officer and director positions you may hold with the Company or any subsidiary or affiliate of the Company, on the Transition Termination Date; provided that, you will continue to serve as a member of, and Chairman of, the Company’s Board of Directors (the “</w:t>
      </w:r>
      <w:r>
        <w:rPr>
          <w:rFonts w:ascii="Arial" w:cs="Arial" w:eastAsia="Arial" w:hAnsi="Arial"/>
          <w:sz w:val="22"/>
          <w:szCs w:val="22"/>
          <w:u w:val="single" w:color="auto"/>
          <w:color w:val="auto"/>
        </w:rPr>
        <w:t>Board</w:t>
      </w:r>
      <w:r>
        <w:rPr>
          <w:rFonts w:ascii="Arial" w:cs="Arial" w:eastAsia="Arial" w:hAnsi="Arial"/>
          <w:sz w:val="22"/>
          <w:szCs w:val="22"/>
          <w:color w:val="auto"/>
        </w:rPr>
        <w:t>”) following the Transition Termination Date. Neither you nor the Company will terminate your employment prior to the Transition Termination Date, provided that:</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the Company may terminate your employment for Cause pursuant to Section 4(a) of the Employment</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Agreement;</w:t>
      </w:r>
    </w:p>
    <w:p>
      <w:pPr>
        <w:spacing w:after="0" w:line="161" w:lineRule="exact"/>
        <w:rPr>
          <w:rFonts w:ascii="Arial" w:cs="Arial" w:eastAsia="Arial" w:hAnsi="Arial"/>
          <w:sz w:val="19"/>
          <w:szCs w:val="19"/>
          <w:color w:val="auto"/>
        </w:rPr>
      </w:pPr>
    </w:p>
    <w:p>
      <w:pPr>
        <w:ind w:firstLine="1304"/>
        <w:spacing w:after="0" w:line="232" w:lineRule="auto"/>
        <w:tabs>
          <w:tab w:leader="none" w:pos="1939" w:val="left"/>
        </w:tabs>
        <w:numPr>
          <w:ilvl w:val="1"/>
          <w:numId w:val="18"/>
        </w:numPr>
        <w:rPr>
          <w:rFonts w:ascii="Arial" w:cs="Arial" w:eastAsia="Arial" w:hAnsi="Arial"/>
          <w:sz w:val="22"/>
          <w:szCs w:val="22"/>
          <w:color w:val="auto"/>
        </w:rPr>
      </w:pPr>
      <w:r>
        <w:rPr>
          <w:rFonts w:ascii="Arial" w:cs="Arial" w:eastAsia="Arial" w:hAnsi="Arial"/>
          <w:sz w:val="22"/>
          <w:szCs w:val="22"/>
          <w:color w:val="auto"/>
        </w:rPr>
        <w:t>you may terminate your employment at any time if you provide the Company with at least 30 days’ advance written notice;</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1"/>
          <w:numId w:val="18"/>
        </w:numPr>
        <w:rPr>
          <w:rFonts w:ascii="Arial" w:cs="Arial" w:eastAsia="Arial" w:hAnsi="Arial"/>
          <w:sz w:val="22"/>
          <w:szCs w:val="22"/>
          <w:color w:val="auto"/>
        </w:rPr>
      </w:pPr>
      <w:r>
        <w:rPr>
          <w:rFonts w:ascii="Arial" w:cs="Arial" w:eastAsia="Arial" w:hAnsi="Arial"/>
          <w:sz w:val="22"/>
          <w:szCs w:val="22"/>
          <w:color w:val="auto"/>
        </w:rPr>
        <w:t>your employment will terminate upon your death; and</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1"/>
          <w:numId w:val="18"/>
        </w:numPr>
        <w:rPr>
          <w:rFonts w:ascii="Arial" w:cs="Arial" w:eastAsia="Arial" w:hAnsi="Arial"/>
          <w:sz w:val="22"/>
          <w:szCs w:val="22"/>
          <w:color w:val="auto"/>
        </w:rPr>
      </w:pPr>
      <w:r>
        <w:rPr>
          <w:rFonts w:ascii="Arial" w:cs="Arial" w:eastAsia="Arial" w:hAnsi="Arial"/>
          <w:sz w:val="22"/>
          <w:szCs w:val="22"/>
          <w:color w:val="auto"/>
        </w:rPr>
        <w:t>either you or the Company may terminate your employment on account of your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DB1/ 133431243.6</w:t>
      </w:r>
    </w:p>
    <w:p>
      <w:pPr>
        <w:sectPr>
          <w:pgSz w:w="11900" w:h="16838" w:orient="portrait"/>
          <w:cols w:equalWidth="0" w:num="1">
            <w:col w:w="11240"/>
          </w:cols>
          <w:pgMar w:left="320" w:top="1413" w:right="339" w:bottom="1440" w:gutter="0" w:footer="0" w:header="0"/>
        </w:sectPr>
      </w:pPr>
    </w:p>
    <w:bookmarkStart w:id="52" w:name="page53"/>
    <w:bookmarkEnd w:id="52"/>
    <w:p>
      <w:pPr>
        <w:spacing w:after="0" w:line="252" w:lineRule="exact"/>
        <w:rPr>
          <w:sz w:val="20"/>
          <w:szCs w:val="20"/>
          <w:color w:val="auto"/>
        </w:rPr>
      </w:pPr>
    </w:p>
    <w:p>
      <w:pPr>
        <w:jc w:val="both"/>
        <w:ind w:firstLine="656"/>
        <w:spacing w:after="0" w:line="302" w:lineRule="auto"/>
        <w:tabs>
          <w:tab w:leader="none" w:pos="1296"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Responsibilities during the Transition Period</w:t>
      </w:r>
      <w:r>
        <w:rPr>
          <w:rFonts w:ascii="Arial" w:cs="Arial" w:eastAsia="Arial" w:hAnsi="Arial"/>
          <w:sz w:val="19"/>
          <w:szCs w:val="19"/>
          <w:color w:val="auto"/>
        </w:rPr>
        <w:t>. During the period from the Transition Effective Date through the</w:t>
      </w:r>
      <w:r>
        <w:rPr>
          <w:rFonts w:ascii="Arial" w:cs="Arial" w:eastAsia="Arial" w:hAnsi="Arial"/>
          <w:sz w:val="19"/>
          <w:szCs w:val="19"/>
          <w:b w:val="1"/>
          <w:bCs w:val="1"/>
          <w:color w:val="auto"/>
        </w:rPr>
        <w:t xml:space="preserve"> </w:t>
      </w:r>
      <w:r>
        <w:rPr>
          <w:rFonts w:ascii="Arial" w:cs="Arial" w:eastAsia="Arial" w:hAnsi="Arial"/>
          <w:sz w:val="19"/>
          <w:szCs w:val="19"/>
          <w:color w:val="auto"/>
        </w:rPr>
        <w:t>Transition Termination Date, or such earlier date as may be applicable pursuant to Paragraph 1 above (the “</w:t>
      </w:r>
      <w:r>
        <w:rPr>
          <w:rFonts w:ascii="Arial" w:cs="Arial" w:eastAsia="Arial" w:hAnsi="Arial"/>
          <w:sz w:val="19"/>
          <w:szCs w:val="19"/>
          <w:u w:val="single" w:color="auto"/>
          <w:color w:val="auto"/>
        </w:rPr>
        <w:t>Transition Period</w:t>
      </w:r>
      <w:r>
        <w:rPr>
          <w:rFonts w:ascii="Arial" w:cs="Arial" w:eastAsia="Arial" w:hAnsi="Arial"/>
          <w:sz w:val="19"/>
          <w:szCs w:val="19"/>
          <w:color w:val="auto"/>
        </w:rPr>
        <w:t>”), you will primarily support business matters pertaining to the 2022 fiscal year including, but not limited to, advice and consultation in connection with the Company’s annual report filed with the Securities and Exchange Commission. It is anticipated that during the Transition Period, you will provide services for at least 16 hours per week.</w:t>
      </w:r>
    </w:p>
    <w:p>
      <w:pPr>
        <w:spacing w:after="0" w:line="191" w:lineRule="exact"/>
        <w:rPr>
          <w:rFonts w:ascii="Arial" w:cs="Arial" w:eastAsia="Arial" w:hAnsi="Arial"/>
          <w:sz w:val="19"/>
          <w:szCs w:val="19"/>
          <w:color w:val="auto"/>
        </w:rPr>
      </w:pPr>
    </w:p>
    <w:p>
      <w:pPr>
        <w:ind w:firstLine="656"/>
        <w:spacing w:after="0" w:line="235" w:lineRule="auto"/>
        <w:tabs>
          <w:tab w:leader="none" w:pos="1296" w:val="left"/>
        </w:tabs>
        <w:numPr>
          <w:ilvl w:val="0"/>
          <w:numId w:val="19"/>
        </w:numPr>
        <w:rPr>
          <w:rFonts w:ascii="Arial" w:cs="Arial" w:eastAsia="Arial" w:hAnsi="Arial"/>
          <w:sz w:val="22"/>
          <w:szCs w:val="22"/>
          <w:color w:val="auto"/>
        </w:rPr>
      </w:pPr>
      <w:r>
        <w:rPr>
          <w:rFonts w:ascii="Arial" w:cs="Arial" w:eastAsia="Arial" w:hAnsi="Arial"/>
          <w:sz w:val="22"/>
          <w:szCs w:val="22"/>
          <w:b w:val="1"/>
          <w:bCs w:val="1"/>
          <w:color w:val="auto"/>
        </w:rPr>
        <w:t xml:space="preserve">Compensation during your Remaining Employment. </w:t>
      </w:r>
      <w:r>
        <w:rPr>
          <w:rFonts w:ascii="Arial" w:cs="Arial" w:eastAsia="Arial" w:hAnsi="Arial"/>
          <w:sz w:val="22"/>
          <w:szCs w:val="22"/>
          <w:color w:val="auto"/>
        </w:rPr>
        <w:t>During the Transition Period, your sole compensation</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as follows:</w:t>
      </w:r>
    </w:p>
    <w:p>
      <w:pPr>
        <w:spacing w:after="0" w:line="185" w:lineRule="exact"/>
        <w:rPr>
          <w:rFonts w:ascii="Arial" w:cs="Arial" w:eastAsia="Arial" w:hAnsi="Arial"/>
          <w:sz w:val="22"/>
          <w:szCs w:val="22"/>
          <w:color w:val="auto"/>
        </w:rPr>
      </w:pPr>
    </w:p>
    <w:p>
      <w:pPr>
        <w:ind w:left="1940" w:hanging="636"/>
        <w:spacing w:after="0"/>
        <w:tabs>
          <w:tab w:leader="none" w:pos="19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the Company will pay you base salary equal to $14,000 per month;</w:t>
      </w:r>
    </w:p>
    <w:p>
      <w:pPr>
        <w:spacing w:after="0" w:line="179" w:lineRule="exact"/>
        <w:rPr>
          <w:rFonts w:ascii="Arial" w:cs="Arial" w:eastAsia="Arial" w:hAnsi="Arial"/>
          <w:sz w:val="22"/>
          <w:szCs w:val="22"/>
          <w:color w:val="auto"/>
        </w:rPr>
      </w:pPr>
    </w:p>
    <w:p>
      <w:pPr>
        <w:ind w:right="20" w:firstLine="1304"/>
        <w:spacing w:after="0" w:line="232" w:lineRule="auto"/>
        <w:tabs>
          <w:tab w:leader="none" w:pos="1939" w:val="left"/>
        </w:tabs>
        <w:numPr>
          <w:ilvl w:val="1"/>
          <w:numId w:val="19"/>
        </w:numPr>
        <w:rPr>
          <w:rFonts w:ascii="Arial" w:cs="Arial" w:eastAsia="Arial" w:hAnsi="Arial"/>
          <w:sz w:val="22"/>
          <w:szCs w:val="22"/>
          <w:color w:val="auto"/>
        </w:rPr>
      </w:pPr>
      <w:r>
        <w:rPr>
          <w:rFonts w:ascii="Arial" w:cs="Arial" w:eastAsia="Arial" w:hAnsi="Arial"/>
          <w:sz w:val="22"/>
          <w:szCs w:val="22"/>
          <w:color w:val="auto"/>
        </w:rPr>
        <w:t>you will continue to be entitled to the reimbursements and retirement and welfare benefits set forth in Section 4(d)(i) and Section 4(e) of the Employment Agreement; and</w:t>
      </w:r>
    </w:p>
    <w:p>
      <w:pPr>
        <w:spacing w:after="0" w:line="158" w:lineRule="exact"/>
        <w:rPr>
          <w:rFonts w:ascii="Arial" w:cs="Arial" w:eastAsia="Arial" w:hAnsi="Arial"/>
          <w:sz w:val="22"/>
          <w:szCs w:val="22"/>
          <w:color w:val="auto"/>
        </w:rPr>
      </w:pPr>
    </w:p>
    <w:p>
      <w:pPr>
        <w:jc w:val="both"/>
        <w:ind w:firstLine="1304"/>
        <w:spacing w:after="0" w:line="223" w:lineRule="auto"/>
        <w:tabs>
          <w:tab w:leader="none" w:pos="1941" w:val="left"/>
        </w:tabs>
        <w:numPr>
          <w:ilvl w:val="1"/>
          <w:numId w:val="19"/>
        </w:numPr>
        <w:rPr>
          <w:rFonts w:ascii="Arial" w:cs="Arial" w:eastAsia="Arial" w:hAnsi="Arial"/>
          <w:sz w:val="22"/>
          <w:szCs w:val="22"/>
          <w:color w:val="auto"/>
        </w:rPr>
      </w:pPr>
      <w:r>
        <w:rPr>
          <w:rFonts w:ascii="Arial" w:cs="Arial" w:eastAsia="Arial" w:hAnsi="Arial"/>
          <w:sz w:val="22"/>
          <w:szCs w:val="22"/>
          <w:color w:val="auto"/>
        </w:rPr>
        <w:t>your bonus entitlement in respect of 2022 will be determined and paid pursuant to Section 4(b) of the Employment Agreement, provided that you will not be entitled to any other bonus compensation from the Company, including in respect of the portion of the year that you work in 2023.</w:t>
      </w:r>
    </w:p>
    <w:p>
      <w:pPr>
        <w:spacing w:after="0" w:line="159"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For the avoidance of doubt, during the Transition Period, you will not be entitled to an automobile allowance, the expenses reimbursements described in Section 4(d)(ii) of the Employment Agreement, or any long-term incentive compensation awards.</w:t>
      </w:r>
    </w:p>
    <w:p>
      <w:pPr>
        <w:spacing w:after="0" w:line="126" w:lineRule="exact"/>
        <w:rPr>
          <w:sz w:val="20"/>
          <w:szCs w:val="20"/>
          <w:color w:val="auto"/>
        </w:rPr>
      </w:pPr>
    </w:p>
    <w:p>
      <w:pPr>
        <w:ind w:right="20" w:firstLine="656"/>
        <w:spacing w:after="0" w:line="269" w:lineRule="auto"/>
        <w:tabs>
          <w:tab w:leader="none" w:pos="1404"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Compensation upon the Transition Termination Date</w:t>
      </w:r>
      <w:r>
        <w:rPr>
          <w:rFonts w:ascii="Arial" w:cs="Arial" w:eastAsia="Arial" w:hAnsi="Arial"/>
          <w:sz w:val="22"/>
          <w:szCs w:val="22"/>
          <w:color w:val="auto"/>
        </w:rPr>
        <w:t>. Your only entitlements upon and following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Transition Termination Date are as follows:</w:t>
      </w:r>
    </w:p>
    <w:p>
      <w:pPr>
        <w:spacing w:after="0" w:line="140" w:lineRule="exact"/>
        <w:rPr>
          <w:rFonts w:ascii="Arial" w:cs="Arial" w:eastAsia="Arial" w:hAnsi="Arial"/>
          <w:sz w:val="22"/>
          <w:szCs w:val="22"/>
          <w:color w:val="auto"/>
        </w:rPr>
      </w:pPr>
    </w:p>
    <w:p>
      <w:pPr>
        <w:ind w:left="1940" w:hanging="636"/>
        <w:spacing w:after="0"/>
        <w:tabs>
          <w:tab w:leader="none" w:pos="1940" w:val="left"/>
        </w:tabs>
        <w:numPr>
          <w:ilvl w:val="1"/>
          <w:numId w:val="20"/>
        </w:numPr>
        <w:rPr>
          <w:rFonts w:ascii="Arial" w:cs="Arial" w:eastAsia="Arial" w:hAnsi="Arial"/>
          <w:sz w:val="19"/>
          <w:szCs w:val="19"/>
          <w:color w:val="auto"/>
        </w:rPr>
      </w:pPr>
      <w:r>
        <w:rPr>
          <w:rFonts w:ascii="Arial" w:cs="Arial" w:eastAsia="Arial" w:hAnsi="Arial"/>
          <w:sz w:val="19"/>
          <w:szCs w:val="19"/>
          <w:color w:val="auto"/>
        </w:rPr>
        <w:t>You will be entitled to payment of the Accrued Obligations, as defined in the Employment Agreement.</w:t>
      </w:r>
    </w:p>
    <w:p>
      <w:pPr>
        <w:spacing w:after="0" w:line="213" w:lineRule="exact"/>
        <w:rPr>
          <w:rFonts w:ascii="Arial" w:cs="Arial" w:eastAsia="Arial" w:hAnsi="Arial"/>
          <w:sz w:val="19"/>
          <w:szCs w:val="19"/>
          <w:color w:val="auto"/>
        </w:rPr>
      </w:pPr>
    </w:p>
    <w:p>
      <w:pPr>
        <w:ind w:firstLine="1304"/>
        <w:spacing w:after="0" w:line="298" w:lineRule="auto"/>
        <w:tabs>
          <w:tab w:leader="none" w:pos="1939" w:val="left"/>
        </w:tabs>
        <w:numPr>
          <w:ilvl w:val="1"/>
          <w:numId w:val="20"/>
        </w:numPr>
        <w:rPr>
          <w:rFonts w:ascii="Arial" w:cs="Arial" w:eastAsia="Arial" w:hAnsi="Arial"/>
          <w:sz w:val="19"/>
          <w:szCs w:val="19"/>
          <w:color w:val="auto"/>
        </w:rPr>
      </w:pPr>
      <w:r>
        <w:rPr>
          <w:rFonts w:ascii="Arial" w:cs="Arial" w:eastAsia="Arial" w:hAnsi="Arial"/>
          <w:sz w:val="19"/>
          <w:szCs w:val="19"/>
          <w:color w:val="auto"/>
        </w:rPr>
        <w:t>You will be entitled to a cash payment equal to the sum of (i) $691,667 and (ii) the average of the annual bonuses paid to you for 2020, 2021, and 2022, payable in a cash lump sum within 10 days after the Transition Termination Date.</w:t>
      </w:r>
    </w:p>
    <w:p>
      <w:pPr>
        <w:spacing w:after="0" w:line="105" w:lineRule="exact"/>
        <w:rPr>
          <w:sz w:val="20"/>
          <w:szCs w:val="20"/>
          <w:color w:val="auto"/>
        </w:rPr>
      </w:pPr>
    </w:p>
    <w:p>
      <w:pPr>
        <w:ind w:right="240"/>
        <w:spacing w:after="0" w:line="298" w:lineRule="auto"/>
        <w:rPr>
          <w:sz w:val="20"/>
          <w:szCs w:val="20"/>
          <w:color w:val="auto"/>
        </w:rPr>
      </w:pPr>
      <w:r>
        <w:rPr>
          <w:rFonts w:ascii="Arial" w:cs="Arial" w:eastAsia="Arial" w:hAnsi="Arial"/>
          <w:sz w:val="19"/>
          <w:szCs w:val="19"/>
          <w:color w:val="auto"/>
        </w:rPr>
        <w:t>Your entitlement pursuant to subparagraph (b) above shall be conditioned upon your execution of the Release on the Transition Termination Date, and your non-revocation of such execution during the 7-day period following such execution.</w:t>
      </w:r>
    </w:p>
    <w:p>
      <w:pPr>
        <w:spacing w:after="0" w:line="126" w:lineRule="exact"/>
        <w:rPr>
          <w:sz w:val="20"/>
          <w:szCs w:val="20"/>
          <w:color w:val="auto"/>
        </w:rPr>
      </w:pPr>
    </w:p>
    <w:p>
      <w:pPr>
        <w:jc w:val="both"/>
        <w:ind w:firstLine="656"/>
        <w:spacing w:after="0" w:line="256" w:lineRule="auto"/>
        <w:tabs>
          <w:tab w:leader="none" w:pos="1296"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 xml:space="preserve">Termination prior to the Transition Termination Date. </w:t>
      </w:r>
      <w:r>
        <w:rPr>
          <w:rFonts w:ascii="Arial" w:cs="Arial" w:eastAsia="Arial" w:hAnsi="Arial"/>
          <w:sz w:val="22"/>
          <w:szCs w:val="22"/>
          <w:color w:val="auto"/>
        </w:rPr>
        <w:t>Should your employment terminate prior to the</w:t>
      </w:r>
      <w:r>
        <w:rPr>
          <w:rFonts w:ascii="Arial" w:cs="Arial" w:eastAsia="Arial" w:hAnsi="Arial"/>
          <w:sz w:val="22"/>
          <w:szCs w:val="22"/>
          <w:b w:val="1"/>
          <w:bCs w:val="1"/>
          <w:color w:val="auto"/>
        </w:rPr>
        <w:t xml:space="preserve"> </w:t>
      </w:r>
      <w:r>
        <w:rPr>
          <w:rFonts w:ascii="Arial" w:cs="Arial" w:eastAsia="Arial" w:hAnsi="Arial"/>
          <w:sz w:val="22"/>
          <w:szCs w:val="22"/>
          <w:color w:val="auto"/>
        </w:rPr>
        <w:t>Transition Termination Date in accordance with any of subparagraphs (a) through (d) of Paragraph 1, you shall only be entitled to the Accrued Obligations and you shall not be entitled to any other termination payments or benefits, whether under Section 5 of the Employment Agreement or otherwise.</w:t>
      </w:r>
    </w:p>
    <w:p>
      <w:pPr>
        <w:spacing w:after="0" w:line="365" w:lineRule="exact"/>
        <w:rPr>
          <w:rFonts w:ascii="Arial" w:cs="Arial" w:eastAsia="Arial" w:hAnsi="Arial"/>
          <w:sz w:val="22"/>
          <w:szCs w:val="22"/>
          <w:color w:val="auto"/>
        </w:rPr>
      </w:pPr>
    </w:p>
    <w:p>
      <w:pPr>
        <w:ind w:right="20" w:firstLine="656"/>
        <w:spacing w:after="0" w:line="269" w:lineRule="auto"/>
        <w:tabs>
          <w:tab w:leader="none" w:pos="1296"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Obligations upon Termination of Employment with the Company</w:t>
      </w:r>
      <w:r>
        <w:rPr>
          <w:rFonts w:ascii="Arial" w:cs="Arial" w:eastAsia="Arial" w:hAnsi="Arial"/>
          <w:sz w:val="22"/>
          <w:szCs w:val="22"/>
          <w:color w:val="auto"/>
        </w:rPr>
        <w:t>. Upon your termination of employment with</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for any reason, whether on the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14"/>
          <w:szCs w:val="14"/>
          <w:color w:val="auto"/>
        </w:rPr>
        <w:t>DB1/ 133431243.6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50"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Termination Date or earlier, the Restrictive Covenants set forth in Section 6 of the Employment Agreement will continue to apply in the manner set forth therein.</w:t>
      </w:r>
    </w:p>
    <w:p>
      <w:pPr>
        <w:spacing w:after="0" w:line="331"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Miscellaneous.</w:t>
      </w:r>
    </w:p>
    <w:p>
      <w:pPr>
        <w:spacing w:after="0" w:line="239" w:lineRule="exact"/>
        <w:rPr>
          <w:rFonts w:ascii="Arial" w:cs="Arial" w:eastAsia="Arial" w:hAnsi="Arial"/>
          <w:sz w:val="22"/>
          <w:szCs w:val="22"/>
          <w:color w:val="auto"/>
        </w:rPr>
      </w:pPr>
    </w:p>
    <w:p>
      <w:pPr>
        <w:jc w:val="both"/>
        <w:ind w:firstLine="1304"/>
        <w:spacing w:after="0" w:line="218" w:lineRule="auto"/>
        <w:tabs>
          <w:tab w:leader="none" w:pos="1941" w:val="left"/>
        </w:tabs>
        <w:numPr>
          <w:ilvl w:val="1"/>
          <w:numId w:val="22"/>
        </w:numPr>
        <w:rPr>
          <w:rFonts w:ascii="Arial" w:cs="Arial" w:eastAsia="Arial" w:hAnsi="Arial"/>
          <w:sz w:val="22"/>
          <w:szCs w:val="22"/>
          <w:color w:val="auto"/>
        </w:rPr>
      </w:pPr>
      <w:r>
        <w:rPr>
          <w:rFonts w:ascii="Arial" w:cs="Arial" w:eastAsia="Arial" w:hAnsi="Arial"/>
          <w:sz w:val="22"/>
          <w:szCs w:val="22"/>
          <w:color w:val="auto"/>
        </w:rPr>
        <w:t>Except as modified herein, the Employment Agreement will remain in full force and effect in accordance with its terms. For the avoidance of doubt, nothing in this Transition Agreement alters or amends Section 7 of the Employment Agreement, which relates to indemnification. You acknowledge that the Term will be extended to, but not beyond, March 31, 2023.</w:t>
      </w:r>
    </w:p>
    <w:p>
      <w:pPr>
        <w:spacing w:after="0" w:line="187" w:lineRule="exact"/>
        <w:rPr>
          <w:rFonts w:ascii="Arial" w:cs="Arial" w:eastAsia="Arial" w:hAnsi="Arial"/>
          <w:sz w:val="22"/>
          <w:szCs w:val="22"/>
          <w:color w:val="auto"/>
        </w:rPr>
      </w:pPr>
    </w:p>
    <w:p>
      <w:pPr>
        <w:ind w:right="20" w:firstLine="1304"/>
        <w:spacing w:after="0" w:line="232" w:lineRule="auto"/>
        <w:tabs>
          <w:tab w:leader="none" w:pos="1939" w:val="left"/>
        </w:tabs>
        <w:numPr>
          <w:ilvl w:val="1"/>
          <w:numId w:val="22"/>
        </w:numPr>
        <w:rPr>
          <w:rFonts w:ascii="Arial" w:cs="Arial" w:eastAsia="Arial" w:hAnsi="Arial"/>
          <w:sz w:val="22"/>
          <w:szCs w:val="22"/>
          <w:color w:val="auto"/>
        </w:rPr>
      </w:pPr>
      <w:r>
        <w:rPr>
          <w:rFonts w:ascii="Arial" w:cs="Arial" w:eastAsia="Arial" w:hAnsi="Arial"/>
          <w:sz w:val="22"/>
          <w:szCs w:val="22"/>
          <w:color w:val="auto"/>
        </w:rPr>
        <w:t>Each of the provisions of Section 6 of the Employment Agreement are incorporated by reference and treated as if they were contained herein.</w:t>
      </w: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this Transition Agreement is acceptable to you, please sign, date and return it to me.</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Sincerely,</w:t>
      </w:r>
    </w:p>
    <w:p>
      <w:pPr>
        <w:spacing w:after="0" w:line="20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Lifetime Brands, Inc.</w:t>
      </w:r>
    </w:p>
    <w:p>
      <w:pPr>
        <w:spacing w:after="0" w:line="260"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By: /s/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15875</wp:posOffset>
            </wp:positionV>
            <wp:extent cx="18173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38"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Name: Robert B. Kay</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Accepted and agreed: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tabs>
          <w:tab w:leader="none" w:pos="11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19"/>
          <w:szCs w:val="19"/>
          <w:u w:val="single" w:color="auto"/>
          <w:color w:val="auto"/>
        </w:rPr>
        <w:t>/s/ Jeffrey Siegel</w:t>
      </w:r>
    </w:p>
    <w:p>
      <w:pPr>
        <w:ind w:left="880"/>
        <w:spacing w:after="0"/>
        <w:rPr>
          <w:sz w:val="20"/>
          <w:szCs w:val="20"/>
          <w:color w:val="auto"/>
        </w:rPr>
      </w:pPr>
      <w:r>
        <w:rPr>
          <w:rFonts w:ascii="Arial" w:cs="Arial" w:eastAsia="Arial" w:hAnsi="Arial"/>
          <w:sz w:val="22"/>
          <w:szCs w:val="22"/>
          <w:color w:val="auto"/>
        </w:rPr>
        <w:t>Jeffrey Siegel</w:t>
      </w:r>
    </w:p>
    <w:p>
      <w:pPr>
        <w:spacing w:after="0" w:line="188" w:lineRule="exact"/>
        <w:rPr>
          <w:sz w:val="20"/>
          <w:szCs w:val="20"/>
          <w:color w:val="auto"/>
        </w:rPr>
      </w:pPr>
    </w:p>
    <w:p>
      <w:pPr>
        <w:spacing w:after="0"/>
        <w:tabs>
          <w:tab w:leader="none" w:pos="72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u w:val="single" w:color="auto"/>
          <w:color w:val="auto"/>
        </w:rPr>
        <w:t>November 1,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DB1/ 133431243.6</w:t>
      </w:r>
    </w:p>
    <w:p>
      <w:pPr>
        <w:sectPr>
          <w:pgSz w:w="11900" w:h="16838" w:orient="portrait"/>
          <w:cols w:equalWidth="0" w:num="1">
            <w:col w:w="11240"/>
          </w:cols>
          <w:pgMar w:left="320" w:top="1440"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1.I have reviewed this quarterly report on Form 10-Q of Lifetime Brands, Inc. (“the registrant”);</w:t>
      </w:r>
    </w:p>
    <w:p>
      <w:pPr>
        <w:spacing w:after="0" w:line="117" w:lineRule="exact"/>
        <w:rPr>
          <w:sz w:val="20"/>
          <w:szCs w:val="20"/>
          <w:color w:val="auto"/>
        </w:rPr>
      </w:pPr>
    </w:p>
    <w:p>
      <w:pPr>
        <w:jc w:val="both"/>
        <w:ind w:left="420" w:right="180" w:hanging="7"/>
        <w:spacing w:after="0" w:line="263" w:lineRule="auto"/>
        <w:tabs>
          <w:tab w:leader="none" w:pos="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420" w:right="340" w:hanging="7"/>
        <w:spacing w:after="0" w:line="342" w:lineRule="auto"/>
        <w:tabs>
          <w:tab w:leader="none" w:pos="6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jc w:val="both"/>
        <w:ind w:left="420" w:right="260" w:hanging="7"/>
        <w:spacing w:after="0" w:line="263" w:lineRule="auto"/>
        <w:tabs>
          <w:tab w:leader="none" w:pos="6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700" w:right="140" w:hanging="315"/>
        <w:spacing w:after="0" w:line="286" w:lineRule="auto"/>
        <w:tabs>
          <w:tab w:leader="none" w:pos="1690" w:val="left"/>
        </w:tabs>
        <w:numPr>
          <w:ilvl w:val="3"/>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700" w:right="40" w:hanging="315"/>
        <w:spacing w:after="0" w:line="263" w:lineRule="auto"/>
        <w:tabs>
          <w:tab w:leader="none" w:pos="1700" w:val="left"/>
        </w:tabs>
        <w:numPr>
          <w:ilvl w:val="3"/>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700" w:right="140" w:hanging="315"/>
        <w:spacing w:after="0" w:line="263" w:lineRule="auto"/>
        <w:tabs>
          <w:tab w:leader="none" w:pos="1690" w:val="left"/>
        </w:tabs>
        <w:numPr>
          <w:ilvl w:val="3"/>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700" w:right="40" w:hanging="315"/>
        <w:spacing w:after="0" w:line="263" w:lineRule="auto"/>
        <w:tabs>
          <w:tab w:leader="none" w:pos="1700" w:val="left"/>
        </w:tabs>
        <w:numPr>
          <w:ilvl w:val="3"/>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520" w:hanging="320"/>
        <w:spacing w:after="0" w:line="342" w:lineRule="auto"/>
        <w:tabs>
          <w:tab w:leader="none" w:pos="1290" w:val="left"/>
        </w:tabs>
        <w:numPr>
          <w:ilvl w:val="2"/>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300" w:right="200" w:hanging="320"/>
        <w:spacing w:after="0" w:line="277" w:lineRule="auto"/>
        <w:tabs>
          <w:tab w:leader="none" w:pos="13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14605</wp:posOffset>
            </wp:positionV>
            <wp:extent cx="26231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Robert B. Kay</w:t>
      </w:r>
    </w:p>
    <w:p>
      <w:pPr>
        <w:ind w:left="680"/>
        <w:spacing w:after="0"/>
        <w:rPr>
          <w:sz w:val="20"/>
          <w:szCs w:val="20"/>
          <w:color w:val="auto"/>
        </w:rPr>
      </w:pPr>
      <w:r>
        <w:rPr>
          <w:rFonts w:ascii="Arial" w:cs="Arial" w:eastAsia="Arial" w:hAnsi="Arial"/>
          <w:sz w:val="18"/>
          <w:szCs w:val="18"/>
          <w:color w:val="auto"/>
        </w:rPr>
        <w:t>Chief Executive Officer and Director</w:t>
      </w:r>
    </w:p>
    <w:p>
      <w:pPr>
        <w:spacing w:after="0" w:line="20"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 November 3, 2022</w:t>
      </w:r>
    </w:p>
    <w:p>
      <w:pPr>
        <w:sectPr>
          <w:pgSz w:w="11900" w:h="16838" w:orient="portrait"/>
          <w:cols w:equalWidth="0" w:num="1">
            <w:col w:w="11240"/>
          </w:cols>
          <w:pgMar w:left="320" w:top="891"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03" w:lineRule="exact"/>
        <w:rPr>
          <w:sz w:val="20"/>
          <w:szCs w:val="20"/>
          <w:color w:val="auto"/>
        </w:rPr>
      </w:pPr>
    </w:p>
    <w:p>
      <w:pPr>
        <w:ind w:left="980" w:hanging="648"/>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17"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5" w:lineRule="exact"/>
        <w:rPr>
          <w:rFonts w:ascii="Arial" w:cs="Arial" w:eastAsia="Arial" w:hAnsi="Arial"/>
          <w:sz w:val="18"/>
          <w:szCs w:val="18"/>
          <w:color w:val="auto"/>
        </w:rPr>
      </w:pPr>
    </w:p>
    <w:p>
      <w:pPr>
        <w:ind w:left="980" w:right="440" w:hanging="648"/>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75" w:lineRule="exact"/>
        <w:rPr>
          <w:rFonts w:ascii="Arial" w:cs="Arial" w:eastAsia="Arial" w:hAnsi="Arial"/>
          <w:sz w:val="18"/>
          <w:szCs w:val="18"/>
          <w:color w:val="auto"/>
        </w:rPr>
      </w:pPr>
    </w:p>
    <w:p>
      <w:pPr>
        <w:ind w:left="980" w:right="100" w:hanging="648"/>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960" w:right="80" w:hanging="656"/>
        <w:spacing w:after="0" w:line="311" w:lineRule="auto"/>
        <w:tabs>
          <w:tab w:leader="none" w:pos="1950" w:val="left"/>
        </w:tabs>
        <w:numPr>
          <w:ilvl w:val="1"/>
          <w:numId w:val="2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40" w:lineRule="exact"/>
        <w:rPr>
          <w:rFonts w:ascii="Arial" w:cs="Arial" w:eastAsia="Arial" w:hAnsi="Arial"/>
          <w:sz w:val="16"/>
          <w:szCs w:val="16"/>
          <w:color w:val="auto"/>
        </w:rPr>
      </w:pPr>
    </w:p>
    <w:p>
      <w:pPr>
        <w:ind w:left="1960" w:right="260" w:hanging="656"/>
        <w:spacing w:after="0" w:line="286" w:lineRule="auto"/>
        <w:tabs>
          <w:tab w:leader="none" w:pos="19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hanging="656"/>
        <w:spacing w:after="0" w:line="263" w:lineRule="auto"/>
        <w:tabs>
          <w:tab w:leader="none" w:pos="19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960" w:right="460" w:hanging="656"/>
        <w:spacing w:after="0" w:line="263"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980" w:right="60" w:hanging="648"/>
        <w:spacing w:after="0" w:line="342" w:lineRule="auto"/>
        <w:tabs>
          <w:tab w:leader="none" w:pos="9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140" w:hanging="656"/>
        <w:spacing w:after="0" w:line="263" w:lineRule="auto"/>
        <w:tabs>
          <w:tab w:leader="none" w:pos="195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960" w:right="140" w:hanging="656"/>
        <w:spacing w:after="0" w:line="277" w:lineRule="auto"/>
        <w:tabs>
          <w:tab w:leader="none" w:pos="19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19545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Laurence Winoker</w:t>
      </w:r>
    </w:p>
    <w:p>
      <w:pPr>
        <w:ind w:left="1000"/>
        <w:spacing w:after="0" w:line="219" w:lineRule="auto"/>
        <w:rPr>
          <w:sz w:val="20"/>
          <w:szCs w:val="20"/>
          <w:color w:val="auto"/>
        </w:rPr>
      </w:pPr>
      <w:r>
        <w:rPr>
          <w:rFonts w:ascii="Arial" w:cs="Arial" w:eastAsia="Arial" w:hAnsi="Arial"/>
          <w:sz w:val="18"/>
          <w:szCs w:val="18"/>
          <w:color w:val="auto"/>
        </w:rPr>
        <w:t>Executive Vice President,</w:t>
      </w:r>
    </w:p>
    <w:p>
      <w:pPr>
        <w:ind w:left="1000"/>
        <w:spacing w:after="0"/>
        <w:rPr>
          <w:sz w:val="20"/>
          <w:szCs w:val="20"/>
          <w:color w:val="auto"/>
        </w:rPr>
      </w:pPr>
      <w:r>
        <w:rPr>
          <w:rFonts w:ascii="Arial" w:cs="Arial" w:eastAsia="Arial" w:hAnsi="Arial"/>
          <w:sz w:val="18"/>
          <w:szCs w:val="18"/>
          <w:color w:val="auto"/>
        </w:rPr>
        <w:t>Treasurer and Chief Financial Officer</w:t>
      </w:r>
    </w:p>
    <w:p>
      <w:pPr>
        <w:spacing w:after="0" w:line="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Date: November 3, 2022</w:t>
      </w:r>
    </w:p>
    <w:p>
      <w:pPr>
        <w:sectPr>
          <w:pgSz w:w="11900" w:h="16838" w:orient="portrait"/>
          <w:cols w:equalWidth="0" w:num="1">
            <w:col w:w="11240"/>
          </w:cols>
          <w:pgMar w:left="320" w:top="891"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5"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14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 Robert B. Kay, Chief Executive Officer and Director, and I, Laurence Winoker, Senior Vice President – Finance, Treasurer and Chief Financial Officer, of Lifetime Brands, Inc., a Delaware corporation (the “Company”), each hereby certify that:</w:t>
      </w:r>
    </w:p>
    <w:p>
      <w:pPr>
        <w:spacing w:after="0" w:line="170" w:lineRule="exact"/>
        <w:rPr>
          <w:sz w:val="20"/>
          <w:szCs w:val="20"/>
          <w:color w:val="auto"/>
        </w:rPr>
      </w:pPr>
    </w:p>
    <w:p>
      <w:pPr>
        <w:ind w:left="660" w:right="180" w:hanging="328"/>
        <w:spacing w:after="0" w:line="277"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September 30, 2022 (the “Form 10-Q”)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660" w:right="620" w:hanging="328"/>
        <w:spacing w:after="0" w:line="277"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20" w:type="dxa"/>
            <w:vAlign w:val="bottom"/>
          </w:tcPr>
          <w:p>
            <w:pPr>
              <w:spacing w:after="0"/>
              <w:rPr>
                <w:sz w:val="20"/>
                <w:szCs w:val="20"/>
                <w:color w:val="auto"/>
              </w:rPr>
            </w:pP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r>
      <w:tr>
        <w:trPr>
          <w:trHeight w:val="159"/>
        </w:trPr>
        <w:tc>
          <w:tcPr>
            <w:tcW w:w="4860" w:type="dxa"/>
            <w:vAlign w:val="bottom"/>
            <w:gridSpan w:val="2"/>
          </w:tcPr>
          <w:p>
            <w:pPr>
              <w:ind w:left="20"/>
              <w:spacing w:after="0" w:line="159" w:lineRule="exact"/>
              <w:rPr>
                <w:sz w:val="20"/>
                <w:szCs w:val="20"/>
                <w:color w:val="auto"/>
              </w:rPr>
            </w:pPr>
            <w:r>
              <w:rPr>
                <w:rFonts w:ascii="Arial" w:cs="Arial" w:eastAsia="Arial" w:hAnsi="Arial"/>
                <w:sz w:val="16"/>
                <w:szCs w:val="16"/>
                <w:color w:val="auto"/>
              </w:rPr>
              <w:t>Robert B. Kay</w:t>
            </w:r>
          </w:p>
        </w:tc>
        <w:tc>
          <w:tcPr>
            <w:tcW w:w="5800" w:type="dxa"/>
            <w:vAlign w:val="bottom"/>
          </w:tcPr>
          <w:p>
            <w:pPr>
              <w:ind w:left="20"/>
              <w:spacing w:after="0" w:line="159" w:lineRule="exact"/>
              <w:rPr>
                <w:sz w:val="20"/>
                <w:szCs w:val="20"/>
                <w:color w:val="auto"/>
              </w:rPr>
            </w:pPr>
            <w:r>
              <w:rPr>
                <w:rFonts w:ascii="Arial" w:cs="Arial" w:eastAsia="Arial" w:hAnsi="Arial"/>
                <w:sz w:val="16"/>
                <w:szCs w:val="16"/>
                <w:color w:val="auto"/>
              </w:rPr>
              <w:t>Laurence Winoker</w:t>
            </w:r>
          </w:p>
        </w:tc>
      </w:tr>
      <w:tr>
        <w:trPr>
          <w:trHeight w:val="206"/>
        </w:trPr>
        <w:tc>
          <w:tcPr>
            <w:tcW w:w="486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5800" w:type="dxa"/>
            <w:vAlign w:val="bottom"/>
          </w:tcPr>
          <w:p>
            <w:pPr>
              <w:ind w:left="20"/>
              <w:spacing w:after="0"/>
              <w:rPr>
                <w:sz w:val="20"/>
                <w:szCs w:val="20"/>
                <w:color w:val="auto"/>
              </w:rPr>
            </w:pPr>
            <w:r>
              <w:rPr>
                <w:rFonts w:ascii="Arial" w:cs="Arial" w:eastAsia="Arial" w:hAnsi="Arial"/>
                <w:sz w:val="16"/>
                <w:szCs w:val="16"/>
                <w:color w:val="auto"/>
              </w:rPr>
              <w:t>Executive Vice President, Treasurer and Chief Financial Officer</w:t>
            </w:r>
          </w:p>
        </w:tc>
      </w:tr>
      <w:tr>
        <w:trPr>
          <w:trHeight w:val="506"/>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Date: November 3, 2022</w:t>
            </w:r>
          </w:p>
        </w:tc>
        <w:tc>
          <w:tcPr>
            <w:tcW w:w="5800" w:type="dxa"/>
            <w:vAlign w:val="bottom"/>
          </w:tcPr>
          <w:p>
            <w:pPr>
              <w:ind w:left="20"/>
              <w:spacing w:after="0"/>
              <w:rPr>
                <w:sz w:val="20"/>
                <w:szCs w:val="20"/>
                <w:color w:val="auto"/>
              </w:rPr>
            </w:pPr>
            <w:r>
              <w:rPr>
                <w:rFonts w:ascii="Arial" w:cs="Arial" w:eastAsia="Arial" w:hAnsi="Arial"/>
                <w:sz w:val="18"/>
                <w:szCs w:val="18"/>
                <w:color w:val="auto"/>
              </w:rPr>
              <w:t>Date: November 3, 2022</w:t>
            </w:r>
          </w:p>
        </w:tc>
      </w:tr>
    </w:tbl>
    <w:p>
      <w:pPr>
        <w:spacing w:after="0" w:line="29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signed original of this certification required by 18 U.S.C. Section 1350 has been provided to Lifetime Brands, Inc. and will be retained by Lifetime Brands, Inc. and furnished to the SEC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decimal"/>
      <w:start w:val="1"/>
    </w:lvl>
    <w:lvl w:ilvl="1">
      <w:lvlJc w:val="left"/>
      <w:lvlText w:val="-"/>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lvl w:ilvl="1">
      <w:lvlJc w:val="left"/>
      <w:lvlText w:val="-"/>
      <w:numFmt w:val="bullet"/>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lowerRoman"/>
      <w:start w:val="10"/>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1)"/>
      <w:numFmt w:val="decimal"/>
      <w:start w:val="1"/>
    </w:lvl>
    <w:lvl w:ilvl="1">
      <w:lvlJc w:val="left"/>
      <w:lvlText w:val="-"/>
      <w:numFmt w:val="bullet"/>
      <w:start w:val="1"/>
    </w:lvl>
  </w:abstractNum>
  <w:abstractNum w:abstractNumId="10">
    <w:nsid w:val="3F2DBA31"/>
    <w:multiLevelType w:val="hybridMultilevel"/>
    <w:lvl w:ilvl="0">
      <w:lvlJc w:val="left"/>
      <w:lvlText w:val="(%1)"/>
      <w:numFmt w:val="decimal"/>
      <w:start w:val="1"/>
    </w:lvl>
    <w:lvl w:ilvl="1">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1)"/>
      <w:numFmt w:val="lowerRoman"/>
      <w:start w:val="10"/>
    </w:lvl>
  </w:abstractNum>
  <w:abstractNum w:abstractNumId="13">
    <w:nsid w:val="62BBD95A"/>
    <w:multiLevelType w:val="hybridMultilevel"/>
    <w:lvl w:ilvl="0">
      <w:lvlJc w:val="left"/>
      <w:lvlText w:val="(%1)"/>
      <w:numFmt w:val="decimal"/>
      <w:start w:val="1"/>
    </w:lvl>
    <w:lvl w:ilvl="1">
      <w:lvlJc w:val="left"/>
      <w:lvlText w:val="-"/>
      <w:numFmt w:val="bullet"/>
      <w:start w:val="1"/>
    </w:lvl>
  </w:abstractNum>
  <w:abstractNum w:abstractNumId="14">
    <w:nsid w:val="436C6125"/>
    <w:multiLevelType w:val="hybridMultilevel"/>
    <w:lvl w:ilvl="0">
      <w:lvlJc w:val="left"/>
      <w:lvlText w:val="(%1)"/>
      <w:numFmt w:val="decimal"/>
      <w:start w:val="5"/>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lvl w:ilvl="1">
      <w:lvlJc w:val="left"/>
      <w:lvlText w:val="(%2)"/>
      <w:numFmt w:val="lowerLetter"/>
      <w:start w:val="1"/>
    </w:lvl>
  </w:abstractNum>
  <w:abstractNum w:abstractNumId="18">
    <w:nsid w:val="2443A858"/>
    <w:multiLevelType w:val="hybridMultilevel"/>
    <w:lvl w:ilvl="0">
      <w:lvlJc w:val="left"/>
      <w:lvlText w:val="%1."/>
      <w:numFmt w:val="decimal"/>
      <w:start w:val="2"/>
    </w:lvl>
    <w:lvl w:ilvl="1">
      <w:lvlJc w:val="left"/>
      <w:lvlText w:val="(%2)"/>
      <w:numFmt w:val="lowerLetter"/>
      <w:start w:val="1"/>
    </w:lvl>
  </w:abstractNum>
  <w:abstractNum w:abstractNumId="19">
    <w:nsid w:val="2D1D5AE9"/>
    <w:multiLevelType w:val="hybridMultilevel"/>
    <w:lvl w:ilvl="0">
      <w:lvlJc w:val="left"/>
      <w:lvlText w:val="%1."/>
      <w:numFmt w:val="decimal"/>
      <w:start w:val="4"/>
    </w:lvl>
    <w:lvl w:ilvl="1">
      <w:lvlJc w:val="left"/>
      <w:lvlText w:val="(%2)"/>
      <w:numFmt w:val="lowerLetter"/>
      <w:start w:val="1"/>
    </w:lvl>
  </w:abstractNum>
  <w:abstractNum w:abstractNumId="20">
    <w:nsid w:val="6763845E"/>
    <w:multiLevelType w:val="hybridMultilevel"/>
    <w:lvl w:ilvl="0">
      <w:lvlJc w:val="left"/>
      <w:lvlText w:val="%1."/>
      <w:numFmt w:val="decimal"/>
      <w:start w:val="5"/>
    </w:lvl>
  </w:abstractNum>
  <w:abstractNum w:abstractNumId="21">
    <w:nsid w:val="75A2A8D4"/>
    <w:multiLevelType w:val="hybridMultilevel"/>
    <w:lvl w:ilvl="0">
      <w:lvlJc w:val="left"/>
      <w:lvlText w:val="%1."/>
      <w:numFmt w:val="decimal"/>
      <w:start w:val="7"/>
    </w:lvl>
    <w:lvl w:ilvl="1">
      <w:lvlJc w:val="left"/>
      <w:lvlText w:val="(%2)"/>
      <w:numFmt w:val="lowerLetter"/>
      <w:start w:val="1"/>
    </w:lvl>
  </w:abstractNum>
  <w:abstractNum w:abstractNumId="22">
    <w:nsid w:val="8EDBDA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lvl w:ilvl="3">
      <w:lvlJc w:val="left"/>
      <w:lvlText w:val="%4."/>
      <w:numFmt w:val="lowerLetter"/>
      <w:start w:val="1"/>
    </w:lvl>
  </w:abstractNum>
  <w:abstractNum w:abstractNumId="23">
    <w:nsid w:val="79838CB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2" Type="http://schemas.openxmlformats.org/officeDocument/2006/relationships/hyperlink" Target="https://www.sec.gov/Archives/edgar/data/874396/000162828022021087/ex101thirdamendmenttoamend.htm" TargetMode="External"/><Relationship Id="rId63" Type="http://schemas.openxmlformats.org/officeDocument/2006/relationships/hyperlink" Target="https://www.sec.gov/Archives/edgar/data/874396/000162828022023821/ex-1001.htm" TargetMode="External"/><Relationship Id="rId64" Type="http://schemas.openxmlformats.org/officeDocument/2006/relationships/hyperlink" Target="https://www.sec.gov/Archives/edgar/data/874396/000119312519186032/d3793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2022-11-03T16:18:00Z</dcterms:created>
  <dcterms:modified xsi:type="dcterms:W3CDTF">2022-11-03T16:18:00Z</dcterms:modified>
</cp:coreProperties>
</file>