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96" w:lineRule="exact"/>
        <w:rPr>
          <w:sz w:val="24"/>
          <w:szCs w:val="24"/>
          <w:color w:val="auto"/>
        </w:rPr>
      </w:pPr>
    </w:p>
    <w:p>
      <w:pPr>
        <w:ind w:left="4380"/>
        <w:spacing w:after="0"/>
        <w:rPr>
          <w:sz w:val="20"/>
          <w:szCs w:val="20"/>
          <w:color w:val="auto"/>
        </w:rPr>
      </w:pPr>
      <w:r>
        <w:rPr>
          <w:rFonts w:ascii="Arial" w:cs="Arial" w:eastAsia="Arial" w:hAnsi="Arial"/>
          <w:sz w:val="11"/>
          <w:szCs w:val="11"/>
          <w:b w:val="1"/>
          <w:bCs w:val="1"/>
          <w:color w:val="auto"/>
        </w:rPr>
        <w:t>______________________________________________</w:t>
      </w:r>
    </w:p>
    <w:p>
      <w:pPr>
        <w:spacing w:after="0" w:line="8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ind w:left="4380"/>
        <w:spacing w:after="0"/>
        <w:rPr>
          <w:sz w:val="20"/>
          <w:szCs w:val="20"/>
          <w:color w:val="auto"/>
        </w:rPr>
      </w:pPr>
      <w:r>
        <w:rPr>
          <w:rFonts w:ascii="Arial" w:cs="Arial" w:eastAsia="Arial" w:hAnsi="Arial"/>
          <w:sz w:val="11"/>
          <w:szCs w:val="11"/>
          <w:b w:val="1"/>
          <w:bCs w:val="1"/>
          <w:color w:val="auto"/>
        </w:rPr>
        <w:t>______________________________________________</w:t>
      </w:r>
    </w:p>
    <w:p>
      <w:pPr>
        <w:spacing w:after="0" w:line="22"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 (d) OF THE SECURITIES EXCHANGE ACT OF 1934</w:t>
      </w:r>
    </w:p>
    <w:p>
      <w:pPr>
        <w:spacing w:after="0" w:line="24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39"/>
          <w:szCs w:val="39"/>
          <w:color w:val="auto"/>
          <w:vertAlign w:val="subscript"/>
        </w:rPr>
      </w:pPr>
      <w:r>
        <w:rPr>
          <w:rFonts w:ascii="Arial" w:cs="Arial" w:eastAsia="Arial" w:hAnsi="Arial"/>
          <w:sz w:val="20"/>
          <w:szCs w:val="20"/>
          <w:b w:val="1"/>
          <w:bCs w:val="1"/>
          <w:color w:val="auto"/>
        </w:rPr>
        <w:t>TRANSITION</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 (d) OF THE SECURITIES EXCHANGE ACT OF</w:t>
      </w:r>
    </w:p>
    <w:p>
      <w:pPr>
        <w:spacing w:after="0" w:line="24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80" w:type="dxa"/>
            <w:vAlign w:val="bottom"/>
            <w:gridSpan w:val="3"/>
          </w:tcPr>
          <w:p>
            <w:pPr>
              <w:ind w:left="300"/>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gridSpan w:val="2"/>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453"/>
        </w:trPr>
        <w:tc>
          <w:tcPr>
            <w:tcW w:w="1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60" w:type="dxa"/>
            <w:vAlign w:val="bottom"/>
            <w:gridSpan w:val="8"/>
          </w:tcPr>
          <w:p>
            <w:pPr>
              <w:jc w:val="center"/>
              <w:ind w:right="928"/>
              <w:spacing w:after="0"/>
              <w:rPr>
                <w:sz w:val="20"/>
                <w:szCs w:val="20"/>
                <w:color w:val="auto"/>
              </w:rPr>
            </w:pPr>
            <w:r>
              <w:rPr>
                <w:rFonts w:ascii="Arial" w:cs="Arial" w:eastAsia="Arial" w:hAnsi="Arial"/>
                <w:sz w:val="18"/>
                <w:szCs w:val="18"/>
                <w:b w:val="1"/>
                <w:bCs w:val="1"/>
                <w:color w:val="auto"/>
                <w:w w:val="90"/>
              </w:rPr>
              <w:t>Commission file number: 0-19254</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43"/>
        </w:trPr>
        <w:tc>
          <w:tcPr>
            <w:tcW w:w="1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60" w:type="dxa"/>
            <w:vAlign w:val="bottom"/>
            <w:gridSpan w:val="5"/>
          </w:tcPr>
          <w:p>
            <w:pPr>
              <w:jc w:val="center"/>
              <w:ind w:left="1121"/>
              <w:spacing w:after="0"/>
              <w:rPr>
                <w:sz w:val="20"/>
                <w:szCs w:val="20"/>
                <w:color w:val="auto"/>
              </w:rPr>
            </w:pPr>
            <w:r>
              <w:rPr>
                <w:rFonts w:ascii="Arial" w:cs="Arial" w:eastAsia="Arial" w:hAnsi="Arial"/>
                <w:sz w:val="11"/>
                <w:szCs w:val="11"/>
                <w:b w:val="1"/>
                <w:bCs w:val="1"/>
                <w:color w:val="auto"/>
                <w:w w:val="88"/>
              </w:rPr>
              <w:t>______________________________________________</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706"/>
        </w:trPr>
        <w:tc>
          <w:tcPr>
            <w:tcW w:w="1180" w:type="dxa"/>
            <w:vAlign w:val="bottom"/>
          </w:tcPr>
          <w:p>
            <w:pPr>
              <w:spacing w:after="0"/>
              <w:rPr>
                <w:sz w:val="24"/>
                <w:szCs w:val="24"/>
                <w:color w:val="auto"/>
              </w:rPr>
            </w:pPr>
          </w:p>
        </w:tc>
        <w:tc>
          <w:tcPr>
            <w:tcW w:w="7920" w:type="dxa"/>
            <w:vAlign w:val="bottom"/>
            <w:gridSpan w:val="10"/>
          </w:tcPr>
          <w:p>
            <w:pPr>
              <w:jc w:val="center"/>
              <w:ind w:left="852"/>
              <w:spacing w:after="0"/>
              <w:rPr>
                <w:sz w:val="20"/>
                <w:szCs w:val="20"/>
                <w:color w:val="auto"/>
              </w:rPr>
            </w:pPr>
            <w:r>
              <w:rPr>
                <w:rFonts w:ascii="Arial" w:cs="Arial" w:eastAsia="Arial" w:hAnsi="Arial"/>
                <w:sz w:val="43"/>
                <w:szCs w:val="43"/>
                <w:b w:val="1"/>
                <w:bCs w:val="1"/>
                <w:color w:val="auto"/>
              </w:rPr>
              <w:t>LIFETIME BRANDS, INC.</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4"/>
        </w:trPr>
        <w:tc>
          <w:tcPr>
            <w:tcW w:w="1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60" w:type="dxa"/>
            <w:vAlign w:val="bottom"/>
            <w:gridSpan w:val="8"/>
          </w:tcPr>
          <w:p>
            <w:pPr>
              <w:jc w:val="center"/>
              <w:ind w:right="908"/>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42"/>
        </w:trPr>
        <w:tc>
          <w:tcPr>
            <w:tcW w:w="1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60" w:type="dxa"/>
            <w:vAlign w:val="bottom"/>
            <w:gridSpan w:val="5"/>
          </w:tcPr>
          <w:p>
            <w:pPr>
              <w:jc w:val="center"/>
              <w:ind w:left="1121"/>
              <w:spacing w:after="0"/>
              <w:rPr>
                <w:sz w:val="20"/>
                <w:szCs w:val="20"/>
                <w:color w:val="auto"/>
              </w:rPr>
            </w:pPr>
            <w:r>
              <w:rPr>
                <w:rFonts w:ascii="Arial" w:cs="Arial" w:eastAsia="Arial" w:hAnsi="Arial"/>
                <w:sz w:val="11"/>
                <w:szCs w:val="11"/>
                <w:b w:val="1"/>
                <w:bCs w:val="1"/>
                <w:color w:val="auto"/>
                <w:w w:val="88"/>
              </w:rPr>
              <w:t>______________________________________________</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42"/>
        </w:trPr>
        <w:tc>
          <w:tcPr>
            <w:tcW w:w="1180" w:type="dxa"/>
            <w:vAlign w:val="bottom"/>
          </w:tcPr>
          <w:p>
            <w:pPr>
              <w:spacing w:after="0"/>
              <w:rPr>
                <w:sz w:val="21"/>
                <w:szCs w:val="21"/>
                <w:color w:val="auto"/>
              </w:rPr>
            </w:pPr>
          </w:p>
        </w:tc>
        <w:tc>
          <w:tcPr>
            <w:tcW w:w="1960" w:type="dxa"/>
            <w:vAlign w:val="bottom"/>
            <w:gridSpan w:val="2"/>
          </w:tcPr>
          <w:p>
            <w:pPr>
              <w:jc w:val="center"/>
              <w:ind w:left="1032"/>
              <w:spacing w:after="0"/>
              <w:rPr>
                <w:sz w:val="20"/>
                <w:szCs w:val="20"/>
                <w:color w:val="auto"/>
              </w:rPr>
            </w:pPr>
            <w:r>
              <w:rPr>
                <w:rFonts w:ascii="Arial" w:cs="Arial" w:eastAsia="Arial" w:hAnsi="Arial"/>
                <w:sz w:val="18"/>
                <w:szCs w:val="18"/>
                <w:b w:val="1"/>
                <w:bCs w:val="1"/>
                <w:color w:val="auto"/>
                <w:w w:val="93"/>
              </w:rPr>
              <w:t>Delaware</w:t>
            </w:r>
          </w:p>
        </w:tc>
        <w:tc>
          <w:tcPr>
            <w:tcW w:w="1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380" w:type="dxa"/>
            <w:vAlign w:val="bottom"/>
            <w:gridSpan w:val="4"/>
          </w:tcPr>
          <w:p>
            <w:pPr>
              <w:jc w:val="center"/>
              <w:ind w:left="1110"/>
              <w:spacing w:after="0"/>
              <w:rPr>
                <w:sz w:val="20"/>
                <w:szCs w:val="20"/>
                <w:color w:val="auto"/>
              </w:rPr>
            </w:pPr>
            <w:r>
              <w:rPr>
                <w:rFonts w:ascii="Arial" w:cs="Arial" w:eastAsia="Arial" w:hAnsi="Arial"/>
                <w:sz w:val="18"/>
                <w:szCs w:val="18"/>
                <w:b w:val="1"/>
                <w:bCs w:val="1"/>
                <w:color w:val="auto"/>
                <w:w w:val="89"/>
              </w:rPr>
              <w:t>11-2682486</w:t>
            </w: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144"/>
        </w:trPr>
        <w:tc>
          <w:tcPr>
            <w:tcW w:w="1180" w:type="dxa"/>
            <w:vAlign w:val="bottom"/>
          </w:tcPr>
          <w:p>
            <w:pPr>
              <w:spacing w:after="0"/>
              <w:rPr>
                <w:sz w:val="12"/>
                <w:szCs w:val="12"/>
                <w:color w:val="auto"/>
              </w:rPr>
            </w:pPr>
          </w:p>
        </w:tc>
        <w:tc>
          <w:tcPr>
            <w:tcW w:w="5540" w:type="dxa"/>
            <w:vAlign w:val="bottom"/>
            <w:gridSpan w:val="6"/>
          </w:tcPr>
          <w:p>
            <w:pPr>
              <w:jc w:val="center"/>
              <w:ind w:right="2460"/>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left="28"/>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86"/>
        </w:trPr>
        <w:tc>
          <w:tcPr>
            <w:tcW w:w="1180" w:type="dxa"/>
            <w:vAlign w:val="bottom"/>
          </w:tcPr>
          <w:p>
            <w:pPr>
              <w:spacing w:after="0"/>
              <w:rPr>
                <w:sz w:val="16"/>
                <w:szCs w:val="16"/>
                <w:color w:val="auto"/>
              </w:rPr>
            </w:pPr>
          </w:p>
        </w:tc>
        <w:tc>
          <w:tcPr>
            <w:tcW w:w="5540" w:type="dxa"/>
            <w:vAlign w:val="bottom"/>
            <w:gridSpan w:val="6"/>
          </w:tcPr>
          <w:p>
            <w:pPr>
              <w:jc w:val="center"/>
              <w:ind w:right="2460"/>
              <w:spacing w:after="0"/>
              <w:rPr>
                <w:sz w:val="20"/>
                <w:szCs w:val="20"/>
                <w:color w:val="auto"/>
              </w:rPr>
            </w:pPr>
            <w:r>
              <w:rPr>
                <w:rFonts w:ascii="Arial" w:cs="Arial" w:eastAsia="Arial" w:hAnsi="Arial"/>
                <w:sz w:val="14"/>
                <w:szCs w:val="14"/>
                <w:b w:val="1"/>
                <w:bCs w:val="1"/>
                <w:color w:val="auto"/>
                <w:w w:val="94"/>
              </w:rPr>
              <w:t>incorporation or organization)</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left="28"/>
              <w:spacing w:after="0"/>
              <w:rPr>
                <w:sz w:val="20"/>
                <w:szCs w:val="20"/>
                <w:color w:val="auto"/>
              </w:rPr>
            </w:pPr>
            <w:r>
              <w:rPr>
                <w:rFonts w:ascii="Arial" w:cs="Arial" w:eastAsia="Arial" w:hAnsi="Arial"/>
                <w:sz w:val="14"/>
                <w:szCs w:val="14"/>
                <w:b w:val="1"/>
                <w:bCs w:val="1"/>
                <w:color w:val="auto"/>
                <w:w w:val="94"/>
              </w:rPr>
              <w:t>Identification No.)</w:t>
            </w: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412"/>
        </w:trPr>
        <w:tc>
          <w:tcPr>
            <w:tcW w:w="1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60" w:type="dxa"/>
            <w:vAlign w:val="bottom"/>
            <w:gridSpan w:val="8"/>
          </w:tcPr>
          <w:p>
            <w:pPr>
              <w:jc w:val="center"/>
              <w:ind w:right="928"/>
              <w:spacing w:after="0"/>
              <w:rPr>
                <w:sz w:val="20"/>
                <w:szCs w:val="20"/>
                <w:color w:val="auto"/>
              </w:rPr>
            </w:pPr>
            <w:r>
              <w:rPr>
                <w:rFonts w:ascii="Arial" w:cs="Arial" w:eastAsia="Arial" w:hAnsi="Arial"/>
                <w:sz w:val="18"/>
                <w:szCs w:val="18"/>
                <w:b w:val="1"/>
                <w:bCs w:val="1"/>
                <w:color w:val="auto"/>
                <w:w w:val="91"/>
              </w:rPr>
              <w:t>1000 Stewart Avenue, Garden City, New York 11530</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86"/>
        </w:trPr>
        <w:tc>
          <w:tcPr>
            <w:tcW w:w="11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960" w:type="dxa"/>
            <w:vAlign w:val="bottom"/>
            <w:gridSpan w:val="8"/>
          </w:tcPr>
          <w:p>
            <w:pPr>
              <w:jc w:val="center"/>
              <w:ind w:right="928"/>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408"/>
        </w:trPr>
        <w:tc>
          <w:tcPr>
            <w:tcW w:w="1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80" w:type="dxa"/>
            <w:vAlign w:val="bottom"/>
            <w:gridSpan w:val="4"/>
          </w:tcPr>
          <w:p>
            <w:pPr>
              <w:jc w:val="center"/>
              <w:ind w:left="1301"/>
              <w:spacing w:after="0"/>
              <w:rPr>
                <w:sz w:val="20"/>
                <w:szCs w:val="20"/>
                <w:color w:val="auto"/>
              </w:rPr>
            </w:pPr>
            <w:r>
              <w:rPr>
                <w:rFonts w:ascii="Arial" w:cs="Arial" w:eastAsia="Arial" w:hAnsi="Arial"/>
                <w:sz w:val="18"/>
                <w:szCs w:val="18"/>
                <w:b w:val="1"/>
                <w:bCs w:val="1"/>
                <w:color w:val="auto"/>
                <w:w w:val="90"/>
              </w:rPr>
              <w:t>(516) 683-6000</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86"/>
        </w:trPr>
        <w:tc>
          <w:tcPr>
            <w:tcW w:w="11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960" w:type="dxa"/>
            <w:vAlign w:val="bottom"/>
            <w:gridSpan w:val="8"/>
          </w:tcPr>
          <w:p>
            <w:pPr>
              <w:jc w:val="center"/>
              <w:ind w:right="92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430"/>
        </w:trPr>
        <w:tc>
          <w:tcPr>
            <w:tcW w:w="1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60" w:type="dxa"/>
            <w:vAlign w:val="bottom"/>
            <w:gridSpan w:val="8"/>
          </w:tcPr>
          <w:p>
            <w:pPr>
              <w:jc w:val="center"/>
              <w:ind w:right="928"/>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5"/>
        </w:trPr>
        <w:tc>
          <w:tcPr>
            <w:tcW w:w="3140" w:type="dxa"/>
            <w:vAlign w:val="bottom"/>
            <w:gridSpan w:val="3"/>
          </w:tcPr>
          <w:p>
            <w:pPr>
              <w:jc w:val="center"/>
              <w:ind w:left="1016"/>
              <w:spacing w:after="0"/>
              <w:rPr>
                <w:sz w:val="20"/>
                <w:szCs w:val="20"/>
                <w:color w:val="auto"/>
              </w:rPr>
            </w:pPr>
            <w:r>
              <w:rPr>
                <w:rFonts w:ascii="Arial" w:cs="Arial" w:eastAsia="Arial" w:hAnsi="Arial"/>
                <w:sz w:val="14"/>
                <w:szCs w:val="14"/>
                <w:b w:val="1"/>
                <w:bCs w:val="1"/>
                <w:color w:val="auto"/>
                <w:w w:val="92"/>
              </w:rPr>
              <w:t>Common Stock, $.01 par value</w:t>
            </w:r>
          </w:p>
        </w:tc>
        <w:tc>
          <w:tcPr>
            <w:tcW w:w="1900" w:type="dxa"/>
            <w:vAlign w:val="bottom"/>
          </w:tcPr>
          <w:p>
            <w:pPr>
              <w:spacing w:after="0"/>
              <w:rPr>
                <w:sz w:val="15"/>
                <w:szCs w:val="15"/>
                <w:color w:val="auto"/>
              </w:rPr>
            </w:pPr>
          </w:p>
        </w:tc>
        <w:tc>
          <w:tcPr>
            <w:tcW w:w="168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rPr>
              <w:t>LCUT</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4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6"/>
              </w:rPr>
              <w:t>The NASDAQ Global Select Market</w:t>
            </w:r>
          </w:p>
        </w:tc>
      </w:tr>
      <w:tr>
        <w:trPr>
          <w:trHeight w:val="20"/>
        </w:trPr>
        <w:tc>
          <w:tcPr>
            <w:tcW w:w="118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gridSpan w:val="4"/>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88"/>
              </w:rPr>
              <w:t>(Title of each class)</w:t>
            </w:r>
          </w:p>
        </w:tc>
        <w:tc>
          <w:tcPr>
            <w:tcW w:w="80" w:type="dxa"/>
            <w:vAlign w:val="bottom"/>
          </w:tcPr>
          <w:p>
            <w:pPr>
              <w:spacing w:after="0"/>
              <w:rPr>
                <w:sz w:val="21"/>
                <w:szCs w:val="21"/>
                <w:color w:val="auto"/>
              </w:rPr>
            </w:pPr>
          </w:p>
        </w:tc>
        <w:tc>
          <w:tcPr>
            <w:tcW w:w="3580" w:type="dxa"/>
            <w:vAlign w:val="bottom"/>
            <w:gridSpan w:val="4"/>
          </w:tcPr>
          <w:p>
            <w:pPr>
              <w:jc w:val="center"/>
              <w:ind w:left="541"/>
              <w:spacing w:after="0"/>
              <w:rPr>
                <w:sz w:val="20"/>
                <w:szCs w:val="20"/>
                <w:color w:val="auto"/>
              </w:rPr>
            </w:pPr>
            <w:r>
              <w:rPr>
                <w:rFonts w:ascii="Arial" w:cs="Arial" w:eastAsia="Arial" w:hAnsi="Arial"/>
                <w:sz w:val="18"/>
                <w:szCs w:val="18"/>
                <w:b w:val="1"/>
                <w:bCs w:val="1"/>
                <w:color w:val="auto"/>
                <w:w w:val="91"/>
              </w:rPr>
              <w:t>(Trading Symbol)</w:t>
            </w:r>
          </w:p>
        </w:tc>
        <w:tc>
          <w:tcPr>
            <w:tcW w:w="180" w:type="dxa"/>
            <w:vAlign w:val="bottom"/>
          </w:tcPr>
          <w:p>
            <w:pPr>
              <w:spacing w:after="0"/>
              <w:rPr>
                <w:sz w:val="21"/>
                <w:szCs w:val="21"/>
                <w:color w:val="auto"/>
              </w:rPr>
            </w:pPr>
          </w:p>
        </w:tc>
        <w:tc>
          <w:tcPr>
            <w:tcW w:w="3560" w:type="dxa"/>
            <w:vAlign w:val="bottom"/>
            <w:gridSpan w:val="6"/>
          </w:tcPr>
          <w:p>
            <w:pPr>
              <w:jc w:val="center"/>
              <w:ind w:left="10"/>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432"/>
        </w:trPr>
        <w:tc>
          <w:tcPr>
            <w:tcW w:w="1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60" w:type="dxa"/>
            <w:vAlign w:val="bottom"/>
            <w:gridSpan w:val="8"/>
          </w:tcPr>
          <w:p>
            <w:pPr>
              <w:jc w:val="center"/>
              <w:ind w:right="928"/>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43"/>
        </w:trPr>
        <w:tc>
          <w:tcPr>
            <w:tcW w:w="1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60" w:type="dxa"/>
            <w:vAlign w:val="bottom"/>
            <w:gridSpan w:val="5"/>
          </w:tcPr>
          <w:p>
            <w:pPr>
              <w:jc w:val="center"/>
              <w:ind w:left="1121"/>
              <w:spacing w:after="0"/>
              <w:rPr>
                <w:sz w:val="20"/>
                <w:szCs w:val="20"/>
                <w:color w:val="auto"/>
              </w:rPr>
            </w:pPr>
            <w:r>
              <w:rPr>
                <w:rFonts w:ascii="Arial" w:cs="Arial" w:eastAsia="Arial" w:hAnsi="Arial"/>
                <w:sz w:val="11"/>
                <w:szCs w:val="11"/>
                <w:b w:val="1"/>
                <w:bCs w:val="1"/>
                <w:color w:val="auto"/>
                <w:w w:val="88"/>
              </w:rPr>
              <w:t>______________________________________________</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01"/>
        </w:trPr>
        <w:tc>
          <w:tcPr>
            <w:tcW w:w="9100" w:type="dxa"/>
            <w:vAlign w:val="bottom"/>
            <w:gridSpan w:val="11"/>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1"/>
              </w:rPr>
              <w:t>☐</w:t>
            </w:r>
          </w:p>
        </w:tc>
        <w:tc>
          <w:tcPr>
            <w:tcW w:w="380" w:type="dxa"/>
            <w:vAlign w:val="bottom"/>
          </w:tcPr>
          <w:p>
            <w:pPr>
              <w:ind w:left="140"/>
              <w:spacing w:after="0"/>
              <w:rPr>
                <w:sz w:val="20"/>
                <w:szCs w:val="20"/>
                <w:color w:val="auto"/>
              </w:rPr>
            </w:pPr>
            <w:r>
              <w:rPr>
                <w:rFonts w:ascii="Arial" w:cs="Arial" w:eastAsia="Arial" w:hAnsi="Arial"/>
                <w:sz w:val="18"/>
                <w:szCs w:val="18"/>
                <w:color w:val="auto"/>
                <w:w w:val="95"/>
              </w:rPr>
              <w:t>No</w:t>
            </w:r>
          </w:p>
        </w:tc>
        <w:tc>
          <w:tcPr>
            <w:tcW w:w="980" w:type="dxa"/>
            <w:vAlign w:val="bottom"/>
            <w:gridSpan w:val="2"/>
          </w:tcPr>
          <w:p>
            <w:pPr>
              <w:ind w:left="120"/>
              <w:spacing w:after="0" w:line="221" w:lineRule="exact"/>
              <w:rPr>
                <w:sz w:val="20"/>
                <w:szCs w:val="20"/>
                <w:color w:val="auto"/>
              </w:rPr>
            </w:pPr>
            <w:r>
              <w:rPr>
                <w:rFonts w:ascii="MS PGothic" w:cs="MS PGothic" w:eastAsia="MS PGothic" w:hAnsi="MS PGothic"/>
                <w:sz w:val="22"/>
                <w:szCs w:val="22"/>
                <w:color w:val="auto"/>
              </w:rPr>
              <w:t>☒</w:t>
            </w:r>
          </w:p>
        </w:tc>
      </w:tr>
      <w:tr>
        <w:trPr>
          <w:trHeight w:val="473"/>
        </w:trPr>
        <w:tc>
          <w:tcPr>
            <w:tcW w:w="9100" w:type="dxa"/>
            <w:vAlign w:val="bottom"/>
            <w:gridSpan w:val="11"/>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Section 15(d) of the Act.  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980" w:type="dxa"/>
            <w:vAlign w:val="bottom"/>
            <w:gridSpan w:val="2"/>
          </w:tcPr>
          <w:p>
            <w:pPr>
              <w:spacing w:after="0" w:line="242"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21"/>
                <w:szCs w:val="21"/>
                <w:color w:val="auto"/>
              </w:rPr>
              <w:t>☒</w:t>
            </w:r>
          </w:p>
        </w:tc>
      </w:tr>
    </w:tbl>
    <w:p>
      <w:pPr>
        <w:spacing w:after="0" w:line="168" w:lineRule="exact"/>
        <w:rPr>
          <w:sz w:val="24"/>
          <w:szCs w:val="24"/>
          <w:color w:val="auto"/>
        </w:rPr>
      </w:pPr>
    </w:p>
    <w:p>
      <w:pPr>
        <w:ind w:right="180"/>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ind w:right="240"/>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ind w:right="20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1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276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6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8"/>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2760"/>
              <w:spacing w:after="0"/>
              <w:rPr>
                <w:sz w:val="20"/>
                <w:szCs w:val="20"/>
                <w:color w:val="auto"/>
              </w:rPr>
            </w:pPr>
            <w:r>
              <w:rPr>
                <w:rFonts w:ascii="Arial" w:cs="Arial" w:eastAsia="Arial" w:hAnsi="Arial"/>
                <w:sz w:val="18"/>
                <w:szCs w:val="18"/>
                <w:color w:val="auto"/>
              </w:rPr>
              <w:t>Smaller reporting company</w:t>
            </w:r>
          </w:p>
        </w:tc>
        <w:tc>
          <w:tcPr>
            <w:tcW w:w="840" w:type="dxa"/>
            <w:vAlign w:val="bottom"/>
          </w:tcPr>
          <w:p>
            <w:pPr>
              <w:ind w:left="6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83"/>
        </w:trPr>
        <w:tc>
          <w:tcPr>
            <w:tcW w:w="18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360" w:type="dxa"/>
            <w:vAlign w:val="bottom"/>
          </w:tcPr>
          <w:p>
            <w:pPr>
              <w:ind w:left="2760"/>
              <w:spacing w:after="0"/>
              <w:rPr>
                <w:sz w:val="20"/>
                <w:szCs w:val="20"/>
                <w:color w:val="auto"/>
              </w:rPr>
            </w:pPr>
            <w:r>
              <w:rPr>
                <w:rFonts w:ascii="Arial" w:cs="Arial" w:eastAsia="Arial" w:hAnsi="Arial"/>
                <w:sz w:val="18"/>
                <w:szCs w:val="18"/>
                <w:color w:val="auto"/>
              </w:rPr>
              <w:t>Emerging growth company</w:t>
            </w:r>
          </w:p>
        </w:tc>
        <w:tc>
          <w:tcPr>
            <w:tcW w:w="8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99"/>
              </w:rPr>
              <w:t>☐</w:t>
            </w:r>
          </w:p>
        </w:tc>
      </w:tr>
    </w:tbl>
    <w:p>
      <w:pPr>
        <w:spacing w:after="0" w:line="182"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120"/>
          </w:cols>
          <w:pgMar w:left="320" w:top="233" w:right="459" w:bottom="0" w:gutter="0" w:footer="0" w:header="0"/>
        </w:sectPr>
      </w:pPr>
    </w:p>
    <w:bookmarkStart w:id="1" w:name="page2"/>
    <w:bookmarkEnd w:id="1"/>
    <w:p>
      <w:pPr>
        <w:ind w:right="20"/>
        <w:spacing w:after="0" w:line="245"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1"/>
          <w:szCs w:val="21"/>
          <w:color w:val="auto"/>
        </w:rPr>
        <w:t>☒</w:t>
      </w:r>
    </w:p>
    <w:p>
      <w:pPr>
        <w:spacing w:after="0" w:line="136" w:lineRule="exact"/>
        <w:rPr>
          <w:sz w:val="20"/>
          <w:szCs w:val="20"/>
          <w:color w:val="auto"/>
        </w:rPr>
      </w:pPr>
    </w:p>
    <w:p>
      <w:pPr>
        <w:spacing w:after="0" w:line="242" w:lineRule="exact"/>
        <w:tabs>
          <w:tab w:leader="none" w:pos="7580" w:val="left"/>
          <w:tab w:leader="none" w:pos="82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pacing w:after="0" w:line="265"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The aggregate market value of 12,981,758 shares of the voting common equity held by non-affiliates of the registrant as of June 30, 2020, the last day of the registrant’s most recently completed second fiscal quarter, was approximately $87,237,414. Directors, executive officers, and trusts controlled by said individuals are considered affiliates for the purpose of this calculation and may not necessarily be considered affiliates for any other purpose.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common stock, par value $0.01 per share, outstanding as of February 28, 2021, was 21,771,680.</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Parts of the registrant’s definitive proxy statement for the 2021 Annual Meeting of Stockholders to be filed pursuant to Regulation 14A under the Securities Exchange Act of 1934 are incorporated by reference in Part III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751840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340" w:type="dxa"/>
            <w:vAlign w:val="bottom"/>
            <w:gridSpan w:val="2"/>
          </w:tcPr>
          <w:p>
            <w:pPr>
              <w:spacing w:after="0"/>
              <w:rPr>
                <w:rFonts w:ascii="Arial" w:cs="Arial" w:eastAsia="Arial" w:hAnsi="Arial"/>
                <w:sz w:val="18"/>
                <w:szCs w:val="18"/>
                <w:u w:val="single" w:color="auto"/>
                <w:color w:val="0000FF"/>
                <w:w w:val="92"/>
              </w:rPr>
            </w:pPr>
            <w:hyperlink w:anchor="page2">
              <w:r>
                <w:rPr>
                  <w:rFonts w:ascii="Arial" w:cs="Arial" w:eastAsia="Arial" w:hAnsi="Arial"/>
                  <w:sz w:val="18"/>
                  <w:szCs w:val="18"/>
                  <w:u w:val="single" w:color="auto"/>
                  <w:color w:val="0000FF"/>
                  <w:w w:val="92"/>
                </w:rPr>
                <w:t>Table of Contents</w:t>
              </w:r>
            </w:hyperlink>
          </w:p>
        </w:tc>
        <w:tc>
          <w:tcPr>
            <w:tcW w:w="89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630"/>
        </w:trPr>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920" w:type="dxa"/>
            <w:vAlign w:val="bottom"/>
          </w:tcPr>
          <w:p>
            <w:pPr>
              <w:jc w:val="center"/>
              <w:ind w:right="270"/>
              <w:spacing w:after="0"/>
              <w:rPr>
                <w:sz w:val="20"/>
                <w:szCs w:val="20"/>
                <w:color w:val="auto"/>
              </w:rPr>
            </w:pPr>
            <w:r>
              <w:rPr>
                <w:rFonts w:ascii="Arial" w:cs="Arial" w:eastAsia="Arial" w:hAnsi="Arial"/>
                <w:sz w:val="18"/>
                <w:szCs w:val="18"/>
                <w:b w:val="1"/>
                <w:bCs w:val="1"/>
                <w:color w:val="auto"/>
              </w:rPr>
              <w:t>LIFETIME BRANDS, INC.</w:t>
            </w:r>
          </w:p>
        </w:tc>
        <w:tc>
          <w:tcPr>
            <w:tcW w:w="960" w:type="dxa"/>
            <w:vAlign w:val="bottom"/>
          </w:tcPr>
          <w:p>
            <w:pPr>
              <w:spacing w:after="0"/>
              <w:rPr>
                <w:sz w:val="24"/>
                <w:szCs w:val="24"/>
                <w:color w:val="auto"/>
              </w:rPr>
            </w:pPr>
          </w:p>
        </w:tc>
      </w:tr>
      <w:tr>
        <w:trPr>
          <w:trHeight w:val="234"/>
        </w:trPr>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920" w:type="dxa"/>
            <w:vAlign w:val="bottom"/>
          </w:tcPr>
          <w:p>
            <w:pPr>
              <w:jc w:val="center"/>
              <w:ind w:right="250"/>
              <w:spacing w:after="0"/>
              <w:rPr>
                <w:sz w:val="20"/>
                <w:szCs w:val="20"/>
                <w:color w:val="auto"/>
              </w:rPr>
            </w:pPr>
            <w:r>
              <w:rPr>
                <w:rFonts w:ascii="Arial" w:cs="Arial" w:eastAsia="Arial" w:hAnsi="Arial"/>
                <w:sz w:val="18"/>
                <w:szCs w:val="18"/>
                <w:b w:val="1"/>
                <w:bCs w:val="1"/>
                <w:color w:val="auto"/>
              </w:rPr>
              <w:t>FORM 10-K</w:t>
            </w:r>
          </w:p>
        </w:tc>
        <w:tc>
          <w:tcPr>
            <w:tcW w:w="960" w:type="dxa"/>
            <w:vAlign w:val="bottom"/>
          </w:tcPr>
          <w:p>
            <w:pPr>
              <w:spacing w:after="0"/>
              <w:rPr>
                <w:sz w:val="20"/>
                <w:szCs w:val="20"/>
                <w:color w:val="auto"/>
              </w:rPr>
            </w:pPr>
          </w:p>
        </w:tc>
      </w:tr>
      <w:tr>
        <w:trPr>
          <w:trHeight w:val="324"/>
        </w:trPr>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920" w:type="dxa"/>
            <w:vAlign w:val="bottom"/>
          </w:tcPr>
          <w:p>
            <w:pPr>
              <w:jc w:val="center"/>
              <w:ind w:right="270"/>
              <w:spacing w:after="0"/>
              <w:rPr>
                <w:sz w:val="20"/>
                <w:szCs w:val="20"/>
                <w:color w:val="auto"/>
              </w:rPr>
            </w:pPr>
            <w:r>
              <w:rPr>
                <w:rFonts w:ascii="Arial" w:cs="Arial" w:eastAsia="Arial" w:hAnsi="Arial"/>
                <w:sz w:val="18"/>
                <w:szCs w:val="18"/>
                <w:b w:val="1"/>
                <w:bCs w:val="1"/>
                <w:color w:val="auto"/>
                <w:w w:val="98"/>
              </w:rPr>
              <w:t>TABLE OF CONTENTS</w:t>
            </w:r>
          </w:p>
        </w:tc>
        <w:tc>
          <w:tcPr>
            <w:tcW w:w="960" w:type="dxa"/>
            <w:vAlign w:val="bottom"/>
          </w:tcPr>
          <w:p>
            <w:pPr>
              <w:spacing w:after="0"/>
              <w:rPr>
                <w:sz w:val="24"/>
                <w:szCs w:val="24"/>
                <w:color w:val="auto"/>
              </w:rPr>
            </w:pPr>
          </w:p>
        </w:tc>
      </w:tr>
      <w:tr>
        <w:trPr>
          <w:trHeight w:val="526"/>
        </w:trPr>
        <w:tc>
          <w:tcPr>
            <w:tcW w:w="700" w:type="dxa"/>
            <w:vAlign w:val="bottom"/>
          </w:tcPr>
          <w:p>
            <w:pPr>
              <w:ind w:left="20"/>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PART I</w:t>
              </w:r>
            </w:hyperlink>
          </w:p>
        </w:tc>
        <w:tc>
          <w:tcPr>
            <w:tcW w:w="64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9"/>
        </w:trPr>
        <w:tc>
          <w:tcPr>
            <w:tcW w:w="700" w:type="dxa"/>
            <w:vAlign w:val="bottom"/>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Item</w:t>
              </w:r>
            </w:hyperlink>
          </w:p>
        </w:tc>
        <w:tc>
          <w:tcPr>
            <w:tcW w:w="640" w:type="dxa"/>
            <w:vAlign w:val="bottom"/>
          </w:tcPr>
          <w:p>
            <w:pPr>
              <w:ind w:left="20"/>
              <w:spacing w:after="0"/>
              <w:rPr>
                <w:rFonts w:ascii="Arial" w:cs="Arial" w:eastAsia="Arial" w:hAnsi="Arial"/>
                <w:sz w:val="18"/>
                <w:szCs w:val="18"/>
                <w:color w:val="0000FF"/>
              </w:rPr>
            </w:pPr>
            <w:hyperlink w:anchor="page7">
              <w:r>
                <w:rPr>
                  <w:rFonts w:ascii="Arial" w:cs="Arial" w:eastAsia="Arial" w:hAnsi="Arial"/>
                  <w:sz w:val="18"/>
                  <w:szCs w:val="18"/>
                  <w:color w:val="0000FF"/>
                </w:rPr>
                <w:t>1.</w:t>
              </w:r>
            </w:hyperlink>
          </w:p>
        </w:tc>
        <w:tc>
          <w:tcPr>
            <w:tcW w:w="8920" w:type="dxa"/>
            <w:vAlign w:val="bottom"/>
          </w:tcPr>
          <w:p>
            <w:pPr>
              <w:ind w:left="4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Business</w:t>
              </w:r>
            </w:hyperlink>
          </w:p>
        </w:tc>
        <w:tc>
          <w:tcPr>
            <w:tcW w:w="960" w:type="dxa"/>
            <w:vAlign w:val="bottom"/>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30"/>
        </w:trPr>
        <w:tc>
          <w:tcPr>
            <w:tcW w:w="700" w:type="dxa"/>
            <w:vAlign w:val="bottom"/>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Item</w:t>
              </w:r>
            </w:hyperlink>
          </w:p>
        </w:tc>
        <w:tc>
          <w:tcPr>
            <w:tcW w:w="640" w:type="dxa"/>
            <w:vAlign w:val="bottom"/>
          </w:tcPr>
          <w:p>
            <w:pPr>
              <w:ind w:left="20"/>
              <w:spacing w:after="0"/>
              <w:rPr>
                <w:rFonts w:ascii="Arial" w:cs="Arial" w:eastAsia="Arial" w:hAnsi="Arial"/>
                <w:sz w:val="18"/>
                <w:szCs w:val="18"/>
                <w:color w:val="0000FF"/>
              </w:rPr>
            </w:pPr>
            <w:hyperlink w:anchor="page11">
              <w:r>
                <w:rPr>
                  <w:rFonts w:ascii="Arial" w:cs="Arial" w:eastAsia="Arial" w:hAnsi="Arial"/>
                  <w:sz w:val="18"/>
                  <w:szCs w:val="18"/>
                  <w:color w:val="0000FF"/>
                </w:rPr>
                <w:t>1A.</w:t>
              </w:r>
            </w:hyperlink>
          </w:p>
        </w:tc>
        <w:tc>
          <w:tcPr>
            <w:tcW w:w="8920" w:type="dxa"/>
            <w:vAlign w:val="bottom"/>
          </w:tcPr>
          <w:p>
            <w:pPr>
              <w:ind w:left="4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Risk Factors</w:t>
              </w:r>
            </w:hyperlink>
          </w:p>
        </w:tc>
        <w:tc>
          <w:tcPr>
            <w:tcW w:w="960" w:type="dxa"/>
            <w:vAlign w:val="bottom"/>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10</w:t>
              </w:r>
            </w:hyperlink>
          </w:p>
        </w:tc>
      </w:tr>
      <w:tr>
        <w:trPr>
          <w:trHeight w:val="229"/>
        </w:trPr>
        <w:tc>
          <w:tcPr>
            <w:tcW w:w="700" w:type="dxa"/>
            <w:vAlign w:val="bottom"/>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Item</w:t>
              </w:r>
            </w:hyperlink>
          </w:p>
        </w:tc>
        <w:tc>
          <w:tcPr>
            <w:tcW w:w="640" w:type="dxa"/>
            <w:vAlign w:val="bottom"/>
          </w:tcPr>
          <w:p>
            <w:pPr>
              <w:ind w:left="20"/>
              <w:spacing w:after="0"/>
              <w:rPr>
                <w:rFonts w:ascii="Arial" w:cs="Arial" w:eastAsia="Arial" w:hAnsi="Arial"/>
                <w:sz w:val="18"/>
                <w:szCs w:val="18"/>
                <w:color w:val="0000FF"/>
              </w:rPr>
            </w:pPr>
            <w:hyperlink w:anchor="page27">
              <w:r>
                <w:rPr>
                  <w:rFonts w:ascii="Arial" w:cs="Arial" w:eastAsia="Arial" w:hAnsi="Arial"/>
                  <w:sz w:val="18"/>
                  <w:szCs w:val="18"/>
                  <w:color w:val="0000FF"/>
                </w:rPr>
                <w:t>1B.</w:t>
              </w:r>
            </w:hyperlink>
          </w:p>
        </w:tc>
        <w:tc>
          <w:tcPr>
            <w:tcW w:w="8920" w:type="dxa"/>
            <w:vAlign w:val="bottom"/>
          </w:tcPr>
          <w:p>
            <w:pPr>
              <w:ind w:left="4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Unresolved Staff Comments</w:t>
              </w:r>
            </w:hyperlink>
          </w:p>
        </w:tc>
        <w:tc>
          <w:tcPr>
            <w:tcW w:w="960" w:type="dxa"/>
            <w:vAlign w:val="bottom"/>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230"/>
        </w:trPr>
        <w:tc>
          <w:tcPr>
            <w:tcW w:w="700" w:type="dxa"/>
            <w:vAlign w:val="bottom"/>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Item</w:t>
              </w:r>
            </w:hyperlink>
          </w:p>
        </w:tc>
        <w:tc>
          <w:tcPr>
            <w:tcW w:w="640" w:type="dxa"/>
            <w:vAlign w:val="bottom"/>
          </w:tcPr>
          <w:p>
            <w:pPr>
              <w:ind w:left="20"/>
              <w:spacing w:after="0"/>
              <w:rPr>
                <w:rFonts w:ascii="Arial" w:cs="Arial" w:eastAsia="Arial" w:hAnsi="Arial"/>
                <w:sz w:val="18"/>
                <w:szCs w:val="18"/>
                <w:color w:val="0000FF"/>
              </w:rPr>
            </w:pPr>
            <w:hyperlink w:anchor="page27">
              <w:r>
                <w:rPr>
                  <w:rFonts w:ascii="Arial" w:cs="Arial" w:eastAsia="Arial" w:hAnsi="Arial"/>
                  <w:sz w:val="18"/>
                  <w:szCs w:val="18"/>
                  <w:color w:val="0000FF"/>
                </w:rPr>
                <w:t>2.</w:t>
              </w:r>
            </w:hyperlink>
          </w:p>
        </w:tc>
        <w:tc>
          <w:tcPr>
            <w:tcW w:w="8920" w:type="dxa"/>
            <w:vAlign w:val="bottom"/>
          </w:tcPr>
          <w:p>
            <w:pPr>
              <w:ind w:left="4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Properties</w:t>
              </w:r>
            </w:hyperlink>
          </w:p>
        </w:tc>
        <w:tc>
          <w:tcPr>
            <w:tcW w:w="960" w:type="dxa"/>
            <w:vAlign w:val="bottom"/>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26</w:t>
              </w:r>
            </w:hyperlink>
          </w:p>
        </w:tc>
      </w:tr>
      <w:tr>
        <w:trPr>
          <w:trHeight w:val="229"/>
        </w:trPr>
        <w:tc>
          <w:tcPr>
            <w:tcW w:w="700" w:type="dxa"/>
            <w:vAlign w:val="bottom"/>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Item</w:t>
              </w:r>
            </w:hyperlink>
          </w:p>
        </w:tc>
        <w:tc>
          <w:tcPr>
            <w:tcW w:w="640" w:type="dxa"/>
            <w:vAlign w:val="bottom"/>
          </w:tcPr>
          <w:p>
            <w:pPr>
              <w:ind w:left="20"/>
              <w:spacing w:after="0"/>
              <w:rPr>
                <w:rFonts w:ascii="Arial" w:cs="Arial" w:eastAsia="Arial" w:hAnsi="Arial"/>
                <w:sz w:val="18"/>
                <w:szCs w:val="18"/>
                <w:color w:val="0000FF"/>
              </w:rPr>
            </w:pPr>
            <w:hyperlink w:anchor="page28">
              <w:r>
                <w:rPr>
                  <w:rFonts w:ascii="Arial" w:cs="Arial" w:eastAsia="Arial" w:hAnsi="Arial"/>
                  <w:sz w:val="18"/>
                  <w:szCs w:val="18"/>
                  <w:color w:val="0000FF"/>
                </w:rPr>
                <w:t>3.</w:t>
              </w:r>
            </w:hyperlink>
          </w:p>
        </w:tc>
        <w:tc>
          <w:tcPr>
            <w:tcW w:w="8920" w:type="dxa"/>
            <w:vAlign w:val="bottom"/>
          </w:tcPr>
          <w:p>
            <w:pPr>
              <w:ind w:left="4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Legal Proceedings</w:t>
              </w:r>
            </w:hyperlink>
          </w:p>
        </w:tc>
        <w:tc>
          <w:tcPr>
            <w:tcW w:w="960" w:type="dxa"/>
            <w:vAlign w:val="bottom"/>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27</w:t>
              </w:r>
            </w:hyperlink>
          </w:p>
        </w:tc>
      </w:tr>
      <w:tr>
        <w:trPr>
          <w:trHeight w:val="230"/>
        </w:trPr>
        <w:tc>
          <w:tcPr>
            <w:tcW w:w="700" w:type="dxa"/>
            <w:vAlign w:val="bottom"/>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Item</w:t>
              </w:r>
            </w:hyperlink>
          </w:p>
        </w:tc>
        <w:tc>
          <w:tcPr>
            <w:tcW w:w="640" w:type="dxa"/>
            <w:vAlign w:val="bottom"/>
          </w:tcPr>
          <w:p>
            <w:pPr>
              <w:ind w:left="20"/>
              <w:spacing w:after="0"/>
              <w:rPr>
                <w:rFonts w:ascii="Arial" w:cs="Arial" w:eastAsia="Arial" w:hAnsi="Arial"/>
                <w:sz w:val="18"/>
                <w:szCs w:val="18"/>
                <w:color w:val="0000FF"/>
              </w:rPr>
            </w:pPr>
            <w:hyperlink w:anchor="page29">
              <w:r>
                <w:rPr>
                  <w:rFonts w:ascii="Arial" w:cs="Arial" w:eastAsia="Arial" w:hAnsi="Arial"/>
                  <w:sz w:val="18"/>
                  <w:szCs w:val="18"/>
                  <w:color w:val="0000FF"/>
                </w:rPr>
                <w:t>4.</w:t>
              </w:r>
            </w:hyperlink>
          </w:p>
        </w:tc>
        <w:tc>
          <w:tcPr>
            <w:tcW w:w="8920" w:type="dxa"/>
            <w:vAlign w:val="bottom"/>
          </w:tcPr>
          <w:p>
            <w:pPr>
              <w:ind w:left="4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Mine Safety Disclosures</w:t>
              </w:r>
            </w:hyperlink>
          </w:p>
        </w:tc>
        <w:tc>
          <w:tcPr>
            <w:tcW w:w="960" w:type="dxa"/>
            <w:vAlign w:val="bottom"/>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27</w:t>
              </w:r>
            </w:hyperlink>
          </w:p>
        </w:tc>
      </w:tr>
      <w:tr>
        <w:trPr>
          <w:trHeight w:val="499"/>
        </w:trPr>
        <w:tc>
          <w:tcPr>
            <w:tcW w:w="700" w:type="dxa"/>
            <w:vAlign w:val="bottom"/>
          </w:tcPr>
          <w:p>
            <w:pPr>
              <w:jc w:val="right"/>
              <w:spacing w:after="0"/>
              <w:rPr>
                <w:rFonts w:ascii="Arial" w:cs="Arial" w:eastAsia="Arial" w:hAnsi="Arial"/>
                <w:sz w:val="18"/>
                <w:szCs w:val="18"/>
                <w:b w:val="1"/>
                <w:bCs w:val="1"/>
                <w:u w:val="single" w:color="auto"/>
                <w:color w:val="0000FF"/>
              </w:rPr>
            </w:pPr>
            <w:hyperlink w:anchor="page29">
              <w:r>
                <w:rPr>
                  <w:rFonts w:ascii="Arial" w:cs="Arial" w:eastAsia="Arial" w:hAnsi="Arial"/>
                  <w:sz w:val="18"/>
                  <w:szCs w:val="18"/>
                  <w:b w:val="1"/>
                  <w:bCs w:val="1"/>
                  <w:u w:val="single" w:color="auto"/>
                  <w:color w:val="0000FF"/>
                </w:rPr>
                <w:t>PART II</w:t>
              </w:r>
            </w:hyperlink>
          </w:p>
        </w:tc>
        <w:tc>
          <w:tcPr>
            <w:tcW w:w="64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9"/>
        </w:trPr>
        <w:tc>
          <w:tcPr>
            <w:tcW w:w="700" w:type="dxa"/>
            <w:vAlign w:val="bottom"/>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Item</w:t>
              </w:r>
            </w:hyperlink>
          </w:p>
        </w:tc>
        <w:tc>
          <w:tcPr>
            <w:tcW w:w="640" w:type="dxa"/>
            <w:vAlign w:val="bottom"/>
          </w:tcPr>
          <w:p>
            <w:pPr>
              <w:ind w:left="20"/>
              <w:spacing w:after="0"/>
              <w:rPr>
                <w:rFonts w:ascii="Arial" w:cs="Arial" w:eastAsia="Arial" w:hAnsi="Arial"/>
                <w:sz w:val="18"/>
                <w:szCs w:val="18"/>
                <w:color w:val="0000FF"/>
              </w:rPr>
            </w:pPr>
            <w:hyperlink w:anchor="page30">
              <w:r>
                <w:rPr>
                  <w:rFonts w:ascii="Arial" w:cs="Arial" w:eastAsia="Arial" w:hAnsi="Arial"/>
                  <w:sz w:val="18"/>
                  <w:szCs w:val="18"/>
                  <w:color w:val="0000FF"/>
                </w:rPr>
                <w:t>5.</w:t>
              </w:r>
            </w:hyperlink>
          </w:p>
        </w:tc>
        <w:tc>
          <w:tcPr>
            <w:tcW w:w="8920" w:type="dxa"/>
            <w:vAlign w:val="bottom"/>
          </w:tcPr>
          <w:p>
            <w:pPr>
              <w:ind w:left="40"/>
              <w:spacing w:after="0"/>
              <w:rPr>
                <w:rFonts w:ascii="Arial" w:cs="Arial" w:eastAsia="Arial" w:hAnsi="Arial"/>
                <w:sz w:val="18"/>
                <w:szCs w:val="18"/>
                <w:u w:val="single" w:color="auto"/>
                <w:color w:val="0000FF"/>
                <w:w w:val="98"/>
              </w:rPr>
            </w:pPr>
            <w:hyperlink w:anchor="page30">
              <w:r>
                <w:rPr>
                  <w:rFonts w:ascii="Arial" w:cs="Arial" w:eastAsia="Arial" w:hAnsi="Arial"/>
                  <w:sz w:val="18"/>
                  <w:szCs w:val="18"/>
                  <w:u w:val="single" w:color="auto"/>
                  <w:color w:val="0000FF"/>
                  <w:w w:val="98"/>
                </w:rPr>
                <w:t>Market For Registrant’s Common Equity, Related Stockholder Matters and Issuer Purchases of Equity Securities</w:t>
              </w:r>
            </w:hyperlink>
          </w:p>
        </w:tc>
        <w:tc>
          <w:tcPr>
            <w:tcW w:w="960" w:type="dxa"/>
            <w:vAlign w:val="bottom"/>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229"/>
        </w:trPr>
        <w:tc>
          <w:tcPr>
            <w:tcW w:w="700" w:type="dxa"/>
            <w:vAlign w:val="bottom"/>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Item</w:t>
              </w:r>
            </w:hyperlink>
          </w:p>
        </w:tc>
        <w:tc>
          <w:tcPr>
            <w:tcW w:w="640" w:type="dxa"/>
            <w:vAlign w:val="bottom"/>
          </w:tcPr>
          <w:p>
            <w:pPr>
              <w:ind w:left="20"/>
              <w:spacing w:after="0"/>
              <w:rPr>
                <w:rFonts w:ascii="Arial" w:cs="Arial" w:eastAsia="Arial" w:hAnsi="Arial"/>
                <w:sz w:val="18"/>
                <w:szCs w:val="18"/>
                <w:color w:val="0000FF"/>
              </w:rPr>
            </w:pPr>
            <w:hyperlink w:anchor="page33">
              <w:r>
                <w:rPr>
                  <w:rFonts w:ascii="Arial" w:cs="Arial" w:eastAsia="Arial" w:hAnsi="Arial"/>
                  <w:sz w:val="18"/>
                  <w:szCs w:val="18"/>
                  <w:color w:val="0000FF"/>
                </w:rPr>
                <w:t>6.</w:t>
              </w:r>
            </w:hyperlink>
          </w:p>
        </w:tc>
        <w:tc>
          <w:tcPr>
            <w:tcW w:w="8920" w:type="dxa"/>
            <w:vAlign w:val="bottom"/>
          </w:tcPr>
          <w:p>
            <w:pPr>
              <w:ind w:left="4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Selected Financial Data</w:t>
              </w:r>
            </w:hyperlink>
          </w:p>
        </w:tc>
        <w:tc>
          <w:tcPr>
            <w:tcW w:w="960" w:type="dxa"/>
            <w:vAlign w:val="bottom"/>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r>
      <w:tr>
        <w:trPr>
          <w:trHeight w:val="230"/>
        </w:trPr>
        <w:tc>
          <w:tcPr>
            <w:tcW w:w="700" w:type="dxa"/>
            <w:vAlign w:val="bottom"/>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Item</w:t>
              </w:r>
            </w:hyperlink>
          </w:p>
        </w:tc>
        <w:tc>
          <w:tcPr>
            <w:tcW w:w="640" w:type="dxa"/>
            <w:vAlign w:val="bottom"/>
          </w:tcPr>
          <w:p>
            <w:pPr>
              <w:ind w:left="20"/>
              <w:spacing w:after="0"/>
              <w:rPr>
                <w:rFonts w:ascii="Arial" w:cs="Arial" w:eastAsia="Arial" w:hAnsi="Arial"/>
                <w:sz w:val="18"/>
                <w:szCs w:val="18"/>
                <w:color w:val="0000FF"/>
              </w:rPr>
            </w:pPr>
            <w:hyperlink w:anchor="page34">
              <w:r>
                <w:rPr>
                  <w:rFonts w:ascii="Arial" w:cs="Arial" w:eastAsia="Arial" w:hAnsi="Arial"/>
                  <w:sz w:val="18"/>
                  <w:szCs w:val="18"/>
                  <w:color w:val="0000FF"/>
                </w:rPr>
                <w:t>7.</w:t>
              </w:r>
            </w:hyperlink>
          </w:p>
        </w:tc>
        <w:tc>
          <w:tcPr>
            <w:tcW w:w="8920" w:type="dxa"/>
            <w:vAlign w:val="bottom"/>
          </w:tcPr>
          <w:p>
            <w:pPr>
              <w:ind w:left="4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Management’s Discussion and Analysis of Financial Condition and Results of Operations</w:t>
              </w:r>
            </w:hyperlink>
          </w:p>
        </w:tc>
        <w:tc>
          <w:tcPr>
            <w:tcW w:w="960" w:type="dxa"/>
            <w:vAlign w:val="bottom"/>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r>
      <w:tr>
        <w:trPr>
          <w:trHeight w:val="229"/>
        </w:trPr>
        <w:tc>
          <w:tcPr>
            <w:tcW w:w="700" w:type="dxa"/>
            <w:vAlign w:val="bottom"/>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Item</w:t>
              </w:r>
            </w:hyperlink>
          </w:p>
        </w:tc>
        <w:tc>
          <w:tcPr>
            <w:tcW w:w="640" w:type="dxa"/>
            <w:vAlign w:val="bottom"/>
          </w:tcPr>
          <w:p>
            <w:pPr>
              <w:ind w:left="20"/>
              <w:spacing w:after="0"/>
              <w:rPr>
                <w:rFonts w:ascii="Arial" w:cs="Arial" w:eastAsia="Arial" w:hAnsi="Arial"/>
                <w:sz w:val="18"/>
                <w:szCs w:val="18"/>
                <w:color w:val="0000FF"/>
              </w:rPr>
            </w:pPr>
            <w:hyperlink w:anchor="page53">
              <w:r>
                <w:rPr>
                  <w:rFonts w:ascii="Arial" w:cs="Arial" w:eastAsia="Arial" w:hAnsi="Arial"/>
                  <w:sz w:val="18"/>
                  <w:szCs w:val="18"/>
                  <w:color w:val="0000FF"/>
                </w:rPr>
                <w:t>7A.</w:t>
              </w:r>
            </w:hyperlink>
          </w:p>
        </w:tc>
        <w:tc>
          <w:tcPr>
            <w:tcW w:w="8920" w:type="dxa"/>
            <w:vAlign w:val="bottom"/>
          </w:tcPr>
          <w:p>
            <w:pPr>
              <w:ind w:left="4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Quantitative and Qualitative Disclosures About Market Risk</w:t>
              </w:r>
            </w:hyperlink>
          </w:p>
        </w:tc>
        <w:tc>
          <w:tcPr>
            <w:tcW w:w="960" w:type="dxa"/>
            <w:vAlign w:val="bottom"/>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51</w:t>
              </w:r>
            </w:hyperlink>
          </w:p>
        </w:tc>
      </w:tr>
      <w:tr>
        <w:trPr>
          <w:trHeight w:val="230"/>
        </w:trPr>
        <w:tc>
          <w:tcPr>
            <w:tcW w:w="700" w:type="dxa"/>
            <w:vAlign w:val="bottom"/>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Item</w:t>
              </w:r>
            </w:hyperlink>
          </w:p>
        </w:tc>
        <w:tc>
          <w:tcPr>
            <w:tcW w:w="640" w:type="dxa"/>
            <w:vAlign w:val="bottom"/>
          </w:tcPr>
          <w:p>
            <w:pPr>
              <w:ind w:left="20"/>
              <w:spacing w:after="0"/>
              <w:rPr>
                <w:rFonts w:ascii="Arial" w:cs="Arial" w:eastAsia="Arial" w:hAnsi="Arial"/>
                <w:sz w:val="18"/>
                <w:szCs w:val="18"/>
                <w:color w:val="0000FF"/>
              </w:rPr>
            </w:pPr>
            <w:hyperlink w:anchor="page54">
              <w:r>
                <w:rPr>
                  <w:rFonts w:ascii="Arial" w:cs="Arial" w:eastAsia="Arial" w:hAnsi="Arial"/>
                  <w:sz w:val="18"/>
                  <w:szCs w:val="18"/>
                  <w:color w:val="0000FF"/>
                </w:rPr>
                <w:t>8.</w:t>
              </w:r>
            </w:hyperlink>
          </w:p>
        </w:tc>
        <w:tc>
          <w:tcPr>
            <w:tcW w:w="8920" w:type="dxa"/>
            <w:vAlign w:val="bottom"/>
          </w:tcPr>
          <w:p>
            <w:pPr>
              <w:ind w:left="4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Financial Statements and Supplementary Data</w:t>
              </w:r>
            </w:hyperlink>
          </w:p>
        </w:tc>
        <w:tc>
          <w:tcPr>
            <w:tcW w:w="960" w:type="dxa"/>
            <w:vAlign w:val="bottom"/>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52</w:t>
              </w:r>
            </w:hyperlink>
          </w:p>
        </w:tc>
      </w:tr>
      <w:tr>
        <w:trPr>
          <w:trHeight w:val="229"/>
        </w:trPr>
        <w:tc>
          <w:tcPr>
            <w:tcW w:w="700" w:type="dxa"/>
            <w:vAlign w:val="bottom"/>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Item</w:t>
              </w:r>
            </w:hyperlink>
          </w:p>
        </w:tc>
        <w:tc>
          <w:tcPr>
            <w:tcW w:w="640" w:type="dxa"/>
            <w:vAlign w:val="bottom"/>
          </w:tcPr>
          <w:p>
            <w:pPr>
              <w:ind w:left="20"/>
              <w:spacing w:after="0"/>
              <w:rPr>
                <w:rFonts w:ascii="Arial" w:cs="Arial" w:eastAsia="Arial" w:hAnsi="Arial"/>
                <w:sz w:val="18"/>
                <w:szCs w:val="18"/>
                <w:color w:val="0000FF"/>
              </w:rPr>
            </w:pPr>
            <w:hyperlink w:anchor="page54">
              <w:r>
                <w:rPr>
                  <w:rFonts w:ascii="Arial" w:cs="Arial" w:eastAsia="Arial" w:hAnsi="Arial"/>
                  <w:sz w:val="18"/>
                  <w:szCs w:val="18"/>
                  <w:color w:val="0000FF"/>
                </w:rPr>
                <w:t>9.</w:t>
              </w:r>
            </w:hyperlink>
          </w:p>
        </w:tc>
        <w:tc>
          <w:tcPr>
            <w:tcW w:w="8920" w:type="dxa"/>
            <w:vAlign w:val="bottom"/>
          </w:tcPr>
          <w:p>
            <w:pPr>
              <w:ind w:left="4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Changes in and Disagreements with Accountants on Accounting and Financial Disclosure</w:t>
              </w:r>
            </w:hyperlink>
          </w:p>
        </w:tc>
        <w:tc>
          <w:tcPr>
            <w:tcW w:w="960" w:type="dxa"/>
            <w:vAlign w:val="bottom"/>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52</w:t>
              </w:r>
            </w:hyperlink>
          </w:p>
        </w:tc>
      </w:tr>
      <w:tr>
        <w:trPr>
          <w:trHeight w:val="229"/>
        </w:trPr>
        <w:tc>
          <w:tcPr>
            <w:tcW w:w="700" w:type="dxa"/>
            <w:vAlign w:val="bottom"/>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Item</w:t>
              </w:r>
            </w:hyperlink>
          </w:p>
        </w:tc>
        <w:tc>
          <w:tcPr>
            <w:tcW w:w="640" w:type="dxa"/>
            <w:vAlign w:val="bottom"/>
          </w:tcPr>
          <w:p>
            <w:pPr>
              <w:ind w:left="20"/>
              <w:spacing w:after="0"/>
              <w:rPr>
                <w:rFonts w:ascii="Arial" w:cs="Arial" w:eastAsia="Arial" w:hAnsi="Arial"/>
                <w:sz w:val="18"/>
                <w:szCs w:val="18"/>
                <w:color w:val="0000FF"/>
              </w:rPr>
            </w:pPr>
            <w:hyperlink w:anchor="page54">
              <w:r>
                <w:rPr>
                  <w:rFonts w:ascii="Arial" w:cs="Arial" w:eastAsia="Arial" w:hAnsi="Arial"/>
                  <w:sz w:val="18"/>
                  <w:szCs w:val="18"/>
                  <w:color w:val="0000FF"/>
                </w:rPr>
                <w:t>9A.</w:t>
              </w:r>
            </w:hyperlink>
          </w:p>
        </w:tc>
        <w:tc>
          <w:tcPr>
            <w:tcW w:w="8920" w:type="dxa"/>
            <w:vAlign w:val="bottom"/>
          </w:tcPr>
          <w:p>
            <w:pPr>
              <w:ind w:left="4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Controls and Procedures</w:t>
              </w:r>
            </w:hyperlink>
          </w:p>
        </w:tc>
        <w:tc>
          <w:tcPr>
            <w:tcW w:w="960" w:type="dxa"/>
            <w:vAlign w:val="bottom"/>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52</w:t>
              </w:r>
            </w:hyperlink>
          </w:p>
        </w:tc>
      </w:tr>
      <w:tr>
        <w:trPr>
          <w:trHeight w:val="230"/>
        </w:trPr>
        <w:tc>
          <w:tcPr>
            <w:tcW w:w="700" w:type="dxa"/>
            <w:vAlign w:val="bottom"/>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Item</w:t>
              </w:r>
            </w:hyperlink>
          </w:p>
        </w:tc>
        <w:tc>
          <w:tcPr>
            <w:tcW w:w="640" w:type="dxa"/>
            <w:vAlign w:val="bottom"/>
          </w:tcPr>
          <w:p>
            <w:pPr>
              <w:ind w:left="20"/>
              <w:spacing w:after="0"/>
              <w:rPr>
                <w:rFonts w:ascii="Arial" w:cs="Arial" w:eastAsia="Arial" w:hAnsi="Arial"/>
                <w:sz w:val="18"/>
                <w:szCs w:val="18"/>
                <w:color w:val="0000FF"/>
              </w:rPr>
            </w:pPr>
            <w:hyperlink w:anchor="page56">
              <w:r>
                <w:rPr>
                  <w:rFonts w:ascii="Arial" w:cs="Arial" w:eastAsia="Arial" w:hAnsi="Arial"/>
                  <w:sz w:val="18"/>
                  <w:szCs w:val="18"/>
                  <w:color w:val="0000FF"/>
                </w:rPr>
                <w:t>9B.</w:t>
              </w:r>
            </w:hyperlink>
          </w:p>
        </w:tc>
        <w:tc>
          <w:tcPr>
            <w:tcW w:w="8920" w:type="dxa"/>
            <w:vAlign w:val="bottom"/>
          </w:tcPr>
          <w:p>
            <w:pPr>
              <w:ind w:left="4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Other Information</w:t>
              </w:r>
            </w:hyperlink>
          </w:p>
        </w:tc>
        <w:tc>
          <w:tcPr>
            <w:tcW w:w="960" w:type="dxa"/>
            <w:vAlign w:val="bottom"/>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55</w:t>
              </w:r>
            </w:hyperlink>
          </w:p>
        </w:tc>
      </w:tr>
      <w:tr>
        <w:trPr>
          <w:trHeight w:val="499"/>
        </w:trPr>
        <w:tc>
          <w:tcPr>
            <w:tcW w:w="1340" w:type="dxa"/>
            <w:vAlign w:val="bottom"/>
            <w:gridSpan w:val="2"/>
          </w:tcPr>
          <w:p>
            <w:pPr>
              <w:ind w:left="20"/>
              <w:spacing w:after="0"/>
              <w:rPr>
                <w:rFonts w:ascii="Arial" w:cs="Arial" w:eastAsia="Arial" w:hAnsi="Arial"/>
                <w:sz w:val="18"/>
                <w:szCs w:val="18"/>
                <w:b w:val="1"/>
                <w:bCs w:val="1"/>
                <w:u w:val="single" w:color="auto"/>
                <w:color w:val="0000FF"/>
              </w:rPr>
            </w:pPr>
            <w:hyperlink w:anchor="page57">
              <w:r>
                <w:rPr>
                  <w:rFonts w:ascii="Arial" w:cs="Arial" w:eastAsia="Arial" w:hAnsi="Arial"/>
                  <w:sz w:val="18"/>
                  <w:szCs w:val="18"/>
                  <w:b w:val="1"/>
                  <w:bCs w:val="1"/>
                  <w:u w:val="single" w:color="auto"/>
                  <w:color w:val="0000FF"/>
                </w:rPr>
                <w:t>PART III</w:t>
              </w:r>
            </w:hyperlink>
          </w:p>
        </w:tc>
        <w:tc>
          <w:tcPr>
            <w:tcW w:w="89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9"/>
        </w:trPr>
        <w:tc>
          <w:tcPr>
            <w:tcW w:w="700" w:type="dxa"/>
            <w:vAlign w:val="bottom"/>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Item</w:t>
              </w:r>
            </w:hyperlink>
          </w:p>
        </w:tc>
        <w:tc>
          <w:tcPr>
            <w:tcW w:w="640" w:type="dxa"/>
            <w:vAlign w:val="bottom"/>
          </w:tcPr>
          <w:p>
            <w:pPr>
              <w:ind w:left="20"/>
              <w:spacing w:after="0"/>
              <w:rPr>
                <w:rFonts w:ascii="Arial" w:cs="Arial" w:eastAsia="Arial" w:hAnsi="Arial"/>
                <w:sz w:val="18"/>
                <w:szCs w:val="18"/>
                <w:color w:val="0000FF"/>
              </w:rPr>
            </w:pPr>
            <w:hyperlink w:anchor="page57">
              <w:r>
                <w:rPr>
                  <w:rFonts w:ascii="Arial" w:cs="Arial" w:eastAsia="Arial" w:hAnsi="Arial"/>
                  <w:sz w:val="18"/>
                  <w:szCs w:val="18"/>
                  <w:color w:val="0000FF"/>
                </w:rPr>
                <w:t>10.</w:t>
              </w:r>
            </w:hyperlink>
          </w:p>
        </w:tc>
        <w:tc>
          <w:tcPr>
            <w:tcW w:w="8920" w:type="dxa"/>
            <w:vAlign w:val="bottom"/>
          </w:tcPr>
          <w:p>
            <w:pPr>
              <w:ind w:left="4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Directors, Executive Officers and Corporate Governance</w:t>
              </w:r>
            </w:hyperlink>
          </w:p>
        </w:tc>
        <w:tc>
          <w:tcPr>
            <w:tcW w:w="960" w:type="dxa"/>
            <w:vAlign w:val="bottom"/>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55</w:t>
              </w:r>
            </w:hyperlink>
          </w:p>
        </w:tc>
      </w:tr>
      <w:tr>
        <w:trPr>
          <w:trHeight w:val="230"/>
        </w:trPr>
        <w:tc>
          <w:tcPr>
            <w:tcW w:w="700" w:type="dxa"/>
            <w:vAlign w:val="bottom"/>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Item</w:t>
              </w:r>
            </w:hyperlink>
          </w:p>
        </w:tc>
        <w:tc>
          <w:tcPr>
            <w:tcW w:w="640" w:type="dxa"/>
            <w:vAlign w:val="bottom"/>
          </w:tcPr>
          <w:p>
            <w:pPr>
              <w:ind w:left="20"/>
              <w:spacing w:after="0"/>
              <w:rPr>
                <w:rFonts w:ascii="Arial" w:cs="Arial" w:eastAsia="Arial" w:hAnsi="Arial"/>
                <w:sz w:val="18"/>
                <w:szCs w:val="18"/>
                <w:color w:val="0000FF"/>
              </w:rPr>
            </w:pPr>
            <w:hyperlink w:anchor="page57">
              <w:r>
                <w:rPr>
                  <w:rFonts w:ascii="Arial" w:cs="Arial" w:eastAsia="Arial" w:hAnsi="Arial"/>
                  <w:sz w:val="18"/>
                  <w:szCs w:val="18"/>
                  <w:color w:val="0000FF"/>
                </w:rPr>
                <w:t>11.</w:t>
              </w:r>
            </w:hyperlink>
          </w:p>
        </w:tc>
        <w:tc>
          <w:tcPr>
            <w:tcW w:w="8920" w:type="dxa"/>
            <w:vAlign w:val="bottom"/>
          </w:tcPr>
          <w:p>
            <w:pPr>
              <w:ind w:left="4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Executive Compensation</w:t>
              </w:r>
            </w:hyperlink>
          </w:p>
        </w:tc>
        <w:tc>
          <w:tcPr>
            <w:tcW w:w="960" w:type="dxa"/>
            <w:vAlign w:val="bottom"/>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55</w:t>
              </w:r>
            </w:hyperlink>
          </w:p>
        </w:tc>
      </w:tr>
      <w:tr>
        <w:trPr>
          <w:trHeight w:val="229"/>
        </w:trPr>
        <w:tc>
          <w:tcPr>
            <w:tcW w:w="700" w:type="dxa"/>
            <w:vAlign w:val="bottom"/>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Item</w:t>
              </w:r>
            </w:hyperlink>
          </w:p>
        </w:tc>
        <w:tc>
          <w:tcPr>
            <w:tcW w:w="640" w:type="dxa"/>
            <w:vAlign w:val="bottom"/>
          </w:tcPr>
          <w:p>
            <w:pPr>
              <w:ind w:left="20"/>
              <w:spacing w:after="0"/>
              <w:rPr>
                <w:rFonts w:ascii="Arial" w:cs="Arial" w:eastAsia="Arial" w:hAnsi="Arial"/>
                <w:sz w:val="18"/>
                <w:szCs w:val="18"/>
                <w:color w:val="0000FF"/>
              </w:rPr>
            </w:pPr>
            <w:hyperlink w:anchor="page57">
              <w:r>
                <w:rPr>
                  <w:rFonts w:ascii="Arial" w:cs="Arial" w:eastAsia="Arial" w:hAnsi="Arial"/>
                  <w:sz w:val="18"/>
                  <w:szCs w:val="18"/>
                  <w:color w:val="0000FF"/>
                </w:rPr>
                <w:t>12.</w:t>
              </w:r>
            </w:hyperlink>
          </w:p>
        </w:tc>
        <w:tc>
          <w:tcPr>
            <w:tcW w:w="8920" w:type="dxa"/>
            <w:vAlign w:val="bottom"/>
          </w:tcPr>
          <w:p>
            <w:pPr>
              <w:ind w:left="4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Security Ownership of Certain Beneficial Owners and Management and Related Stockholder Matters</w:t>
              </w:r>
            </w:hyperlink>
          </w:p>
        </w:tc>
        <w:tc>
          <w:tcPr>
            <w:tcW w:w="960" w:type="dxa"/>
            <w:vAlign w:val="bottom"/>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55</w:t>
              </w:r>
            </w:hyperlink>
          </w:p>
        </w:tc>
      </w:tr>
      <w:tr>
        <w:trPr>
          <w:trHeight w:val="230"/>
        </w:trPr>
        <w:tc>
          <w:tcPr>
            <w:tcW w:w="700" w:type="dxa"/>
            <w:vAlign w:val="bottom"/>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Item</w:t>
              </w:r>
            </w:hyperlink>
          </w:p>
        </w:tc>
        <w:tc>
          <w:tcPr>
            <w:tcW w:w="640" w:type="dxa"/>
            <w:vAlign w:val="bottom"/>
          </w:tcPr>
          <w:p>
            <w:pPr>
              <w:ind w:left="20"/>
              <w:spacing w:after="0"/>
              <w:rPr>
                <w:rFonts w:ascii="Arial" w:cs="Arial" w:eastAsia="Arial" w:hAnsi="Arial"/>
                <w:sz w:val="18"/>
                <w:szCs w:val="18"/>
                <w:color w:val="0000FF"/>
              </w:rPr>
            </w:pPr>
            <w:hyperlink w:anchor="page57">
              <w:r>
                <w:rPr>
                  <w:rFonts w:ascii="Arial" w:cs="Arial" w:eastAsia="Arial" w:hAnsi="Arial"/>
                  <w:sz w:val="18"/>
                  <w:szCs w:val="18"/>
                  <w:color w:val="0000FF"/>
                </w:rPr>
                <w:t>13.</w:t>
              </w:r>
            </w:hyperlink>
          </w:p>
        </w:tc>
        <w:tc>
          <w:tcPr>
            <w:tcW w:w="8920" w:type="dxa"/>
            <w:vAlign w:val="bottom"/>
          </w:tcPr>
          <w:p>
            <w:pPr>
              <w:ind w:left="4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Certain Relationships and Related Transactions, and Director Independence</w:t>
              </w:r>
            </w:hyperlink>
          </w:p>
        </w:tc>
        <w:tc>
          <w:tcPr>
            <w:tcW w:w="960" w:type="dxa"/>
            <w:vAlign w:val="bottom"/>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55</w:t>
              </w:r>
            </w:hyperlink>
          </w:p>
        </w:tc>
      </w:tr>
      <w:tr>
        <w:trPr>
          <w:trHeight w:val="230"/>
        </w:trPr>
        <w:tc>
          <w:tcPr>
            <w:tcW w:w="700" w:type="dxa"/>
            <w:vAlign w:val="bottom"/>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Item</w:t>
              </w:r>
            </w:hyperlink>
          </w:p>
        </w:tc>
        <w:tc>
          <w:tcPr>
            <w:tcW w:w="640" w:type="dxa"/>
            <w:vAlign w:val="bottom"/>
          </w:tcPr>
          <w:p>
            <w:pPr>
              <w:ind w:left="20"/>
              <w:spacing w:after="0"/>
              <w:rPr>
                <w:rFonts w:ascii="Arial" w:cs="Arial" w:eastAsia="Arial" w:hAnsi="Arial"/>
                <w:sz w:val="18"/>
                <w:szCs w:val="18"/>
                <w:color w:val="0000FF"/>
              </w:rPr>
            </w:pPr>
            <w:hyperlink w:anchor="page57">
              <w:r>
                <w:rPr>
                  <w:rFonts w:ascii="Arial" w:cs="Arial" w:eastAsia="Arial" w:hAnsi="Arial"/>
                  <w:sz w:val="18"/>
                  <w:szCs w:val="18"/>
                  <w:color w:val="0000FF"/>
                </w:rPr>
                <w:t>14.</w:t>
              </w:r>
            </w:hyperlink>
          </w:p>
        </w:tc>
        <w:tc>
          <w:tcPr>
            <w:tcW w:w="8920" w:type="dxa"/>
            <w:vAlign w:val="bottom"/>
          </w:tcPr>
          <w:p>
            <w:pPr>
              <w:ind w:left="4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Principal Accounting Fees and Services</w:t>
              </w:r>
            </w:hyperlink>
          </w:p>
        </w:tc>
        <w:tc>
          <w:tcPr>
            <w:tcW w:w="960" w:type="dxa"/>
            <w:vAlign w:val="bottom"/>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55</w:t>
              </w:r>
            </w:hyperlink>
          </w:p>
        </w:tc>
      </w:tr>
      <w:tr>
        <w:trPr>
          <w:trHeight w:val="499"/>
        </w:trPr>
        <w:tc>
          <w:tcPr>
            <w:tcW w:w="1340" w:type="dxa"/>
            <w:vAlign w:val="bottom"/>
            <w:gridSpan w:val="2"/>
          </w:tcPr>
          <w:p>
            <w:pPr>
              <w:ind w:left="20"/>
              <w:spacing w:after="0"/>
              <w:rPr>
                <w:rFonts w:ascii="Arial" w:cs="Arial" w:eastAsia="Arial" w:hAnsi="Arial"/>
                <w:sz w:val="18"/>
                <w:szCs w:val="18"/>
                <w:b w:val="1"/>
                <w:bCs w:val="1"/>
                <w:u w:val="single" w:color="auto"/>
                <w:color w:val="0000FF"/>
              </w:rPr>
            </w:pPr>
            <w:hyperlink w:anchor="page57">
              <w:r>
                <w:rPr>
                  <w:rFonts w:ascii="Arial" w:cs="Arial" w:eastAsia="Arial" w:hAnsi="Arial"/>
                  <w:sz w:val="18"/>
                  <w:szCs w:val="18"/>
                  <w:b w:val="1"/>
                  <w:bCs w:val="1"/>
                  <w:u w:val="single" w:color="auto"/>
                  <w:color w:val="0000FF"/>
                </w:rPr>
                <w:t>PART IV</w:t>
              </w:r>
            </w:hyperlink>
          </w:p>
        </w:tc>
        <w:tc>
          <w:tcPr>
            <w:tcW w:w="89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700" w:type="dxa"/>
            <w:vAlign w:val="bottom"/>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Item</w:t>
              </w:r>
            </w:hyperlink>
          </w:p>
        </w:tc>
        <w:tc>
          <w:tcPr>
            <w:tcW w:w="640" w:type="dxa"/>
            <w:vAlign w:val="bottom"/>
          </w:tcPr>
          <w:p>
            <w:pPr>
              <w:ind w:left="20"/>
              <w:spacing w:after="0"/>
              <w:rPr>
                <w:rFonts w:ascii="Arial" w:cs="Arial" w:eastAsia="Arial" w:hAnsi="Arial"/>
                <w:sz w:val="18"/>
                <w:szCs w:val="18"/>
                <w:color w:val="0000FF"/>
              </w:rPr>
            </w:pPr>
            <w:hyperlink w:anchor="page57">
              <w:r>
                <w:rPr>
                  <w:rFonts w:ascii="Arial" w:cs="Arial" w:eastAsia="Arial" w:hAnsi="Arial"/>
                  <w:sz w:val="18"/>
                  <w:szCs w:val="18"/>
                  <w:color w:val="0000FF"/>
                </w:rPr>
                <w:t>15.</w:t>
              </w:r>
            </w:hyperlink>
          </w:p>
        </w:tc>
        <w:tc>
          <w:tcPr>
            <w:tcW w:w="8920" w:type="dxa"/>
            <w:vAlign w:val="bottom"/>
          </w:tcPr>
          <w:p>
            <w:pPr>
              <w:ind w:left="4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Exhibits and Financial Statement Schedules</w:t>
              </w:r>
            </w:hyperlink>
          </w:p>
        </w:tc>
        <w:tc>
          <w:tcPr>
            <w:tcW w:w="960" w:type="dxa"/>
            <w:vAlign w:val="bottom"/>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55</w:t>
              </w:r>
            </w:hyperlink>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56"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 xml:space="preserve">This Annual Report on Form 10-K of Lifetime Brands, Inc. (the “Company” and, unless the context otherwise requires, references to the “Company” shall include its consolidated subsidiaries) contains “forward-looking statements” within the meaning of Section 27A of the Securities Act of 1933, as amended (the “Securities Act”), and Section 21E of the Securities Exchange Act of 1934, as amended (the “Exchange Act”). These forward-looking statements include information concerning, among other things, the Company’s and its subsidiaries’ plans, objectives, goals, strategies, future events, future revenues, performance, capital expenditures, financing needs and other information that is not historical information. Many of these statements appear, in particular, under the headings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and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included in Item 1 of Part I and Item 7 of Part II, respectively. When used in this Annual Report on Form 10-K, the words “estimates,” “expects,” “anticipates,” “projects,” “plans,” “intends,” “believes,” “may,” “should,” “seeks,” “will,” “potential” and variations of such words or similar expressions are intended to identify forward-looking statements. All forward-looking statements, including, without limitation, the Company’s assessment of historical operating trends and the application of that assessment with regards to future periods, are based upon the Company’s current expectations, projections, various assumptions, intentions and/or beliefs related to future events or occurrences. The Company believes there is a reasonable basis for its expectations and assumptions, but there can be no assurance that the Company will realize its expectations or that the Company’s assumptions will prove correct.</w:t>
      </w:r>
    </w:p>
    <w:p>
      <w:pPr>
        <w:spacing w:after="0" w:line="19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 xml:space="preserve">There are a number of risks and uncertainties that could cause the Company’s actual results to differ materially from the forward-looking statements contained in this Annual Report. Important factors that could cause the Company’s actual results to differ materially from those expressed as forward-looking statements are set forth in this Annual Report, including the risk factors discussed in Part I, Item 1A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The timing of certain events and circumstances and known and unknown risks and uncertainties could cause our actual results or performance to be materially different from those expressed or implied by these forward-looking statements. Accordingly, you should not place undue reliance on these forward-looking statements in deciding whether to invest in our securities.</w:t>
      </w:r>
    </w:p>
    <w:p>
      <w:pPr>
        <w:spacing w:after="0" w:line="216"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These forward-looking statements are based on information available as of the date of this Annual Report on Form 10-K. Except as may be required by law, the Company undertakes no obligation to publicly update or revise forward-looking statements which may be made to reflect events or circumstances after the date made or to reflect the occurrence of unanticipated events.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SUMMARY</w:t>
      </w:r>
    </w:p>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a variety of risks and uncertainties. The following is a summary of the principal risks that we deem material to an investment in our common stock, all of which are more fully described in, and should be read in conjunction with, Item 1A. “Risk Factors” in this Annual Report on Form 10-K.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political risks</w:t>
      </w:r>
    </w:p>
    <w:p>
      <w:pPr>
        <w:spacing w:after="0" w:line="54" w:lineRule="exact"/>
        <w:rPr>
          <w:sz w:val="20"/>
          <w:szCs w:val="20"/>
          <w:color w:val="auto"/>
        </w:rPr>
      </w:pPr>
    </w:p>
    <w:p>
      <w:pPr>
        <w:ind w:left="660" w:right="2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Company’s business may be materially adversely affected by market conditions and by global and economic conditions and other factors beyond its control.</w:t>
      </w:r>
    </w:p>
    <w:p>
      <w:pPr>
        <w:spacing w:after="0" w:line="27" w:lineRule="exact"/>
        <w:rPr>
          <w:rFonts w:ascii="Arial" w:cs="Arial" w:eastAsia="Arial" w:hAnsi="Arial"/>
          <w:sz w:val="22"/>
          <w:szCs w:val="22"/>
          <w:color w:val="auto"/>
        </w:rPr>
      </w:pPr>
    </w:p>
    <w:p>
      <w:pPr>
        <w:jc w:val="both"/>
        <w:ind w:left="660" w:hanging="328"/>
        <w:spacing w:after="0" w:line="25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Company must successfully manage the demand, supply, and operational challenges associated with the actual or perceived effects of the COVID-19 pandemic. Any failure to do so could have a material adverse impact on the Company’s business, financial condition, results of operations, cash flows, and competitive position.</w:t>
      </w: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Company’s U.K. operations and sales may be materially adversely affected by the exit of the U.K. from the European Union.</w:t>
      </w:r>
    </w:p>
    <w:p>
      <w:pPr>
        <w:spacing w:after="0" w:line="26"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Company’s business may be materially adversely affected by the imposition of tariffs and other trade policies implemented by the U.S. and other governments.</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Company's ability to obtain insurance and the terms of any available insurance coverage could be materially adversely affected by macroeconomic and company-specific events, as well as the financial condition of insurers.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risks</w:t>
      </w:r>
    </w:p>
    <w:p>
      <w:pPr>
        <w:spacing w:after="0" w:line="3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Company has substantial indebtedness and the highly seasonal nature of the Company’s business impacts its borrowing needs.</w:t>
      </w:r>
    </w:p>
    <w:p>
      <w:pPr>
        <w:spacing w:after="0" w:line="26"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Company’s failure to meet certain covenants or comply with other requirements of its Debt Agreements (as defined below) may materially and adversely affect the Company’s assets, financial position and cash flows.</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Company’s borrowings are subject to interest rate fluctuations and an increase in interest rates could adversely affect the Company’s financial results.</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Changes in the method for determining LIBOR and the potential replacement of the LIBOR benchmark interest rate could increase the Company's borrowing costs.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82" w:lineRule="exact"/>
        <w:rPr>
          <w:sz w:val="20"/>
          <w:szCs w:val="20"/>
          <w:color w:val="auto"/>
        </w:rPr>
      </w:pPr>
    </w:p>
    <w:p>
      <w:pPr>
        <w:ind w:left="660" w:hanging="328"/>
        <w:spacing w:after="0" w:line="232"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Company’s inability to complete future acquisitions or strategic alliances and/or integrate acquired businesses could have a material adverse effect on the Company’s business and results of operations.</w:t>
      </w:r>
    </w:p>
    <w:p>
      <w:pPr>
        <w:spacing w:after="0" w:line="16"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1"/>
          <w:szCs w:val="21"/>
          <w:color w:val="auto"/>
        </w:rPr>
      </w:pPr>
      <w:r>
        <w:rPr>
          <w:rFonts w:ascii="Arial" w:cs="Arial" w:eastAsia="Arial" w:hAnsi="Arial"/>
          <w:sz w:val="17"/>
          <w:szCs w:val="17"/>
          <w:color w:val="auto"/>
        </w:rPr>
        <w:t>Foreign exchange variability and currency controls could materially adversely affect the Company’s operating results and financial condition.</w:t>
      </w:r>
    </w:p>
    <w:p>
      <w:pPr>
        <w:spacing w:after="0" w:line="10" w:lineRule="exact"/>
        <w:rPr>
          <w:rFonts w:ascii="Arial" w:cs="Arial" w:eastAsia="Arial" w:hAnsi="Arial"/>
          <w:sz w:val="21"/>
          <w:szCs w:val="21"/>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Company’s business requires it to maintain large fixed costs that can affect its profitability.</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Cost reduction efforts may not be successful and restructuring benefits may not be realized.</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If the Company’s goodwill or other long-term assets become impaired, the Company will be required to record impairment charges, which may be significant.</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Company’s projections of product demand, sales and net income are highly subjective in nature and the Company’s future sales and net income could vary materially from the Company’s projections.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Increases in the cost of employee benefits could materially adversely impact the Company’s financial results and cash flows.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There are inherent limitations on the effectiveness of the Company’s controls.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risks</w:t>
      </w:r>
    </w:p>
    <w:p>
      <w:pPr>
        <w:spacing w:after="0" w:line="54" w:lineRule="exact"/>
        <w:rPr>
          <w:sz w:val="20"/>
          <w:szCs w:val="20"/>
          <w:color w:val="auto"/>
        </w:rPr>
      </w:pPr>
    </w:p>
    <w:p>
      <w:pPr>
        <w:ind w:left="660" w:hanging="328"/>
        <w:spacing w:after="0" w:line="23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Company faces intense competition from other companies worldwide and if the Company is unable to compete successfully, the Company’s business, results of operations and financial condition could be materially and adversely affected.</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Changes in the Company’s customer purchasing practices could materially adversely affect the Company’s operating results.</w:t>
      </w:r>
    </w:p>
    <w:p>
      <w:pPr>
        <w:spacing w:after="0" w:line="26"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Changes at the Company’s large customers, or actions taken by them, and consolidation in the retail industry could materially adversely affect the Company’s operating results.</w:t>
      </w:r>
    </w:p>
    <w:p>
      <w:pPr>
        <w:spacing w:after="0" w:line="27" w:lineRule="exact"/>
        <w:rPr>
          <w:rFonts w:ascii="Arial" w:cs="Arial" w:eastAsia="Arial" w:hAnsi="Arial"/>
          <w:sz w:val="22"/>
          <w:szCs w:val="22"/>
          <w:color w:val="auto"/>
        </w:rPr>
      </w:pPr>
    </w:p>
    <w:p>
      <w:pPr>
        <w:ind w:left="660" w:right="20" w:hanging="328"/>
        <w:spacing w:after="0" w:line="249" w:lineRule="auto"/>
        <w:tabs>
          <w:tab w:leader="none" w:pos="655" w:val="left"/>
        </w:tabs>
        <w:numPr>
          <w:ilvl w:val="0"/>
          <w:numId w:val="6"/>
        </w:numPr>
        <w:rPr>
          <w:rFonts w:ascii="Arial" w:cs="Arial" w:eastAsia="Arial" w:hAnsi="Arial"/>
          <w:sz w:val="21"/>
          <w:szCs w:val="21"/>
          <w:color w:val="auto"/>
        </w:rPr>
      </w:pPr>
      <w:r>
        <w:rPr>
          <w:rFonts w:ascii="Arial" w:cs="Arial" w:eastAsia="Arial" w:hAnsi="Arial"/>
          <w:sz w:val="17"/>
          <w:szCs w:val="17"/>
          <w:color w:val="auto"/>
        </w:rPr>
        <w:t>The rapidly changing retail environment could result in the loss of, or a material reduction in, sales to the Company’s brick-and-mortar customers, which could materially adversely affect the Company’s business, results of operations, financial condition and cash flows.</w:t>
      </w:r>
    </w:p>
    <w:p>
      <w:pPr>
        <w:spacing w:after="0" w:line="19" w:lineRule="exact"/>
        <w:rPr>
          <w:rFonts w:ascii="Arial" w:cs="Arial" w:eastAsia="Arial" w:hAnsi="Arial"/>
          <w:sz w:val="21"/>
          <w:szCs w:val="21"/>
          <w:color w:val="auto"/>
        </w:rPr>
      </w:pPr>
    </w:p>
    <w:p>
      <w:pPr>
        <w:ind w:left="660" w:hanging="328"/>
        <w:spacing w:after="0"/>
        <w:tabs>
          <w:tab w:leader="none" w:pos="660" w:val="left"/>
        </w:tabs>
        <w:numPr>
          <w:ilvl w:val="0"/>
          <w:numId w:val="6"/>
        </w:numPr>
        <w:rPr>
          <w:rFonts w:ascii="Arial" w:cs="Arial" w:eastAsia="Arial" w:hAnsi="Arial"/>
          <w:sz w:val="19"/>
          <w:szCs w:val="19"/>
          <w:color w:val="auto"/>
        </w:rPr>
      </w:pPr>
      <w:r>
        <w:rPr>
          <w:rFonts w:ascii="Arial" w:cs="Arial" w:eastAsia="Arial" w:hAnsi="Arial"/>
          <w:sz w:val="16"/>
          <w:szCs w:val="16"/>
          <w:color w:val="auto"/>
        </w:rPr>
        <w:t>If the Company is unable to effectively manage its existing Internet business, the Company's reputation and operating results may be harmed.</w:t>
      </w:r>
    </w:p>
    <w:p>
      <w:pPr>
        <w:spacing w:after="0" w:line="38" w:lineRule="exact"/>
        <w:rPr>
          <w:rFonts w:ascii="Arial" w:cs="Arial" w:eastAsia="Arial" w:hAnsi="Arial"/>
          <w:sz w:val="19"/>
          <w:szCs w:val="19"/>
          <w:color w:val="auto"/>
        </w:rPr>
      </w:pPr>
    </w:p>
    <w:p>
      <w:pPr>
        <w:ind w:left="660" w:right="20" w:hanging="328"/>
        <w:spacing w:after="0" w:line="23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Demand for new products and the inability to develop and introduce new competitive products at favorable profit margins could adversely affect the Company’s performance and prospects for future growth.</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risks</w:t>
      </w:r>
    </w:p>
    <w:p>
      <w:pPr>
        <w:spacing w:after="0" w:line="54" w:lineRule="exact"/>
        <w:rPr>
          <w:sz w:val="20"/>
          <w:szCs w:val="20"/>
          <w:color w:val="auto"/>
        </w:rPr>
      </w:pPr>
    </w:p>
    <w:p>
      <w:pPr>
        <w:ind w:left="660" w:hanging="328"/>
        <w:spacing w:after="0" w:line="232"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International suppliers subject the Company to regional regulatory, man-made or natural disasters, health epidemics, political, economic and foreign currency exchange risk that could materially and adversely affect the Company’s operating results.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Company’s international trade subjects it to transportation risks.</w:t>
      </w:r>
    </w:p>
    <w:p>
      <w:pPr>
        <w:spacing w:after="0" w:line="26"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19"/>
          <w:szCs w:val="19"/>
          <w:color w:val="auto"/>
        </w:rPr>
      </w:pPr>
      <w:r>
        <w:rPr>
          <w:rFonts w:ascii="Arial" w:cs="Arial" w:eastAsia="Arial" w:hAnsi="Arial"/>
          <w:sz w:val="16"/>
          <w:szCs w:val="16"/>
          <w:color w:val="auto"/>
        </w:rPr>
        <w:t>The Company depends on third-party manufacturers to produce the majority of its products, which presents quality control risks to the Company.</w:t>
      </w:r>
    </w:p>
    <w:p>
      <w:pPr>
        <w:spacing w:after="0" w:line="21" w:lineRule="exact"/>
        <w:rPr>
          <w:rFonts w:ascii="Arial" w:cs="Arial" w:eastAsia="Arial" w:hAnsi="Arial"/>
          <w:sz w:val="19"/>
          <w:szCs w:val="19"/>
          <w:color w:val="auto"/>
        </w:rPr>
      </w:pPr>
    </w:p>
    <w:p>
      <w:pPr>
        <w:ind w:left="660" w:hanging="328"/>
        <w:spacing w:after="0" w:line="233"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Company’s product costs are subject to price fluctuation.</w:t>
      </w:r>
    </w:p>
    <w:p>
      <w:pPr>
        <w:spacing w:after="0" w:line="27" w:lineRule="exact"/>
        <w:rPr>
          <w:rFonts w:ascii="Arial" w:cs="Arial" w:eastAsia="Arial" w:hAnsi="Arial"/>
          <w:sz w:val="22"/>
          <w:szCs w:val="22"/>
          <w:color w:val="auto"/>
        </w:rPr>
      </w:pPr>
    </w:p>
    <w:p>
      <w:pPr>
        <w:jc w:val="both"/>
        <w:ind w:left="660" w:hanging="328"/>
        <w:spacing w:after="0" w:line="238"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A widespread outbreak of an illness or other health issue could negatively affect various aspects of the business, including the Company's supply chain, and make it more difficult and expensive to meet the Company's obligations to its customers, and could result in reduced demand from its customers.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risks</w:t>
      </w:r>
    </w:p>
    <w:p>
      <w:pPr>
        <w:spacing w:after="0" w:line="5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9"/>
          <w:szCs w:val="19"/>
          <w:color w:val="auto"/>
        </w:rPr>
      </w:pPr>
      <w:r>
        <w:rPr>
          <w:rFonts w:ascii="Arial" w:cs="Arial" w:eastAsia="Arial" w:hAnsi="Arial"/>
          <w:sz w:val="16"/>
          <w:szCs w:val="16"/>
          <w:color w:val="auto"/>
        </w:rPr>
        <w:t>The loss of certain licenses or material changes in royalty rates could materially adversely affect the Company’s operating margin and cash flow.</w:t>
      </w:r>
    </w:p>
    <w:p>
      <w:pPr>
        <w:spacing w:after="0" w:line="38" w:lineRule="exact"/>
        <w:rPr>
          <w:rFonts w:ascii="Arial" w:cs="Arial" w:eastAsia="Arial" w:hAnsi="Arial"/>
          <w:sz w:val="19"/>
          <w:szCs w:val="19"/>
          <w:color w:val="auto"/>
        </w:rPr>
      </w:pPr>
    </w:p>
    <w:p>
      <w:pPr>
        <w:ind w:left="660" w:hanging="328"/>
        <w:spacing w:after="0" w:line="232"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Company may not be able to adequately establish or protect its intellectual property rights, and the infringement or loss of the Company’s intellectual property rights could harm its business.</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If the Company is unable to protect the confidentiality of its proprietary information and know-how, the value of the Company’s technology, products and services could be harmed significantly.</w:t>
      </w:r>
    </w:p>
    <w:p>
      <w:pPr>
        <w:spacing w:after="0" w:line="27"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19"/>
          <w:szCs w:val="19"/>
          <w:color w:val="auto"/>
        </w:rPr>
      </w:pPr>
      <w:r>
        <w:rPr>
          <w:rFonts w:ascii="Arial" w:cs="Arial" w:eastAsia="Arial" w:hAnsi="Arial"/>
          <w:sz w:val="16"/>
          <w:szCs w:val="16"/>
          <w:color w:val="auto"/>
        </w:rPr>
        <w:t>The Company’s brands are subject to reputational risks and damage to the Company’s brands or reputation could adversely affect its business.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and regulatory risks</w:t>
      </w:r>
    </w:p>
    <w:p>
      <w:pPr>
        <w:spacing w:after="0" w:line="3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Interruptions in the Company’s operations caused by outside forces could cause material losses.</w:t>
      </w:r>
    </w:p>
    <w:p>
      <w:pPr>
        <w:spacing w:after="0" w:line="26"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Company’s international operations present special challenges that the Company may not be able to meet, and this could materially and adversely affect the Company’s financial results.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82" w:lineRule="exact"/>
        <w:rPr>
          <w:sz w:val="20"/>
          <w:szCs w:val="20"/>
          <w:color w:val="auto"/>
        </w:rPr>
      </w:pPr>
    </w:p>
    <w:p>
      <w:pPr>
        <w:ind w:left="66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Company operates in a regulated environment that imposes significant compliance requirements. Non-compliance with these requirements could subject the Company to sanctions and materially adversely affect the Company’s business.</w:t>
      </w:r>
    </w:p>
    <w:p>
      <w:pPr>
        <w:spacing w:after="0" w:line="27"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New and future laws and regulations governing the Internet and e-commerce could have a material adverse effect on the Company’s business, results of operations and financial condition.</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A failure in or compromise of the Company’s operating systems or infrastructure or those of third parties could disrupt the Company’s business and cause losses.</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Company is subject to cyber security and ransomware risks and may incur increasing costs in efforts to minimize those risks and to comply with regulatory standards.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Company sells consumer products which involve an inherent risk of product liability claims.</w:t>
      </w:r>
    </w:p>
    <w:p>
      <w:pPr>
        <w:spacing w:after="0" w:line="26"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Company may incur material costs due to environmental liabilities which could have a material adverse effect on the Company’s business, financial condition and results of operations.</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Company’ executives and other key employees are critical to the Company’s success. The loss of and/or failure to attract and maintain its highly skilled employees could adversely affect the Company’s business.</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As a result of the Company’s acquisition of Filament, Taylor Parent has significant influence over the Company and its interests may conflict with the Company’s or its stockholders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OTHER INFORMATION</w:t>
      </w:r>
    </w:p>
    <w:p>
      <w:pPr>
        <w:spacing w:after="0" w:line="33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The Company is required to file its Annual Reports on Forms 10-K, Quarterly Reports on Forms 10-Q, Current Reports on Form 8-K, and other reports and documents as required from time to time with the United States Securities and Exchange Commission (the “SEC”). The Company also maintains a website at </w:t>
      </w:r>
      <w:r>
        <w:rPr>
          <w:rFonts w:ascii="Arial" w:cs="Arial" w:eastAsia="Arial" w:hAnsi="Arial"/>
          <w:sz w:val="17"/>
          <w:szCs w:val="17"/>
          <w:i w:val="1"/>
          <w:iCs w:val="1"/>
          <w:u w:val="single" w:color="auto"/>
          <w:color w:val="auto"/>
        </w:rPr>
        <w:t>http://www.lifetimebrands.com</w:t>
      </w:r>
      <w:r>
        <w:rPr>
          <w:rFonts w:ascii="Arial" w:cs="Arial" w:eastAsia="Arial" w:hAnsi="Arial"/>
          <w:sz w:val="17"/>
          <w:szCs w:val="17"/>
          <w:i w:val="1"/>
          <w:iCs w:val="1"/>
          <w:color w:val="auto"/>
        </w:rPr>
        <w:t>.</w:t>
      </w:r>
      <w:r>
        <w:rPr>
          <w:rFonts w:ascii="Arial" w:cs="Arial" w:eastAsia="Arial" w:hAnsi="Arial"/>
          <w:sz w:val="17"/>
          <w:szCs w:val="17"/>
          <w:color w:val="auto"/>
        </w:rPr>
        <w:t xml:space="preserve"> Information contained on this website is not a part of or incorporated by reference into this Annual Report. The Company makes available on its website the Company’s Annual Report on Form 10-K, Quarterly Reports on Form 10-Q, Current Reports on Form 8-K and amendments to these reports as soon as reasonably practicable after these reports are filed with or furnished to the SEC. Users can access these reports free of charge on the Company’s website. The SEC also maintains an Internet site that contains reports, proxy and information statements, and other information regarding the Company’s electronic filings with the SEC at </w:t>
      </w:r>
      <w:r>
        <w:rPr>
          <w:rFonts w:ascii="Arial" w:cs="Arial" w:eastAsia="Arial" w:hAnsi="Arial"/>
          <w:sz w:val="17"/>
          <w:szCs w:val="17"/>
          <w:i w:val="1"/>
          <w:iCs w:val="1"/>
          <w:u w:val="single" w:color="auto"/>
          <w:color w:val="auto"/>
        </w:rPr>
        <w:t>http://www.sec.gov</w:t>
      </w:r>
      <w:r>
        <w:rPr>
          <w:rFonts w:ascii="Arial" w:cs="Arial" w:eastAsia="Arial" w:hAnsi="Arial"/>
          <w:sz w:val="17"/>
          <w:szCs w:val="17"/>
          <w:i w:val="1"/>
          <w:iCs w:val="1"/>
          <w:color w:val="auto"/>
        </w:rPr>
        <w:t>.</w:t>
      </w:r>
    </w:p>
    <w:p>
      <w:pPr>
        <w:spacing w:after="0" w:line="31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intends to use its website as a means of disclosing material non-public information and for complying with its disclosure obligations under Regulation FD. Such disclosures will be included on the Company’s website in the ‘Investor Relations’ section. Accordingly, investors should monitor such portion of the Company's website, in addition to following the Company's press releases, SEC filings and public conference calls and webcasts.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designs, sources and sells branded kitchenware, tableware and other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consumers purchasing moderately priced kitchenware, tableware and housewares, are sold through virtually every major level of trade. The Company generally markets several lines within each of its product categories under more than one brand. The Company sells its products directly to retailers (who may resell the Company’s products through their websites) and, to a lesser extent, to distributors. The Company also sells a limited selection of its products directly to consumers through its own websites.</w:t>
      </w:r>
    </w:p>
    <w:p>
      <w:pPr>
        <w:spacing w:after="0" w:line="16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Company’s product categories include two categories of products used to prepare, serve and consume foods, Kitchenware (kitchen tools and gadgets,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continually evaluates opportunities to expand the reach of its brands and to invest in other companies, both foreign and domestic, that own or license complementary brands. In March 2018, pursuant to a merger agreement, the Company completed the acquisition of Taylor Holdco LLC and its subsidiaries (dba Filament Brands, and which the Company refers to as “Filament”). Filament primarily designs, markets and distributes consumer and food service precision measurement products (including kitchen scales, thermometers and timers), bath scales, wine accessories, kitchen tools, and hydration products, and select outdoor products to major retailers in the United States, Canada and select distributors throughout Europe and Asia. Filament distributes products under the Taylor, Salter, Springfield, HoMedics, Rabbit, Houdini, Metrokane, Mako, EatSmart, TravelWise, Chef’n, Vibe, d.stil, RBT and private label brand names. Pursuant to the acquisition of Filament, the Company issued approximately 27% of its then-outstanding shares to Taylor Parent, LLC (“Taylor Parent”), and entered into a stockholders agreement (the “Stockholders Agreement”) with Taylor Parent, pursuant to which Taylor Parent has the right to: (i) designate up to two persons for nomination for election or appointment to the Company’s Board of Directors, for so long as Taylor Parent beneficially owns at least 20% of the outstanding common stock of the Company on a fully diluted basis and (ii) designate one person for nomination for election or appointment to the Company’s Board of Directors, for so long as Taylor Parent beneficially owns more than 10% of the outstanding common stock of the Company on a fully diluted basis. The other rights granted to Taylor Parent under the Stockholders Agreement are discussed in greater detail under Item 1A, “Risk Factors”, below.</w:t>
      </w:r>
    </w:p>
    <w:p>
      <w:pPr>
        <w:spacing w:after="0" w:line="186"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The Company has a presence in international markets through subsidiaries and affiliate companies that are based outside of the United States. Lifetime Brands Europe Limited is a wholly-owned subsidiary trading as Kitchen Craft. Kitchen Craft is a leading supplier of kitchenware and tableware products and accessories in the United Kingdom (“U.K.”) and in over 80 other countries. In 2020, the Company completed its consolidation efforts of Lifetime Brands Europe Limited to create operational efficiencies. As a result, Lifetime Brands Europe Limited’s brand development and design teams, administrative teams, and distribution combined and operated out of one state of the art facility in Aston, England.</w:t>
      </w:r>
    </w:p>
    <w:p>
      <w:pPr>
        <w:spacing w:after="0" w:line="1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also has a subsidiary in the People’s Republic of China (“China”) to supply kitchenware and tableware products to the Chinese market and a subsidiary based in Hong Kong to facilitate the sale of its products to other parts of Asia and smaller markets elsewhere in the world. The Company has a presence in Mexico and other parts of Latin America (excluding Brazil) through its 30% equity interest in Grupo Vasconia, S.A.B. (“Vasconia”), a housewares company and aluminum manufacturer based in Mexico, and a strategic alliance with a Canadian company to distribute many of the Company’s products in Canada.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 Delaware corporation, incorporated on December 22, 1983.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top brands and their respective product categories as of December 31, 2020 are: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20" w:type="dxa"/>
            <w:vAlign w:val="bottom"/>
            <w:gridSpan w:val="3"/>
          </w:tcPr>
          <w:p>
            <w:pPr>
              <w:spacing w:after="0"/>
              <w:rPr>
                <w:sz w:val="20"/>
                <w:szCs w:val="20"/>
                <w:color w:val="auto"/>
              </w:rPr>
            </w:pPr>
            <w:r>
              <w:rPr>
                <w:rFonts w:ascii="Arial" w:cs="Arial" w:eastAsia="Arial" w:hAnsi="Arial"/>
                <w:sz w:val="14"/>
                <w:szCs w:val="14"/>
                <w:b w:val="1"/>
                <w:bCs w:val="1"/>
                <w:color w:val="auto"/>
              </w:rPr>
              <w:t>Brand</w:t>
            </w: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Licensed/Owned</w:t>
            </w:r>
          </w:p>
        </w:tc>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Product Category</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360" w:type="dxa"/>
            <w:vAlign w:val="bottom"/>
            <w:tcBorders>
              <w:bottom w:val="single" w:sz="8" w:color="auto"/>
            </w:tcBorders>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Farberware®</w:t>
            </w:r>
          </w:p>
        </w:tc>
        <w:tc>
          <w:tcPr>
            <w:tcW w:w="100" w:type="dxa"/>
            <w:vAlign w:val="bottom"/>
          </w:tcPr>
          <w:p>
            <w:pPr>
              <w:spacing w:after="0"/>
              <w:rPr>
                <w:sz w:val="19"/>
                <w:szCs w:val="19"/>
                <w:color w:val="auto"/>
              </w:rPr>
            </w:pPr>
          </w:p>
        </w:tc>
        <w:tc>
          <w:tcPr>
            <w:tcW w:w="1300" w:type="dxa"/>
            <w:vAlign w:val="bottom"/>
          </w:tcPr>
          <w:p>
            <w:pPr>
              <w:ind w:left="20"/>
              <w:spacing w:after="0" w:line="222" w:lineRule="exact"/>
              <w:rPr>
                <w:sz w:val="20"/>
                <w:szCs w:val="20"/>
                <w:color w:val="auto"/>
              </w:rPr>
            </w:pPr>
            <w:r>
              <w:rPr>
                <w:rFonts w:ascii="Arial" w:cs="Arial" w:eastAsia="Arial" w:hAnsi="Arial"/>
                <w:sz w:val="18"/>
                <w:szCs w:val="18"/>
                <w:color w:val="auto"/>
              </w:rPr>
              <w:t xml:space="preserve">Licensed </w:t>
            </w:r>
            <w:r>
              <w:rPr>
                <w:rFonts w:ascii="Arial" w:cs="Arial" w:eastAsia="Arial" w:hAnsi="Arial"/>
                <w:sz w:val="23"/>
                <w:szCs w:val="23"/>
                <w:color w:val="auto"/>
                <w:vertAlign w:val="superscript"/>
              </w:rPr>
              <w:t>(1)</w:t>
            </w:r>
          </w:p>
        </w:tc>
        <w:tc>
          <w:tcPr>
            <w:tcW w:w="10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Kitchenware</w:t>
            </w:r>
          </w:p>
        </w:tc>
      </w:tr>
      <w:tr>
        <w:trPr>
          <w:trHeight w:val="230"/>
        </w:trPr>
        <w:tc>
          <w:tcPr>
            <w:tcW w:w="2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rPr>
              <w:t>Mikasa®</w:t>
            </w: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Owned</w:t>
            </w:r>
          </w:p>
        </w:tc>
        <w:tc>
          <w:tcPr>
            <w:tcW w:w="7360" w:type="dxa"/>
            <w:vAlign w:val="bottom"/>
          </w:tcPr>
          <w:p>
            <w:pPr>
              <w:ind w:left="20"/>
              <w:spacing w:after="0"/>
              <w:rPr>
                <w:sz w:val="20"/>
                <w:szCs w:val="20"/>
                <w:color w:val="auto"/>
              </w:rPr>
            </w:pPr>
            <w:r>
              <w:rPr>
                <w:rFonts w:ascii="Arial" w:cs="Arial" w:eastAsia="Arial" w:hAnsi="Arial"/>
                <w:sz w:val="18"/>
                <w:szCs w:val="18"/>
                <w:color w:val="auto"/>
              </w:rPr>
              <w:t>Tableware and Home Solutions</w:t>
            </w:r>
          </w:p>
        </w:tc>
      </w:tr>
      <w:tr>
        <w:trPr>
          <w:trHeight w:val="229"/>
        </w:trPr>
        <w:tc>
          <w:tcPr>
            <w:tcW w:w="2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rPr>
              <w:t>Taylor®</w:t>
            </w: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Owned</w:t>
            </w:r>
          </w:p>
        </w:tc>
        <w:tc>
          <w:tcPr>
            <w:tcW w:w="7360" w:type="dxa"/>
            <w:vAlign w:val="bottom"/>
          </w:tcPr>
          <w:p>
            <w:pPr>
              <w:ind w:left="20"/>
              <w:spacing w:after="0"/>
              <w:rPr>
                <w:sz w:val="20"/>
                <w:szCs w:val="20"/>
                <w:color w:val="auto"/>
              </w:rPr>
            </w:pPr>
            <w:r>
              <w:rPr>
                <w:rFonts w:ascii="Arial" w:cs="Arial" w:eastAsia="Arial" w:hAnsi="Arial"/>
                <w:sz w:val="18"/>
                <w:szCs w:val="18"/>
                <w:color w:val="auto"/>
              </w:rPr>
              <w:t>Kitchenware and Home Solutions</w:t>
            </w:r>
          </w:p>
        </w:tc>
      </w:tr>
      <w:tr>
        <w:trPr>
          <w:trHeight w:val="229"/>
        </w:trPr>
        <w:tc>
          <w:tcPr>
            <w:tcW w:w="2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rPr>
              <w:t>KitchenAid®</w:t>
            </w: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Licensed</w:t>
            </w:r>
          </w:p>
        </w:tc>
        <w:tc>
          <w:tcPr>
            <w:tcW w:w="7360" w:type="dxa"/>
            <w:vAlign w:val="bottom"/>
          </w:tcPr>
          <w:p>
            <w:pPr>
              <w:ind w:left="20"/>
              <w:spacing w:after="0"/>
              <w:rPr>
                <w:sz w:val="20"/>
                <w:szCs w:val="20"/>
                <w:color w:val="auto"/>
              </w:rPr>
            </w:pPr>
            <w:r>
              <w:rPr>
                <w:rFonts w:ascii="Arial" w:cs="Arial" w:eastAsia="Arial" w:hAnsi="Arial"/>
                <w:sz w:val="18"/>
                <w:szCs w:val="18"/>
                <w:color w:val="auto"/>
              </w:rPr>
              <w:t>Kitchenware</w:t>
            </w:r>
          </w:p>
        </w:tc>
      </w:tr>
      <w:tr>
        <w:trPr>
          <w:trHeight w:val="230"/>
        </w:trPr>
        <w:tc>
          <w:tcPr>
            <w:tcW w:w="2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rPr>
              <w:t>KitchenCraft®</w:t>
            </w: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Owned</w:t>
            </w:r>
          </w:p>
        </w:tc>
        <w:tc>
          <w:tcPr>
            <w:tcW w:w="7360" w:type="dxa"/>
            <w:vAlign w:val="bottom"/>
          </w:tcPr>
          <w:p>
            <w:pPr>
              <w:ind w:left="20"/>
              <w:spacing w:after="0"/>
              <w:rPr>
                <w:sz w:val="20"/>
                <w:szCs w:val="20"/>
                <w:color w:val="auto"/>
              </w:rPr>
            </w:pPr>
            <w:r>
              <w:rPr>
                <w:rFonts w:ascii="Arial" w:cs="Arial" w:eastAsia="Arial" w:hAnsi="Arial"/>
                <w:sz w:val="18"/>
                <w:szCs w:val="18"/>
                <w:color w:val="auto"/>
              </w:rPr>
              <w:t>Kitchenware</w:t>
            </w:r>
          </w:p>
        </w:tc>
      </w:tr>
      <w:tr>
        <w:trPr>
          <w:trHeight w:val="229"/>
        </w:trPr>
        <w:tc>
          <w:tcPr>
            <w:tcW w:w="2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rPr>
              <w:t>Pfaltzgraff®</w:t>
            </w: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Owned</w:t>
            </w:r>
          </w:p>
        </w:tc>
        <w:tc>
          <w:tcPr>
            <w:tcW w:w="7360" w:type="dxa"/>
            <w:vAlign w:val="bottom"/>
          </w:tcPr>
          <w:p>
            <w:pPr>
              <w:ind w:left="20"/>
              <w:spacing w:after="0"/>
              <w:rPr>
                <w:sz w:val="20"/>
                <w:szCs w:val="20"/>
                <w:color w:val="auto"/>
              </w:rPr>
            </w:pPr>
            <w:r>
              <w:rPr>
                <w:rFonts w:ascii="Arial" w:cs="Arial" w:eastAsia="Arial" w:hAnsi="Arial"/>
                <w:sz w:val="18"/>
                <w:szCs w:val="18"/>
                <w:color w:val="auto"/>
              </w:rPr>
              <w:t>Kitchenware, Tableware and Home Solutions</w:t>
            </w:r>
          </w:p>
        </w:tc>
      </w:tr>
      <w:tr>
        <w:trPr>
          <w:trHeight w:val="230"/>
        </w:trPr>
        <w:tc>
          <w:tcPr>
            <w:tcW w:w="2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rPr>
              <w:t>BUILT NY®</w:t>
            </w: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Owned</w:t>
            </w:r>
          </w:p>
        </w:tc>
        <w:tc>
          <w:tcPr>
            <w:tcW w:w="7360" w:type="dxa"/>
            <w:vAlign w:val="bottom"/>
          </w:tcPr>
          <w:p>
            <w:pPr>
              <w:ind w:left="20"/>
              <w:spacing w:after="0"/>
              <w:rPr>
                <w:sz w:val="20"/>
                <w:szCs w:val="20"/>
                <w:color w:val="auto"/>
              </w:rPr>
            </w:pPr>
            <w:r>
              <w:rPr>
                <w:rFonts w:ascii="Arial" w:cs="Arial" w:eastAsia="Arial" w:hAnsi="Arial"/>
                <w:sz w:val="18"/>
                <w:szCs w:val="18"/>
                <w:color w:val="auto"/>
              </w:rPr>
              <w:t>Home Solutions</w:t>
            </w:r>
          </w:p>
        </w:tc>
      </w:tr>
      <w:tr>
        <w:trPr>
          <w:trHeight w:val="229"/>
        </w:trPr>
        <w:tc>
          <w:tcPr>
            <w:tcW w:w="2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rPr>
              <w:t>Rabbit®</w:t>
            </w: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Owned</w:t>
            </w:r>
          </w:p>
        </w:tc>
        <w:tc>
          <w:tcPr>
            <w:tcW w:w="7360" w:type="dxa"/>
            <w:vAlign w:val="bottom"/>
          </w:tcPr>
          <w:p>
            <w:pPr>
              <w:ind w:left="20"/>
              <w:spacing w:after="0"/>
              <w:rPr>
                <w:sz w:val="20"/>
                <w:szCs w:val="20"/>
                <w:color w:val="auto"/>
              </w:rPr>
            </w:pPr>
            <w:r>
              <w:rPr>
                <w:rFonts w:ascii="Arial" w:cs="Arial" w:eastAsia="Arial" w:hAnsi="Arial"/>
                <w:sz w:val="18"/>
                <w:szCs w:val="18"/>
                <w:color w:val="auto"/>
              </w:rPr>
              <w:t>Kitchenware</w:t>
            </w:r>
          </w:p>
        </w:tc>
      </w:tr>
      <w:tr>
        <w:trPr>
          <w:trHeight w:val="229"/>
        </w:trPr>
        <w:tc>
          <w:tcPr>
            <w:tcW w:w="2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rPr>
              <w:t>Kamenstein®</w:t>
            </w: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Owned</w:t>
            </w:r>
          </w:p>
        </w:tc>
        <w:tc>
          <w:tcPr>
            <w:tcW w:w="7360" w:type="dxa"/>
            <w:vAlign w:val="bottom"/>
          </w:tcPr>
          <w:p>
            <w:pPr>
              <w:ind w:left="20"/>
              <w:spacing w:after="0"/>
              <w:rPr>
                <w:sz w:val="20"/>
                <w:szCs w:val="20"/>
                <w:color w:val="auto"/>
              </w:rPr>
            </w:pPr>
            <w:r>
              <w:rPr>
                <w:rFonts w:ascii="Arial" w:cs="Arial" w:eastAsia="Arial" w:hAnsi="Arial"/>
                <w:sz w:val="18"/>
                <w:szCs w:val="18"/>
                <w:color w:val="auto"/>
              </w:rPr>
              <w:t>Kitchenware</w:t>
            </w:r>
          </w:p>
        </w:tc>
      </w:tr>
      <w:tr>
        <w:trPr>
          <w:trHeight w:val="230"/>
        </w:trPr>
        <w:tc>
          <w:tcPr>
            <w:tcW w:w="20" w:type="dxa"/>
            <w:vAlign w:val="bottom"/>
          </w:tcPr>
          <w:p>
            <w:pPr>
              <w:spacing w:after="0"/>
              <w:rPr>
                <w:sz w:val="20"/>
                <w:szCs w:val="20"/>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rPr>
              <w:t>MasterClass®</w:t>
            </w: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Owned</w:t>
            </w:r>
          </w:p>
        </w:tc>
        <w:tc>
          <w:tcPr>
            <w:tcW w:w="7360" w:type="dxa"/>
            <w:vAlign w:val="bottom"/>
          </w:tcPr>
          <w:p>
            <w:pPr>
              <w:ind w:left="20"/>
              <w:spacing w:after="0"/>
              <w:rPr>
                <w:sz w:val="20"/>
                <w:szCs w:val="20"/>
                <w:color w:val="auto"/>
              </w:rPr>
            </w:pPr>
            <w:r>
              <w:rPr>
                <w:rFonts w:ascii="Arial" w:cs="Arial" w:eastAsia="Arial" w:hAnsi="Arial"/>
                <w:sz w:val="18"/>
                <w:szCs w:val="18"/>
                <w:color w:val="auto"/>
              </w:rPr>
              <w:t>Kitchenware</w:t>
            </w:r>
          </w:p>
        </w:tc>
      </w:tr>
    </w:tbl>
    <w:p>
      <w:pPr>
        <w:spacing w:after="0" w:line="94" w:lineRule="exact"/>
        <w:rPr>
          <w:sz w:val="20"/>
          <w:szCs w:val="20"/>
          <w:color w:val="auto"/>
        </w:rPr>
      </w:pPr>
    </w:p>
    <w:p>
      <w:pPr>
        <w:ind w:left="500" w:right="380" w:hanging="492"/>
        <w:spacing w:after="0" w:line="227" w:lineRule="auto"/>
        <w:tabs>
          <w:tab w:leader="none" w:pos="48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The Company has a royalty free license to utilize the Farberware</w:t>
      </w:r>
      <w:r>
        <w:rPr>
          <w:rFonts w:ascii="Arial" w:cs="Arial" w:eastAsia="Arial" w:hAnsi="Arial"/>
          <w:sz w:val="16"/>
          <w:szCs w:val="16"/>
          <w:color w:val="auto"/>
        </w:rPr>
        <w:t>®</w:t>
      </w:r>
      <w:r>
        <w:rPr>
          <w:rFonts w:ascii="Arial" w:cs="Arial" w:eastAsia="Arial" w:hAnsi="Arial"/>
          <w:sz w:val="18"/>
          <w:szCs w:val="18"/>
          <w:color w:val="auto"/>
        </w:rPr>
        <w:t xml:space="preserve"> brand, primarily for its kitchenware products, for a term that expires in 2195, subject to earlier termination under certain circumstances.</w:t>
      </w:r>
    </w:p>
    <w:p>
      <w:pPr>
        <w:spacing w:after="0" w:line="20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With the exception of the Company’s sterling silver products, the Company sources almost all of its products from suppliers located outside the United States, primarily in China. The Company manufactures its sterling silver products at a leased facility in San Germán, Puerto Rico and fills canisters with spices and assembles spice racks at its owned distribution facility in Winchendon, Massachusetts.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has two reportable operating segments, U.S. and International. The U.S. segment includes the domestic operations of the Company’s business that design, market and distribute its products to retailers, distributors and directly to consumers through retail websites. The International segment consists of certain business operations conducted outside the U.S.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 information regarding the Company’s reportable segments is included in NOTE 13 — BUSINESS SEGMENTS of the Notes to the consolidated financial statements included in Item 15.</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Company’s wholesale customers include mass market merchants, specialty stores, commercial stores, department stores, warehouse clubs, grocery stores, off-price retailers, food service distributors, pharmacies, food and beverage outlets and e-commerce.</w:t>
      </w:r>
    </w:p>
    <w:p>
      <w:pPr>
        <w:spacing w:after="0" w:line="17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Company’s products are sold globally to a diverse customer base including mass market merchants (such as Walmart and Target), specialty stores (such as Bed Bath &amp; Beyond and Dunelm), commercial stores (such as Williams Sonoma and Kohl’s), department stores (such as Macy’s, Belk and John Lewis), warehouse clubs (such as Costco, Sam’s Club and BJs), grocery stores (such as Publix, Kroger, HEB, Meijer, Winn-Dixie, Tesco, Waitrose and Sainsbury’s), off-price retailers (such as TJX Companies, Ross Stores and Big Lots), food service distributors (such as US Foods, Clark Food Service and Jetro), food and beverage outlets (such as Starbucks) and e-commerce (such as Amazon). The Company also does business with independent retailers, including through business-to-business websites aimed at independent retailers.</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also operates its own consumer websites that provide information about the Company’s products and offer consumers the opportunity to purchase a limited selection of the Company’s products directly.</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years ended December 31, 2020, 2019 and 2018, Wal-Mart Stores, Inc., including Sam’s Club and, in the U.K., Asda Superstore, (“Walmart”), accounted for 20%, 16% and 14% of consolidated net sales, respectively. During the years ended December 31, 2020 and 2019, sales to Costco Wholesale Corporation (“Costco”) accounted for 11% of consolidated net sales. During the year ended December 31, 2020, Amazon.com Inc., (“Amazon”), accounted for 10% of consolidated net sales. Sales to Walmart, Costco and Amazon are included in the Company's U.S. and International segments. No other customers accounted for 10% or more of the Company’s sales during these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12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The Company sells its products directly to retailers and, to a lesser extent, to distributors. The Company also sells a limited quantity of the Company’s products to individual consumers and smaller retailers through its own websites. The Company operates distribution facilities at the following locations:</w:t>
      </w: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10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p>
        </w:tc>
        <w:tc>
          <w:tcPr>
            <w:tcW w:w="980" w:type="dxa"/>
            <w:vAlign w:val="bottom"/>
            <w:gridSpan w:val="2"/>
          </w:tcPr>
          <w:p>
            <w:pPr>
              <w:jc w:val="right"/>
              <w:ind w:right="500"/>
              <w:spacing w:after="0" w:line="145" w:lineRule="exact"/>
              <w:rPr>
                <w:sz w:val="20"/>
                <w:szCs w:val="20"/>
                <w:color w:val="auto"/>
              </w:rPr>
            </w:pPr>
            <w:r>
              <w:rPr>
                <w:rFonts w:ascii="Arial" w:cs="Arial" w:eastAsia="Arial" w:hAnsi="Arial"/>
                <w:sz w:val="14"/>
                <w:szCs w:val="14"/>
                <w:b w:val="1"/>
                <w:bCs w:val="1"/>
                <w:color w:val="auto"/>
              </w:rPr>
              <w:t>Size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gridSpan w:val="2"/>
            <w:vMerge w:val="continue"/>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8"/>
              </w:rPr>
              <w:t>(square feet)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Rialto, California</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703,000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Robbinsville, New Jersey</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Aston, England</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Winchendon, Massachusetts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 Cruces, New Mexico</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Medford, Massachusetts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Company uses third-party operated distribution facilities to supplement its distribution capacity.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Company’s sales and marketing staff coordinates directly with its wholesale customers to devise marketing strategies and merchandising concepts and to furnish advice on advertising and product promotion. The Company has developed many promotional programs for use in the ordinary course of business to promote sales throughout the year.</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Company’s sales and marketing efforts are supported from its principal office and showroom in Garden City, New York, as well as showrooms in New York, New York; Medford, Massachusetts; Atlanta, Georgia; Bentonville, Arkansas; Issaquah, Washington; Pawtucket, Rhode Island; Menomonee Falls, Wisconsin; Aston, England; and Hong Kong.</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generally collaborates with its largest wholesale customers and in many instances produces specific versions of the Company’s product lines with exclusive designs and/or packaging for them.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AND INNOVATION</w:t>
      </w:r>
    </w:p>
    <w:p>
      <w:pPr>
        <w:spacing w:after="0" w:line="12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At the heart of the Company is a culture of innovation and new product development. The Company’s global in-house design and development teams currently consist of approximately 100 professional designers, artists and engineers. Utilizing the latest available design tools, technology and materials, these teams create new products, redesign existing products and create packaging and merchandising concepts.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SUPPLY</w:t>
      </w:r>
    </w:p>
    <w:p>
      <w:pPr>
        <w:spacing w:after="0" w:line="12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Company sources its products from hundreds of suppliers, almost all of which are located outside the United States (other than the suppliers for the Company’s sterling silver products). Most of the Company’s suppliers are located in China. The Company also sources products from suppliers across various countries including, Hong Kong, Taiwan, Japan, South Korea, Vietnam, Malaysia, Thailand, India, the United States, Canada, Mexico, the U.K., Italy, France, Portugal, Poland, Sweden, Turkey, Netherlands, Denmark, Belgium, Germany, Czech Republic, Slovakia, Cambodia, Indonesia and Australia. The Company orders products significantly in advance of the anticipated time of their sale by the Company. The Company does not have any formal long-term arrangements with any of its suppliers and its arrangements with most manufacturers allow for flexibility in modifying the quantity, composition and delivery dates of orders.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contracts with third parties to manufacture the vast majority of its products.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manufactures its sterling silver products at a leased manufacturing facility in San Germán, Puerto Rico and fills jars and other containers with spices and assembles spice racks at an owned facility in Winchendon, Massachusetts.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markets for kitchenware, tableware and other products used in the home including home décor products are highly competitive and include numerous domestic and foreign competitors, some of which are larger than the Company. The primary competitive factors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selling such products are innovative products, brand, quality, aesthetic appeal to consumers, packaging, breadth of product line, distribution capability and selling price.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LICENSES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owns approximately 800 design and utility patents. The Company does not believe that the expiration of any of its patents would have a material adverse effect on either of the Company’s segments.</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holds certain rights to use the Farberware brand for kitchen tools and gadgets, cutlery, cutting boards, shears and certain other products which together represent a material portion of its sales, through a fully-paid, royalty-free license for a term that expires in 2195, subject to earlier termination under certain circumstances. The Company also holds a license to use the KitchenAid brand subject to a license agreement that will expire in December 2022. The Company originally entered into a licensing arrangement for use of the KitchenAid brand in 2000, and has renewed the license, typically for three-year periods, since that time.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aspires to hire and retain the best and brightest employees. At December 31, 2020, the Company had approximately 1,350 full-time employees, of whom 150 were located in Asia, 280 were located in Europe and 920 were located in the United States and Puerto Rico. The Company also hires seasonal workers at its distribution centers through temporary staffing agencies. None of the Company’s employees are represented by a labor union or subject to collective bargaining agreements, except as required by local law.</w:t>
      </w:r>
    </w:p>
    <w:p>
      <w:pPr>
        <w:spacing w:after="0" w:line="18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believes in the importance of the retention, growth and development of our employees. We believe we offer competitive compensation and benefits packages to our employees. Further, we offer professional development opportunities to cultivate talent throughout the Company. We are focused on employee health and safety initiatives and have implemented protocols during the COVID-19 pandemic to enhance workplace safety. The Company also values diversity and inclusion and is striving to create a more diverse workforce and inclusive community.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its affiliates are subject to significant regulation by various governmental, regulatory and other administrative authorities.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a manufacturer and distributor of consumer products, the Company is subject to the Consumer Products Safety Act in the United States and the Consumer Protection Act in the U.K. Additionally, laws regulating certain consumer products exist in some cities and states, as well as in other countries in which the Company or its subsidiaries and affiliates sell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Company’s spice filling operation and other certain scale products are regulated by the U.S. Food and Drug Administration.</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Company’s operations are also subject to national, state and local environmental and health and safety laws and regulations, including those that impose workplace standards and regulate the discharge of pollutants into the environment and establish standards for the handling, generation, emission, release, discharge, treatment, storage and disposal of materials and substances including solid and hazardous wastes.</w:t>
      </w:r>
    </w:p>
    <w:p>
      <w:pPr>
        <w:spacing w:after="0" w:line="16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Company is subject to risks and uncertainties associated with economic and political conditions around the world, including but not limited to, foreign government regulations, taxes including value-added taxes, import and export duties/tariffs and quotas, anti-dumping regulations, incidents and fears involving security, man-made or natural disasters, health epidemics, terrorism and wars, political unrest and other restrictions on trade and travel.</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Company’s business and working capital needs are highly seasonal, with a majority of sales occurring in the third and fourth quarters. In 2020, net sales in the third and fourth quarters accounted for 62% of total annual net sales. In 2020, the Company's inventory levels did not significantly decrease during the fourth quarter. The higher inventory levels at December 31, 2020, were a result of increased inventory purchases to meet higher expected demand in 2021 due in part to the effects on demand from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years ended December 31, 2019 and 2018, the Company's U.S. segment incurred $0.7 million and $2.1 million, respectively, of restructuring expense related to the integration of Filament.</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year ended December 31, 2020, the Company's International segment incurred $0.2 million of restructuring expenses related to severance associated with the strategic reorganization of the International segment’s product development and sales workforce. The strategic reorganization was the result of the Company's efforts for product development efficiencies and an international sales approach tailored to countries. During the years ended December 31, 2019, and 2018, the Company's international segment incurred $0.7 million and $0.2 million, respectively, of restructuring expense primarily related to the integration of its legal entities operating in Europe.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expect to incur any additional restructuring charges for these efforts.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The Company’s businesses, operations, liquidity and financial condition are subject to various risks. The Company’s business, financial condition or results of operation could be materially affected by the risks below or additional risks not presently known to the Company or by risks that the Company presently deems immaterial, such as changes in the economy, disruptions due to terrorist activity or man-made or natural disasters, or changes in law or accounting standards. The risks and uncertainties described below are those that the Company considers material as of the date hereof. We have grouped the risk factors into categories for ease of reading, and without any reflection on the importance of, or likelihood of, any particular category.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political risks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Company’s business may be materially adversely affected by market conditions and by global and economic conditions and other factors beyond its control.</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Company’s performance is affected by general economic factors, the strength of retail economies and political conditions that are beyond its control. Retail economies are impacted by factors such as consumer demand and the condition of the retail industry, which in turn, are affected by general economic factors. These general economic factors include, among others:</w:t>
      </w:r>
    </w:p>
    <w:p>
      <w:pPr>
        <w:spacing w:after="0" w:line="76"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recession, inflation, deflation, unemployment and other factors adversely affecting consumer spending patterns generally;</w:t>
      </w:r>
    </w:p>
    <w:p>
      <w:pPr>
        <w:spacing w:after="0" w:line="117" w:lineRule="exact"/>
        <w:rPr>
          <w:rFonts w:ascii="Arial" w:cs="Arial" w:eastAsia="Arial" w:hAnsi="Arial"/>
          <w:sz w:val="18"/>
          <w:szCs w:val="18"/>
          <w:color w:val="auto"/>
        </w:rPr>
      </w:pPr>
    </w:p>
    <w:p>
      <w:pPr>
        <w:ind w:left="980" w:right="50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conditions affecting the retail environment for the home and other matters that influence consumer spending in the home retail industry specifically;</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conditions affecting the housing markets;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consumer credit availability and consumer debt levels;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material input costs, including fuel and energy costs and labor cost inflation;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currency translation;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rates and the ability to hedge interest rate risks;</w:t>
      </w:r>
    </w:p>
    <w:p>
      <w:pPr>
        <w:spacing w:after="0" w:line="117"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 policies including tax policies relating to value-added taxes, import and export duties and quotas, anti-dumping regulations and related tariffs, import and export controls and social compliance standards;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natural disasters, conflicts and terrorist activities;</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 health epidemics, such as the COVID-19 pandemic;</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unfavorable economic conditions in the United States, the U.K., continental Europe, Asia and elsewhere;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unstable economic and political conditions, lack of legal regulation enforcement, civil unrest and political activism, particularly in Asia; and</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restructuring and integration of the Company's European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occurrence of negative events related to any of the foregoing may adversely impact the Company’s results of operations and financial condition</w:t>
      </w:r>
      <w:r>
        <w:rPr>
          <w:rFonts w:ascii="Arial" w:cs="Arial" w:eastAsia="Arial" w:hAnsi="Arial"/>
          <w:sz w:val="17"/>
          <w:szCs w:val="17"/>
          <w:b w:val="1"/>
          <w:bCs w:val="1"/>
          <w:color w:val="auto"/>
        </w:rPr>
        <w:t>.</w:t>
      </w:r>
    </w:p>
    <w:p>
      <w:pPr>
        <w:spacing w:after="0" w:line="13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The Company must successfully manage the demand, supply, and operational challenges associated with the actual or perceived effects of the COVID-19 pandemic. Any failure to do so could have a material adverse impact on the Company’s business, financial condition, results of operations, cash flows, and competitive position.</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COVID-19 pandemic has negatively impacted the global economy and disrupted global supply chains. Continuing concerns over economic and business prospects in the U.S. and other countries have contributed to increased volatility and diminished expectations for the global economy. These factors, coupled with the prospect of decreased business and consumer confidence and increased unemployment resulting from the outbreak of COVID-19, may precipitate a prolonged economic slowdown and recession.</w:t>
      </w:r>
    </w:p>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business may be unfavorably impacted by the fear of exposure to or actual effects of the COVID-19 pandemic, such as reduced travel or recommendations or mandates from governmental authorities to cease particular business activities.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These risks include, but are not limited to:</w:t>
      </w:r>
    </w:p>
    <w:p>
      <w:pPr>
        <w:spacing w:after="0" w:line="117" w:lineRule="exact"/>
        <w:rPr>
          <w:sz w:val="20"/>
          <w:szCs w:val="20"/>
          <w:color w:val="auto"/>
        </w:rPr>
      </w:pPr>
    </w:p>
    <w:p>
      <w:pPr>
        <w:ind w:left="660" w:right="60" w:hanging="328"/>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Reductions in demand or volatility in demand for one or more of the Company’s products, which may be caused by, among other things: the temporary inability of consumers to purchase the Company’s products due to illness and, brick and mortar retailers closing their store operations, which has occurred as a result of reduced demand from such customers, quarantine or other travel restrictions, or financial hardship for customers and consumers;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40" w:hanging="328"/>
        <w:spacing w:after="0" w:line="342"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Inability to meet the Company’s customers’ needs and achieve cost targets due to disruptions in the Company's supply chain arrangements as well as distribution centers caused by the loss or disruption of transportation, trucking availability, workforce, or other distribution capability;</w:t>
      </w:r>
    </w:p>
    <w:p>
      <w:pPr>
        <w:spacing w:after="0" w:line="15" w:lineRule="exact"/>
        <w:rPr>
          <w:rFonts w:ascii="Arial" w:cs="Arial" w:eastAsia="Arial" w:hAnsi="Arial"/>
          <w:sz w:val="16"/>
          <w:szCs w:val="16"/>
          <w:color w:val="auto"/>
        </w:rPr>
      </w:pPr>
    </w:p>
    <w:p>
      <w:pPr>
        <w:ind w:left="660" w:right="18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third parties on which the Company relies, including the Company’s suppliers, third-party manufacturers, distributors, and external business partners, to meet their obligations to the Company, including due to a lack of manufacturing capacity, or significant disruptions in their ability to do so, which may be caused by their own financial or operational difficulties;</w:t>
      </w:r>
    </w:p>
    <w:p>
      <w:pPr>
        <w:spacing w:after="0" w:line="75"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Customers' inability to make payments due to the Company pursuant to existing payment terms as a result of store closures resulting from the COVID-19 pandemic;</w:t>
      </w:r>
    </w:p>
    <w:p>
      <w:pPr>
        <w:spacing w:after="0" w:line="62" w:lineRule="exact"/>
        <w:rPr>
          <w:rFonts w:ascii="Arial" w:cs="Arial" w:eastAsia="Arial" w:hAnsi="Arial"/>
          <w:sz w:val="18"/>
          <w:szCs w:val="18"/>
          <w:color w:val="auto"/>
        </w:rPr>
      </w:pPr>
    </w:p>
    <w:p>
      <w:pPr>
        <w:ind w:left="660" w:hanging="328"/>
        <w:spacing w:after="0" w:line="25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changes in the political and labor conditions in markets in which the Company sells, or distributes products, including quarantines, governmental or regulatory actions, closures or other restrictions that limit or close the Company’s distribution facilities, restrict the Company’s employees’ ability or willingness to travel or perform necessary business functions, or otherwise prevent the Company's facilities or its third-party partners, suppliers, or customers from sufficiently staffing operations, including operations necessary for the production, distribution, sale, and support of the Company's products;</w:t>
      </w:r>
    </w:p>
    <w:p>
      <w:pPr>
        <w:spacing w:after="0" w:line="79"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cybersecurity threats that could result from many of the Company’s key employees working remotely; new and preexisting cybersecurity threats that arise from reliance on home networks, virtual workspaces, videoconferencing, and other forms of remote work practices to support this temporary working environment, which may expose additional cybersecurity threats and vulnerabilities to the Company's network, and increase the exposure of the Company to electrical or internet outages; or</w:t>
      </w:r>
    </w:p>
    <w:p>
      <w:pPr>
        <w:spacing w:after="0" w:line="119" w:lineRule="exact"/>
        <w:rPr>
          <w:rFonts w:ascii="Arial" w:cs="Arial" w:eastAsia="Arial" w:hAnsi="Arial"/>
          <w:sz w:val="18"/>
          <w:szCs w:val="18"/>
          <w:color w:val="auto"/>
        </w:rPr>
      </w:pPr>
    </w:p>
    <w:p>
      <w:pPr>
        <w:ind w:left="660" w:right="80" w:hanging="328"/>
        <w:spacing w:after="0" w:line="265"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Negative impact on the Company’s workforce that could result if executive officers or other key employees or a large number of its workers fall ill. The temporary or permanent loss of any of the Company’s executive officers or other key employees could harm the Company’s business and negatively affect the Company’s ability to timely achieve its strategic initiatives. Moreover, the Company may not be successful in finding or integrating suitable successors in the event of the loss of executive officers or other key employees or if such persons become unavailable for a prolonged period of time.</w:t>
      </w:r>
    </w:p>
    <w:p>
      <w:pPr>
        <w:spacing w:after="0" w:line="7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There are no comparable recent events that provide guidance as to the effect the spread of COVID-19 as a global pandemic may have, and, as a result, the ultimate impact of the pandemic is highly uncertain and subject to change. The Company does not yet know the full extent of the impact of COVID-19 on the global economy. Although disruptions from the COVID-19 pandemic may continue to occur, the long-term economic impact and near-term financial impact on the Company, including but not limited to, any possible impairment, restructuring, and other charges, cannot be reliably quantified or estimated at this time due to the uncertainty of future developments. Despite efforts to manage and remedy the impact of COVID-19, the ultimate impact of COVID-19 could materially and adversely affect the Company’s business, financial condition, results of operations, cash flows, and competitive position, and depends on factors beyond the Company’s knowledge or control, including the duration and severity of the COVID-19 pandemic as well as third-party actions taken in response thereto.</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U.K. operations and sales may be materially adversely affected by the exit of the U.K. from the European Union.</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January 31, 2020, the U.K. left the European Union ("Brexit"). In December 2020, the U.K and European Union announced the agreement of a new Trade and Cooperation Agreement that will govern the ongoing relationship between the U.K. and the European Union. The U.K.’s exit from the European Union is unprecedented and it remains unclear what long-term impact this will have on the U.K.’s access to the EU Single Market and on the legal and regulatory environment in which the Company operates, as well as its effect on the global macroeconomic environment. Net sales attributable to U.K. domiciled businesses were $78.0 million for the year ended December 31, 2020 and represent approximately 10% of the Company’s consolidated net sales for the period.</w:t>
      </w:r>
    </w:p>
    <w:p>
      <w:pPr>
        <w:spacing w:after="0" w:line="219"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Significant uncertainty remains regarding the impact of the U.K.’s exit from the European Union. The uncertainty surrounding the consequences of the U.K.’s exit could adversely impact the U.K. economy, customers and investor confidence. Such uncertainty may contribute to additional market volatility, including volatility in the value of the U.K. pound and European euro, and may adversely affect the Company’s businesses, results of operations, and financial condition.</w:t>
      </w:r>
    </w:p>
    <w:p>
      <w:pPr>
        <w:spacing w:after="0" w:line="21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The Company’s business may be materially adversely affected by the imposition of tariffs and other trade policies implemented by the U.S. and other governments.</w:t>
      </w:r>
    </w:p>
    <w:p>
      <w:pPr>
        <w:spacing w:after="0" w:line="198"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During the last few years, the U.S. government has announced and, in some cases, implemented additional tariffs on certain foreign goods, including finished products and raw materials such as steel and aluminum. These tariffs and potential tariffs have resulted or may result in increased prices for these imported goods and materials and may limit the amount of these goods and materials that may be imported into the U.S.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A majority of the Company’s products are sourced from vendors in China. In 2018 and 2019, tariffs were imposed by the United States Trade Representative on certain finished products imported by the Company into the U.S. from China. In response to the tariffs, the Company may seek to increase prices to its customers, which may diminish demand for its products. Additionally, if the Company is unable to increase prices, this may result in the lowering of the gross margin that the Company realizes from the sale of its products. The results of either eventuality could adversely affect the Company’s results of operations and financial condition. Moreover, the imposition of further policies restrictive on trade by the U.S. government, or the imposition of retaliatory policies or tariffs by other governments, may adversely affect the Company’s results of operations and financial condition.</w:t>
      </w:r>
    </w:p>
    <w:p>
      <w:pPr>
        <w:spacing w:after="0" w:line="18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The Company's ability to obtain insurance and the terms of any available insurance coverage could be materially adversely affected by macroeconomic and company-specific events, as well as the financial condition of insurers.</w:t>
      </w:r>
    </w:p>
    <w:p>
      <w:pPr>
        <w:spacing w:after="0" w:line="198"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The Company is generally not fully insured against all significant losses. For example, the Company is not fully insured against hurricane and earthquake related losses. A loss for which the Company is not fully insured could have a material adverse effect on the business, financial condition, results of operations and prospects.</w:t>
      </w:r>
    </w:p>
    <w:p>
      <w:pPr>
        <w:spacing w:after="0" w:line="209"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Insurance coverage may not continue to be available or may not be available at rates or on terms similar to those presently available to the Company. The Company's ability to obtain insurance and the terms of any available insurance coverage could be materially adversely affected by international, national, state or local events and company-specific events, as well as the financial condition of insurers. If insurance coverage is not available or obtainable on acceptable terms, the Company may be required to pay costs associated with adverse future events.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risks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has substantial indebtedness and the highly seasonal nature of the Company’s business impacts its borrowing needs.</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a substantial amount of indebtedness and is dependent on the availability of its bank loan facilities to finance its liquidity needs. As of December 31, 2020, the Company had $289.9 million of consolidated debt, consisting of $27.3 million under its senior secured asset-based revolving credit facility (the “ABL Agreement”) and $262.6 million outstanding under a senior secured term loan credit facility (the “Term Loan” and, collectively with the ABL Agreement, the “Debt Agreements”).</w:t>
      </w:r>
    </w:p>
    <w:p>
      <w:pPr>
        <w:spacing w:after="0" w:line="18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ABL Agreement provides for, among other things, a maximum aggregate principal amount of $150.0 million and will mature on March 2, 2023. The Term Loan will be repaid in quarterly payments of principal equal to 0.25% of the original aggregate principal amount of the Term Loan, which payments commenced June 30, 2018. The Term Loan requires the Company to make an annual mandatory prepayment of principal based upon excess cash flow (the “Excess Cash Flow”), if any. Per the Debt Agreements, when the Company makes an Excess Cash Flow payment, the payment is first applied to satisfy the future quarterly required payments in order of maturity. This amount is recorded in the current maturity of the Term Loan on the consolidated balance sheets. At December 31, 2020, borrowings under the Debt Agreements represented approximately 36% of total capital (indebtedness plus stockholders’ equity).</w:t>
      </w:r>
    </w:p>
    <w:p>
      <w:pPr>
        <w:spacing w:after="0" w:line="33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2018, the Company utilized the proceeds of borrowings under the Debt Agreements (i) to repay in full all existing indebtedness for borrowed money under its former credit agreement and (ii) to finance, in part, the acquisition of Filament, the refinancing of certain indebtedness of Filament and its subsidiaries, and the payment of fees and expenses in connection with the foregoing. The Company may be unable to generate cash sufficient to pay when due the principal of, interest on, or other amounts due with respect to, its indebtedness. In addition, the Company’s business is seasonal with a significant amount of its revenue realized during the latter portion of the year. Therefore, the Company’s borrowing needs fluctuate widely based upon its seasonal working capital requirements.</w:t>
      </w:r>
    </w:p>
    <w:p>
      <w:pPr>
        <w:spacing w:after="0" w:line="1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Company’s leverage and the effects of seasonal fluctuations in its cash flow, borrowing requirements and ability to borrow could have significant negative consequences on the Company’s financial condition and results of operations, including:</w:t>
      </w:r>
    </w:p>
    <w:p>
      <w:pPr>
        <w:spacing w:after="0" w:line="62" w:lineRule="exact"/>
        <w:rPr>
          <w:sz w:val="20"/>
          <w:szCs w:val="20"/>
          <w:color w:val="auto"/>
        </w:rPr>
      </w:pPr>
    </w:p>
    <w:p>
      <w:pPr>
        <w:ind w:left="980" w:right="20" w:hanging="324"/>
        <w:spacing w:after="0" w:line="263"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impairing the Company’s ability to meet the financial covenants, if and when applicable, contained in the ABL Agreement or to generate cash sufficient to pay interest or principal due under its Debt Agreements, which could result in an acceleration of some or all of the Company’s outstanding debt;</w:t>
      </w:r>
    </w:p>
    <w:p>
      <w:pPr>
        <w:spacing w:after="0" w:line="75"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the Company’s ability to borrow money, dispose of assets or sell equity to fund the Company’s working capital, capital expenditures, dividend payments, debt service, strategic initiatives or for other obligations or purposes;</w:t>
      </w:r>
    </w:p>
    <w:p>
      <w:pPr>
        <w:spacing w:after="0" w:line="62"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the Company’s flexibility in planning for, or reacting to, changes in the economy, the markets, regulatory requirements, its operations or business;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the Company's ability to enter into derivative agreements to hedge interest rate and foreign exchange risk;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making the Company more highly leveraged than some of its competitors, which may place the Company at a competitive disadvantage;</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the Company more vulnerable to downturns in the economy or its business;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requiring a substantial portion of the Company’s cash flow from operations to make interest payments;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it more difficult for the Company to satisfy other obligations;</w:t>
      </w:r>
    </w:p>
    <w:p>
      <w:pPr>
        <w:spacing w:after="0" w:line="117" w:lineRule="exact"/>
        <w:rPr>
          <w:rFonts w:ascii="Arial" w:cs="Arial" w:eastAsia="Arial" w:hAnsi="Arial"/>
          <w:sz w:val="18"/>
          <w:szCs w:val="18"/>
          <w:color w:val="auto"/>
        </w:rPr>
      </w:pPr>
    </w:p>
    <w:p>
      <w:pPr>
        <w:ind w:left="980" w:right="26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risking credit rating downgrades of the Company, which could increase future debt costs and limit the future availability of debt financing; and</w:t>
      </w:r>
    </w:p>
    <w:p>
      <w:pPr>
        <w:spacing w:after="0" w:line="62" w:lineRule="exact"/>
        <w:rPr>
          <w:rFonts w:ascii="Arial" w:cs="Arial" w:eastAsia="Arial" w:hAnsi="Arial"/>
          <w:sz w:val="18"/>
          <w:szCs w:val="18"/>
          <w:color w:val="auto"/>
        </w:rPr>
      </w:pPr>
    </w:p>
    <w:p>
      <w:pPr>
        <w:ind w:left="980" w:right="36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preventing the Company from borrowing additional funds as needed or taking advantage of business opportunities as they arise, pay cash dividends or repurchase common stock.</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the extent the Company incurs additional indebtedness, the risks described above could increase. In addition, the Company’s actual cash requirements in the future may be greater than expected. The Company’s cash flow from operations may not be sufficient to service its outstanding debt or to repay the outstanding debt as it becomes due, and the Company may not be able to borrow money, sell assets or otherwise raise funds on acceptable terms, or at all, to service or refinance its debt.</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Company’s failure to meet certain covenants or comply with other requirements of its Debt Agreements may materially and adversely affect the Company’s assets, financial position and cash flows.</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ABL Agreement, under certain circumstances, requires the Company to maintain a certain fixed charge coverage ratio. As a result of this and other covenants within the Debt Agreements, the Company may be limited in its ability to incur additional debt, make investments or undertake certain other business activities. These requirements could limit the Company’s ability to obtain future financing and may prevent the Company from taking advantage of attractive business opportunities. The Company’s ability to meet the covenants or requirements in its Debt Agreements may be affected by events beyond the Company’s control, and the Company may not be able to satisfy such covenants and requirements. A breach of these covenants or the Company’s inability to comply with the restrictions could result in an event of default under the Debt Agreements, which in turn could result in an event of default under the terms of the Company’s other indebtedness. Upon the occurrence of an event of default under the Company’s Debt Agreements, after the expiration of any grace periods, the Company’s lenders could elect to declare all amounts outstanding under the Company’s debt arrangements, together with accrued interest, to be immediately due and payable. If this happens, the Company cannot assure that its assets would be sufficient to repay in full the amounts due under the Debt Agreements or the Company’s other indebtedness.</w:t>
      </w:r>
    </w:p>
    <w:p>
      <w:pPr>
        <w:spacing w:after="0" w:line="1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Company’s borrowings, and discount rate applied to sale of receivables, are subject to interest rate fluctuations and an increase in interest rates could adversely affect the Company’s financial results.</w:t>
      </w:r>
    </w:p>
    <w:p>
      <w:pPr>
        <w:spacing w:after="0" w:line="6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Company’s borrowings bear interest at floating rates. An increase in interest rates would adversely affect the Company’s profitability. To the extent that the Company’s access to credit may be restricted because of its own performance, its bank lenders’ performances or conditions in the capital markets generally, the Company would not be able to operate normally.</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Company’s Receivables Purchase Agreement also depends upon LIBOR, as it is a component of the discount rate applicable to the agreement. If LIBOR increases, the Company may not be able to rely on the Receivables Purchase Agreement, which could have a material and adverse effect upon the Company’s financial condition, results of operations and cash flows.</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Changes in the method for determining LIBOR and the potential replacement of the LIBOR benchmark interest rate could increase the Company's borrowing costs.</w:t>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Some of the Company’s borrowings bear interest at a variable rate based on LIBOR. In July 2017, the United Kingdom’s Financial Conduct Authority (“FCA”), a regulator of financial services firms and financial markets in the United Kingdom, stated that it will plan for a phase out of regulatory oversight of LIBOR interest rates indices. The FCA has indicated they will support the LIBOR indices through 2021, to allow for an orderly transition to an alternative reference rate. The Alternative Reference Rates Committee has proposed the Secured Overnight Financing Rate (“SOFR”) as its recommended alternative to LIBOR, and the Federal Reserve Bank of New York began publishing SOFR rates in April 2018. SOFR is intended to be a broad measure of the cost of borrowing cash overnight collateralized by U.S. Treasury securities. Further, other central banks have convened working groups to determine alternative reference rates for other currencies. For example, the working group for the Sterling Risk-Free Reference Rates, have recommended the Sterling Overnight Index Average ("SONIA") as the alternative to Sterling LIBOR.</w:t>
      </w:r>
    </w:p>
    <w:p>
      <w:pPr>
        <w:spacing w:after="0" w:line="20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Company is evaluating the potential impact of the eventual replacement of the LIBOR benchmark interest rate, including the possibility of SOFR as the dominant replacement. Introduction of an alternative rate also may introduce additional basis risk for market participants as an alternative index is utilized along with LIBOR. There can be no guarantee that SOFR will become widely used and that alternatives may or may not be developed with additional complications. The Company is not able to predict whether LIBOR will cease to be available after 2021, whether SOFR will become a widely accepted benchmark in place of LIBOR, or what the impact of such a possible transition to SOFR may be on the Company's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Company’s inability to complete future acquisitions or strategic alliances and/or integrate acquired businesses could have a material adverse effect on the Company’s business and results of operations.</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historically achieved growth through acquisitions, investments and joint ventures. The Company seeks acquisition opportunities that complement and expand its operations, some of which are based outside the United States. The Company may not be able to identify and successfully negotiate suitable acquisitions, obtain financing for future acquisitions on satisfactory terms, obtain regulatory approval or otherwise complete acquisitions in the future.</w:t>
      </w:r>
    </w:p>
    <w:p>
      <w:pPr>
        <w:spacing w:after="0" w:line="18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Additionally, the Company may not be able to successfully integrate future acquired businesses into its existing business without substantial costs, delays or other operational or financial difficulties. Potential difficulties the Company may encounter as part of the integration process include the following:</w:t>
      </w:r>
    </w:p>
    <w:p>
      <w:pPr>
        <w:spacing w:after="0" w:line="16" w:lineRule="exact"/>
        <w:rPr>
          <w:sz w:val="20"/>
          <w:szCs w:val="20"/>
          <w:color w:val="auto"/>
        </w:rPr>
      </w:pPr>
    </w:p>
    <w:p>
      <w:pPr>
        <w:ind w:left="980" w:right="140" w:hanging="324"/>
        <w:spacing w:after="0" w:line="342" w:lineRule="auto"/>
        <w:tabs>
          <w:tab w:leader="none" w:pos="97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potential inability to successfully combine businesses in a manner that permits the Company to achieve the cost synergies expected to be achieved as a result of the consummation of the acquisition and other benefits anticipated to result from the acquisition;</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inability to integrate acquired companies’ products and services;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challenges leveraging the customer information and technology of the two companies;</w:t>
      </w:r>
    </w:p>
    <w:p>
      <w:pPr>
        <w:spacing w:after="0" w:line="117"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challenges effectuating the Company’s diversification strategy, including challenges achieving revenue growth from sales of each company’s products and services to the clients and customers of the other company;</w:t>
      </w:r>
    </w:p>
    <w:p>
      <w:pPr>
        <w:spacing w:after="0" w:line="62" w:lineRule="exact"/>
        <w:rPr>
          <w:rFonts w:ascii="Arial" w:cs="Arial" w:eastAsia="Arial" w:hAnsi="Arial"/>
          <w:sz w:val="18"/>
          <w:szCs w:val="18"/>
          <w:color w:val="auto"/>
        </w:rPr>
      </w:pPr>
    </w:p>
    <w:p>
      <w:pPr>
        <w:ind w:left="980" w:hanging="324"/>
        <w:spacing w:after="0" w:line="311" w:lineRule="auto"/>
        <w:tabs>
          <w:tab w:leader="none" w:pos="975"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complexities associated with managing the combined businesses, including difficulty addressing possible differences in corporate cultures and management philosophies and the challenge of integrating complex systems, technology, networks, and other assets of each of the companies in a seamless manner that minimizes any adverse impact on customers, clients, employees, lenders, and other constituencies; and</w:t>
      </w:r>
    </w:p>
    <w:p>
      <w:pPr>
        <w:spacing w:after="0" w:line="40"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or delays associated with the acquisition.</w:t>
      </w:r>
    </w:p>
    <w:p>
      <w:pPr>
        <w:spacing w:after="0" w:line="2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It is possible that the integration process could result in diversion of the attention of each company’s management, which could adversely affect each company’s ability to maintain relationships with customers, clients, employees, and other constituencies or the Company’s ability to achieve the anticipated benefits of the acquisition, or could reduce each company’s operating results or otherwise adversely affect the Company’s business and financial results.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exchange variability and currency controls could materially adversely affect the Company’s operating results and financial condition.</w:t>
      </w:r>
    </w:p>
    <w:p>
      <w:pPr>
        <w:spacing w:after="0" w:line="14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Company’s functional currency is the U.S. dollar. Changes in the relation of foreign currencies to the U.S. dollar will affect the Company’s sales and profitability and can result in exchange losses because the Company has operations and assets located outside the United States. The Company, especially its foreign subsidiaries and affiliates, transacts business in currencies other than the U.S. dollar, primarily U.K. pounds, and to a lesser degree, Chinese renminbi, Euros, Hong Kong dollars, Mexican peso and Canadian dollars. Such transactions affect the Company’s operating results and financial condition. Foreign operations expose the Company to foreign currency fluctuations, for both transactions and financial reporting translation purposes. In the consolidated financial statements, local currency financial results are translated into U.S. dollars based on the exchange rates prevailing during the reporting periods. During times of a strengthening U.S. dollar, the reported revenues and earnings of the Company’s international operations will be reduced because the local currencies will translate into fewer U.S. dollars. As described below, during times of a weakening U.S. dollar, the Company’s costs related to the supplies and inventory it sources internationally will increase.</w:t>
      </w:r>
    </w:p>
    <w:p>
      <w:pPr>
        <w:spacing w:after="0" w:line="18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vast majority of the Company’s inventory is purchased from Chinese suppliers in U.S. dollars, including inventory purchased by the Company’s international operations. As a result, the gross margin from international operations is subject to volatility from movements in exchange rates, which could have an adverse effect on the financial condition and results of operations and profitability from international operations. The Company has entered into foreign exchange derivative contracts to hedge the volatility of exchange rates related to a portion of its international inventory purchases. The Company cannot ensure, however, that these hedges will fully offset the impact of foreign currency rate movements. If the Chinese renminbi should appreciate against the U.S. dollar, the costs of the Company’s products will likely rise over time because of the impact the strengthening renminbi will have on the Company’s cost of sales, and the Company may not be able to pass on these price increases to its customers. The Company is also subject to the risks of currency controls and devaluations. Currency controls may limit the Company’s ability to convert currencies into U.S. dollars or other currencies, as needed, to pay dividends or make other payments from funds held by subsidiaries in countries imposing such controls, which could adversely affect the Company’s liquidity.</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the Company expands its international operations, it will be subject to increased foreign exchange variability which could have a material adverse effect on the Company’s results of operations.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business requires it to maintain large fixed costs that can affect its profitability.</w:t>
      </w:r>
    </w:p>
    <w:p>
      <w:pPr>
        <w:spacing w:after="0" w:line="11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Company’s business requires it to maintain large distribution facilities in its key markets, which represent high fixed rental costs relating to its leased facilities. In addition, significant portions of the Company’s selling, general and administrative expenses, including leased showrooms, are fixed, as they neither increase nor decrease proportionally with sales. Furthermore, the Company’s gross margins depend, in part, on its ability to spread sourcing costs, of which a significant portion are fixed, over its products sold. Decreased demand or the need to reduce inventories can lower the Company’s ability to absorb certain sourcing costs and adversely affect its results of operations. This is exacerbated by the high degree of seasonality impacting the Company, which results in lower demand during the first two quarters of the year, while many of the operating costs remain fixed, which further affects profitability.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reduction efforts may not be successful and restructuring benefits may not be realized.</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order to operate more efficiently and control costs, the Company may announce restructuring plans from time to time, including workforce reductions, global facility consolidations and other cost reduction initiatives that are intended to generate operating expense savings. The implementation of restructuring plans could be disruptive to the Company’s operations, result in higher than anticipated charges and otherwise adversely affect the Company’s results of operations and financial condition. In addition, the Company’s ability to complete restructuring plans and achieve the anticipated benefits from a plan is subject to estimates and assumptions and may vary materially from the Company’s expectations, including as a result of factors that are beyond the Company’s control. Furthermore, following completion of a restructuring plan, the business may not be more efficient or effective than prior to implementation of the plan.</w:t>
      </w:r>
    </w:p>
    <w:p>
      <w:pPr>
        <w:spacing w:after="0" w:line="19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the Company’s goodwill or other long-term assets become impaired, the Company will be required to record impairment charges, which may be significant.</w:t>
      </w:r>
    </w:p>
    <w:p>
      <w:pPr>
        <w:spacing w:after="0" w:line="6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 portion of the Company’s long-term assets consists of goodwill recorded as a result of the Company’s acquisitions; other identifiable intangible assets, including trade names; and fixed assets. At December 31, 2020, goodwill, net of impairment totaled $30.3 million. The Company does not amortize goodwill but rather reviews it for impairment on an annual basis or more frequently when events or changes in circumstances indicate that its carrying value may not be recoverable. If the carrying value of a reporting unit exceeds its current fair value as determined based on the discounted future cash flows of the reporting unit or comparable market sales and earnings multiples, the goodwill or intangible asset is considered impaired and is reduced to fair value. Events and conditions that could result in impairment include a prolonged period of global economic weakness, a decline in economic conditions and/or a slow, weak economic recovery, as well as sustained declines in the price of the Company’s common stock, adverse changes in the regulatory environment, adverse changes in the market share of the Company’s products, adverse changes in interest rates, further corporate income tax reforms or other factors leading to reductions in the long-term sales or profitability that the Company expects. Determination of the fair value of a reporting unit includes developing estimates which are highly subjective and incorporate calculations that are sensitive to minor changes in underlying assumptions. Management’s assumptions change as more information becomes available. Changes in these assumptions could result in an impairment charge in the future, which could have a significant adverse impact on the Company’s reported earnings. If the future operating performance of one or more of the Company’s operating segments does not meet expectations, the Company may be required to record a significant charge during the period in which any impairment of the Company’s goodwill or other long-term assets is determined.</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further recognition of an impairment of the Company’s goodwill or any of the Company’s assets would negatively affect the Company’s results of operations and total capitalization, the effect of which could be material.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Reporting Unit</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the first quarter of 2020, as a result of the economic downturn caused by the COVID-19 pandemic, the Company performed an interim assessment of the goodwill for the U.S. reporting unit as of March 31, 2020, by comparing the fair value of the reporting unit with its carrying value. The Company performed the analysis using a discounted cash flow and market multiple method. Based upon the analysis performed, the Company recognized a non-cash goodwill impairment charge of $19.1 million during the first quarter of 2020. The goodwill impairment charge resulted from, among other factors, the uncertain market conditions arising from the COVID-19 pandemic, which impacted the Company's market capitalization, as well as a reduction of forecasted future cash flows associated with the effects of the COVID-19 pandemic. The fair value of the U.S. reporting unit was approximately 3.9% below its carrying value as of March 31, 2020.</w:t>
      </w:r>
    </w:p>
    <w:p>
      <w:pPr>
        <w:spacing w:after="0" w:line="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performed its annual impairment assessment of its U.S. reporting unit as of October 1, 2020 by comparing the fair value of the reporting unit with its carrying value. The Company performed the analysis using a discounted cash flow and market multiple method. As of October 1, 2020, the fair value of the U.S. reporting unit exceeded the carrying value of goodwill.</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2019, the Company recognized a non-cash goodwill impairment charge of $33.2 million, during the three months ended December 31, 2019. The Company performed the analysis using a discounted cash flow and market multiple method. The goodwill impairment charge resulted from, among other factors, a sustained decline in the Company's market capitalization observed in the fourth quarter of 2019. The fair value of the U.S, reporting unit was approximately 6.1% below its carrying value at October 1, 2019.</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Company’s projections of product demand, sales and net income are highly subjective in nature and the Company’s future sales and net income could vary materially from the Company’s projections.</w:t>
      </w:r>
    </w:p>
    <w:p>
      <w:pPr>
        <w:spacing w:after="0" w:line="6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From time to time, the Company may provide projections to its stockholders, lenders, the investment community, and other stakeholders of the Company’s future sales and net income. Since the Company does not have long-term purchase commitments from customers and the customer order and shipment process is very short, it is difficult for the Company to accurately predict the demand for many of its products, or the amount and timing of the Company’s future sales and related net income. The Company’s projections are based on management’s best estimate of sales using historical sales data and other information deemed relevant. These projections are highly subjective since sales can fluctuate substantially based on the demands of retail customers and due to other risks described in this Annual Report. Additionally, changes in retailer inventory management strategies could make the Company’s inventory management more difficult. Because the Company’s ability to forecast product demand and the timing of related sales requires significant subjective input, future sales and net income could vary materially from the Company’s projections.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the cost of employee benefits could materially adversely impact the Company’s financial results and cash flows.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self-insures a substantial portion of the costs of employee healthcare and workers compensation. This could result in higher volatility in the Company’s earnings and exposes the Company to higher financial risks. The Company’s medical costs in recent years have generally increased and an aging workforce and other employee demographics could result in an increase in medical costs beyond what the Company has experienced or expects. The Company has stop-loss coverage in place for catastrophic events, but the aggregate impact of a high number of claims up to the Company’s stop-loss limit may have an effect on the Company’s profitability.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inherent limitations on the effectiveness of the Company’s controls.</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does not expect that its disclosure controls or the Company’s internal controls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resource constraints exist,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are revised, as necessary, due to changes in conditions or deterioration in the degree of compliance with policies or procedures. If in the future the Company’s controls become inadequate, it could fail to meet its financial reporting obligations, its reputation may be adversely affected, its business and operating results could be harmed, and the market price of its stock could decline.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risks</w:t>
      </w:r>
    </w:p>
    <w:p>
      <w:pPr>
        <w:spacing w:after="0" w:line="121"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The Company faces intense competition from other companies worldwide and if the Company is unable to compete successfully, the Company’s business, results of operations and financial condition could be materially and adversely affected.</w:t>
      </w:r>
    </w:p>
    <w:p>
      <w:pPr>
        <w:spacing w:after="0" w:line="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markets for the Company’s products are intensely competitive with the principal competitive factors being product innovation, brand name, product quality, aesthetic appeal to customers, packaging, breadth of product offerings, distribution capability, delivery time and price. Advantages or disadvantages in any of these competitive factors may be sufficient to cause the customer to consider changing providers of the kinds of products that the Company sells. The Company competes with many other suppliers, some of which are larger than the Company, have greater financial and other resources or employ brands that are more established, have greater consumer recognition or are more favorably perceived by consumers or retailers than the Company’s brands. Some competitors may be willing to reduce prices and accept lower profit margins to compete with the Company. As a result of this competition, the Company could lose market share and sales, or be forced to reduce its prices to meet competition. If the Company’s product offerings are unable to compete successfully, the Company’s business, results of operations and financial condition could be materially and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Company’s customer purchasing practices could materially adversely affect the Company’s operating results.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Company’s wholesale customers include mass market merchants, specialty stores, commercial stores, department stores, warehouse clubs, grocery stores, off-price retailers, food service distributors, pharmacies, food and beverage outlets and e-commerce. Unanticipated changes in purchasing and other practices by the Company’s customers, including a customer’s pricing and payment terms, inventory de-stocking, limitations on shelf space, more extensive packaging requirements, changes in order quantities, use of private label brands and other practices, could materially and adversely affect the Company’s business, results of operations and financial condition. In addition, as a result of the desire of retailers to more closely manage inventory levels, there is a growing trend among retailers to make purchases on a “just-in-time” basis. While the Company generally orders products significantly in advance of</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anticipated time of their sale by the Company, this trend may require the Company to shorten its lead time for production in certain cases and more closely anticipate demand, which may require the Company to carry additional inventories. The Company’s annual earnings and cash flows also depend to a great extent on the results of operations in the latter half of the year due to the seasonality of its sales. The Company’s success and sales growth is also dependent on its evaluation of consumer preferences and changing trends.</w:t>
      </w:r>
    </w:p>
    <w:p>
      <w:pPr>
        <w:spacing w:after="0" w:line="187"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As certain online retailers grow they may continue to demand lower pricing, special packaging, shorter lead times for the delivery of products, smaller more frequent shipments, or impose other requirements on product suppliers. The cost of compliance with customers’ demands could have a material adverse effect on the Company’s business, results of operations and financial condition.</w:t>
      </w:r>
    </w:p>
    <w:p>
      <w:pPr>
        <w:spacing w:after="0" w:line="18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Many of the Company’s wholesale customers are significantly larger than the Company, have greater financial and other resources and also purchase goods directly from vendors in Asia and elsewhere. Decisions by large customers to increase their purchases directly from overseas vendors could have a material adverse effect on the Company’s business, results of operations and financial condition. Significant changes or financial difficulties, including consolidations of ownership, restructurings, bankruptcies, liquidations or other events that affect retailers, could result in fewer retailers selling the Company’s products, reliance on a smaller group of customers, an increase in the risk of extending credit to these customers or limitations on the Company’s ability to collect amounts due from these customers. Although the Company has long-established relationships with many of its customers, the Company does not have any long-term supply or binding contracts or guarantees of minimum purchases. Purchases by the Company’s customers are generally made using individual purchase orders. Customers may cancel their orders, change purchase quantities from forecast volumes, delay purchases for a number of reasons beyond the Company’s control or change other terms of their business relationship with the Company. Significant or numerous cancellations, reductions, delays in purchases or changes in business practices by customers could have a material adverse effect on the Company’s business, results of operations and financial condition.</w:t>
      </w:r>
    </w:p>
    <w:p>
      <w:pPr>
        <w:spacing w:after="0" w:line="18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Retailers place great emphasis on timely delivery of products for specific selling seasons, especially during the third fiscal quarter, and on the fulfillment of consumer demand throughout the year. The Company cannot control all of the various factors that might affect product delivery to retailers. Failure to deliver products to the Company’s retailers in a timely and effective manner, often under special vendor requirements to use specific carriers and delivery schedules, could damage the Company’s reputation and brands and result in a loss of customers or reduced orders.</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Changes at the Company’s large customers, or actions taken by them, and consolidation in the retail industry could materially adversely affect the Company’s operating results.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years ended December 31, 2020, 2019 and 2018, Wal-Mart Stores, Inc., including Sam’s Club and, in the U.K., Asda Superstore, (“Walmart”), accounted for 20%, 16% and 14% of consolidated net sales, respectively. During the years ended December 31, 2020 and 2019, sales to Costco Wholesale Corporation (“Costco”) accounted for 11% of consolidated net sales. During the year ended December 31, 2020, Amazon.com Inc., (“Amazon”), accounted for 10% of consolidated net sales. Sales to Walmart, Costco and Amazon are included in the Company's U.S. and International segments. No other customers accounted for 10% or more of the Company’s sales during these periods.</w:t>
      </w:r>
    </w:p>
    <w:p>
      <w:pPr>
        <w:spacing w:after="0" w:line="188"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A material reduction in sales to the aforementioned or other top customers in the aggregate, could have a significant adverse effect on the Company’s business and operating results. In addition, pressures by such customers that would cause the Company to materially reduce the price of its products could result in reduced sales and operating margin. Any significant changes or financial difficulties that affect these customers, such as reduced sales by such customers (whether for reasons that affect a particular customer or the retail industry in general) may also result in reduced demand for the Company’s products. The Company would also be subject to increased credit risk with respect to such customers. In particular, the concentration of the Company’s business with Walmart extends to its international business as well as through Vasconia in Mexico and the Company’s strategic alliance in Canada, due to the market presence of Walmart in these foreign countries. Any changes in purchasing practices or decline in the financial condition, of Walmart or other large customers may have a material adverse impact on the business, results of operations and financial condition of the Company.</w:t>
      </w:r>
    </w:p>
    <w:p>
      <w:pPr>
        <w:spacing w:after="0" w:line="16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Company’s large customers also have significant purchasing leverage. Customers may demand lower pricing, special packaging, shorter lead times for the delivery of products or impose other requirements on product suppliers like the Company. These business demands may relate to inventory practices, logistics or other aspects of the customer-supplier relationship. If the Company does not effectively respond to the demands of its customers, they could decrease or eliminate their purchases from the Company. These risks could be exacerbated if such large customers consolidate, or if the Company’s smaller customers consolidate to become larger customers, which would increase their purchasing leverage. A reduction in the purchases of the Company’s products by its wholesale customers or the costs of complying with customer business demands could have a material adverse effect on the Company’s business, financial condition and results of operations.</w:t>
      </w:r>
    </w:p>
    <w:p>
      <w:pPr>
        <w:spacing w:after="0" w:line="17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Company’s customers could carry products that directly compete with the Company’s products for retail space and consumer purchases. There is a risk that these customers could give higher priority to products of, or form alliances with, the Company’s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60"/>
        <w:spacing w:after="0" w:line="342" w:lineRule="auto"/>
        <w:rPr>
          <w:sz w:val="20"/>
          <w:szCs w:val="20"/>
          <w:color w:val="auto"/>
        </w:rPr>
      </w:pPr>
      <w:r>
        <w:rPr>
          <w:rFonts w:ascii="Arial" w:cs="Arial" w:eastAsia="Arial" w:hAnsi="Arial"/>
          <w:sz w:val="16"/>
          <w:szCs w:val="16"/>
          <w:color w:val="auto"/>
        </w:rPr>
        <w:t>competitors. The failure of customers to provide the Company’s products with similar or better levels of promotional support and retail space as competitors receive could have a material adverse effect on the Company’s business, results of operations and financial condition.</w:t>
      </w:r>
    </w:p>
    <w:p>
      <w:pPr>
        <w:spacing w:after="0" w:line="12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The rapidly changing retail environment could result in the loss of, or a material reduction in, sales to the Company’s brick-and-mortar customers, which could materially adversely affect the Company’s business, results of operations, financial condition and cash flows.</w:t>
      </w:r>
    </w:p>
    <w:p>
      <w:pPr>
        <w:spacing w:after="0" w:line="3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retail environment is highly competitive and rapidly evolving with the increase pace of technological development. Consumers are increasingly embracing shopping online and through mobile commerce applications, and this trend has been significantly increasing in response to the COVID-19 pandemic. As a result, an increasing portion of total consumer expenditures with retailers is occurring online and through mobile commerce applications. This overall trend has negatively affected many brick-and-mortar retailers, which has been exacerbated by the COVID-19 pandemic. If the Company’s brick-and-mortar retail customers fail to maintain or grow their overall market position through the integration of physical retail presence and digital retail, these customers may experience financial difficulties including store closures, bankruptcies or liquidations. This could, in turn, substantially reduce the Company’s revenues, increase credit risk and have a material adverse effect on the Company’s results of operations, financial condition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Company is unable to effectively manage its existing Internet business, the Company's reputation and operating results may be harmed.</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success of the Company’s Internet business depends, in part, on factors over which the Company may have limited control. The Company must successfully respond to changing consumer preferences and buying trends relating to Internet usage. The Company is also vulnerable to certain additional risks and uncertainties associated with the Internet, including: changes in required technology interfaces; website downtime and other technical failures; costs and technical issues as the Company upgrades its website software; computer viruses; changes in applicable federal and state regulations; security breaches; data breaches; and consumer privacy concerns. In addition, the Company must keep up to date with competitive technology trends, including the use of improved technology, creative user interfaces and other Internet marketing tools such as paid search, which may increase its costs and which may not succeed in increasing sales or attracting customers. The Company’s failure to successfully respond to these risks and uncertainties might adversely affect the sales in its Internet business, as well as damage the Company’s reputation and brands.</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Demand for new products and the inability to develop and introduce new competitive products at favorable profit margins could adversely affect the Company’s performance and prospects for future growth.</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New product introductions and product innovation are significant contributors to the Company’s growth strategy and the Company’s long-term success in the competitive retail environment depends in part on the Company’s ability to develop and market a continuing stream of innovative new products that meet changing consumer preferences. The uncertainties associated with developing and introducing new products, such as the market demands and the costs of development and production may impede the successful development and introduction of new products. Acceptance of the new products may not meet sales expectations due to several factors, such as the Company’s failure to accurately predict market demand or its inability to resolve technical issues in a timely and cost-effective manner. Additionally, the inability to develop new products on a timely basis could result in the loss of business to competitors.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risks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International suppliers subject the Company to regional regulatory, man-made or natural disasters, health epidemics, political, economic and foreign currency exchange risk that could materially and adversely affect the Company’s operating results.</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Company sources its products from suppliers located principally in Asia, Europe and the United States, which international scope of operations subjects the Company to various risks, including man-made or natural disasters, health epidemics, political, economic and foreign currency changes. Additionally, the Company’s vendors in Asia, from whom a substantial majority of the Company’s products are sourced, are located primarily in China, which subjects the Company to regional risks including regulatory, social and other risks. The Company’s ability to select and retain reliable vendors and suppliers who provide timely deliveries of quality parts and products efficiently will impact its success in meeting customer demand for timely delivery of quality products. The Company’s sourcing operations and its vendors are impacted by labor costs in China, where labor historically has been readily available at low cost relative to labor costs in North America. However, as China is experiencing rapid social, political and economic changes, labor costs have risen in some regions and labor in China may not continue to be available to the Company at costs consistent with historical levels. Changes in labor or other laws may be enacted, in China or in other countries in which the Company does business, which could have a material adverse effect on the Company’s operations and/or those of the Company’s suppliers. Changes in currency exchange rates might negatively affect the Company and its overseas vendors’ profitability and business prospects. The Company does not have access to its vendors’ financial information and the Company is unable to assess its vendors’ financial condition, including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their liquidity. Interruption of supplies from any of the Company’s vendors, or the loss of one or more key vendors, could have a negative effect on the Company’s business and operating results.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international trade subjects it to transportation risks.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imports its products for delivery to its distribution centers, as well as arranges for its customers to import goods to which title has passed overseas or at a port of entry. For purchases that are to be delivered to its distribution facilities, the Company arranges for transportation, primarily by sea, from ports in Asia and Europe to ports in the United States, principally New York/Newark/Elizabeth and Los Angeles/Long Beach, and in the U.K., principally Felixstowe. Accordingly, the Company is subject to risks incidental to such transportation. These risks include, but are not limited to, increases in fuel costs, fuel shortages, the availability of ships, increased security restrictions, work stoppages, weather disruptions and carriers’ ability to provide delivery services to meet the Company’s shipping needs. Transportation disruptions and increased transportation costs could materially adversely affect the Company’s business,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Company depends on third-party manufacturers to produce the vast majority of its products, which presents quality control risks to the Company.</w:t>
      </w:r>
    </w:p>
    <w:p>
      <w:pPr>
        <w:spacing w:after="0" w:line="15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With the exception of the Company’s sterling silver products, the Company sources almost all of its products from suppliers located outside the United States, primarily in China, which restricts the Company’s ability to monitor and control their manufacture of the Company’s goods.</w:t>
      </w:r>
    </w:p>
    <w:p>
      <w:pPr>
        <w:spacing w:after="0" w:line="14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Although the Company has agreements with its third party manufacturers regarding quality standards and regularly audits the facilities of its manufacturers through its quality control program, the third party manufacturers may not continue to meet the Company’s quality standards, social standards regarding its workforce that are expected in the United States or legislation and regulations that apply to the products the Company contracts to manufacture. Failure by the Company’s manufacturers to meet these standards could, in turn, increase order cancellations, returns and price concessions and decrease customer demand for the Company’s products. Non-compliance with the Company’s product standards, regulatory requirements or product recall (or other regulatory actions) could have a material adverse effect on the Company’s financial condition, results of operations or cash flows.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product costs are subject to price fluctuation.</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Various commodities comprise the raw materials used to manufacture the Company’s products. The prices of these commodities have historically fluctuated on a cyclical basis and have often depended on a variety of factors over which the Company has no control. Additionally, labor costs represent a significant component of the Company’s supplier’s manufacturing costs and the Company’s suppliers may increase the prices they charge the Company if they experience rising labor costs. The cost of producing and distributing the Company’s products is also sensitive to energy costs, duties and tariffs. The selling prices of the Company’s products have not always increased in response to raw material, labor or other cost increases, and the Company is unable to determine to what extent, if any, it will be able to pass future cost increases through to its customers. The Company’s inability to come to favorable agreements with its suppliers or to pass increased costs through to the Company’s customers could materially and adversely affect its financial condition or results of operations.</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A widespread outbreak of an illness, such as the COVID-19 pandemic, or other health issue could negatively affect various aspects of the business, including the Company's supply chain, and make it more difficult and expensive to meet the Company's obligations to its customers, and could result in reduced demand from its customers.</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The Company's global operations are susceptible to global events, including a widespread outbreak of an illness, such as the COVID-19 outbreak, or other health issue, As a result of epidemic outbreaks businesses can be shut down, supply chains can be interrupted, slowed, or rendered inoperable, and individuals can become ill, quarantined, or otherwise unable to work and/or travel due to health reasons or governmental restrictions. Epidemic outbreaks could also substantially interfere with general commercial activity related to the Company's supply chain and customer base, which could have a material adverse effect on the Company's financial condition, results of operations, business, or prospects.</w:t>
      </w:r>
    </w:p>
    <w:p>
      <w:pPr>
        <w:spacing w:after="0" w:line="201"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If the Company's operations are curtailed and the supply chain continues to be disrupted, the Company may need to seek alternate sources of supply for services and staff, which may be more expensive. Alternate sources may not be available or may result in delays in shipments to the Company from its supply chain and subsequently to the customers, each of which would affect the Company's results of operations. Further, if the customers’ businesses are similarly affected, they might delay or reduce purchases from the Company, which could have a material adverse effect on the Company's results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risks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loss of certain licenses or material changes in royalty rates could materially adversely affect the Company’s operating margin and cash flow.</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Significant portions of the Company’s business are dependent on trade names, trademarks and patents, some of which are licensed from third parties. In 2020, sales of licensed brands accounted for approximately 14% of the Company’s gross sales. The Company’s licenses for many of these brands require it to pay royalties based on sales. Many of these license agreements are subject to termination by the licensor, if, for example, the Company fails to satisfy certain minimum sales obligations or breaches the terms of the license. The loss of significant licenses or a material increase in the royalty rates the Company pays or other new terms negotiated upon renewal of such licenses could result in a reduction of the Company’s operating margins and cash flow from operations or otherwise adversely affect its business.</w:t>
      </w:r>
    </w:p>
    <w:p>
      <w:pPr>
        <w:spacing w:after="0" w:line="192"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 Company holds certain rights to use the Farberware brand for kitchen tools and gadgets, cutlery, cutting boards, shears and certain other products which together represent a material portion of its sales, through a fully-paid, royalty-free license for a term that expires in 2195, subject to earlier termination under certain circumstances. The licensor is a joint venture of which the Company is a 50% owner. The other 50% owner of the joint venture has the right to terminate the Company’s license if the Company materially breaches any of the material terms of the license and fails to cure the material breach within 180 days of notice of the breach, if it is determined in an arbitration proceeding that money damages alone would not be sufficient compensation to the licensor and that the breach is so egregious as to warrant termination of the license and forfeiture of the Company’s rights to use the brand under that license agreement. If the Company were to lose the Farberware license for kitchen tools and gadgets, cutlery, cutting boards, shears and certain other products through termination as a result of an uncured breach, its business, results of operations and financial condition would be materially adversely affected.</w:t>
      </w:r>
    </w:p>
    <w:p>
      <w:pPr>
        <w:spacing w:after="0" w:line="18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Sales of KitchenAid branded products, to a lesser extent, also represent a material portion of the Company’s sales. The Company also holds a license to use the KitchenAid brand subject to a license agreement that will expire in December 2022. The Company originally entered into a licensing arrangement for use of the KitchenAid brand in 2000, and has renewed the license, typically for three-year periods, since that time. Although it expects to be able to renew its current KitchenAid license prior to its expiration, there is no assurance that the Company will be able to do so on reasonable terms, or at all, and any failure to do so could have a material adverse effect on the Company’s business, results of operations and financial condition.</w:t>
      </w:r>
    </w:p>
    <w:p>
      <w:pPr>
        <w:spacing w:after="0" w:line="16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The Company may not be able to adequately establish or protect its intellectual property rights, and the infringement or loss of the Company’s intellectual property rights could harm its business.</w:t>
      </w:r>
    </w:p>
    <w:p>
      <w:pPr>
        <w:spacing w:after="0" w:line="6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To establish and protect the Company’s intellectual property rights, the Company relies upon a combination of U.S., foreign and multi-national patent, trademark, copyright and trade secret laws, together with licenses, confidentiality agreements and other contractual arrangements. The measures that the Company takes to protect its intellectual property rights may prove inadequate to prevent third parties from infringing or misappropriating the Company’s intellectual property, or from breaching their contractual obligations to the Company.</w:t>
      </w:r>
    </w:p>
    <w:p>
      <w:pPr>
        <w:spacing w:after="0" w:line="1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has obtained and applied for numerous U.S. and foreign trademark, service mark and patent registrations, and will continue to evaluate the registration of additional marks, patents or other intellectual property, as appropriate. The Company cannot guarantee that any of its pending applications will be approved by the applicable governmental authorities. Moreover, even if such applications are approved, third parties may seek to oppose, declare invalid or otherwise challenge these registrations. Failure to obtain registrations for the Company’s intellectual property in the United States and other countries could limit the Company’s ability to protect its intellectual property rights and impede the Company’s marketing efforts and operations in those jurisdictions.</w:t>
      </w:r>
    </w:p>
    <w:p>
      <w:pPr>
        <w:spacing w:after="0" w:line="1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may need to resort to litigation to enforce or defend its intellectual property rights. If a competitor or collaborator files a patent application claiming technology also claimed by the Company, or a trademark application claiming a trademark, service mark or trade dress also used by the Company, in order to protect the Company’s rights, the Company may have to participate in opposition or interference proceedings before the U.S. Patent and Trademark Office or a similar foreign agency. The Company cannot guarantee that the operation of its business does not infringe or otherwise violate the intellectual property rights of third parties, and the Company’s intellectual property rights may be challenged by third parties or invalidated through administrative process or litigation. The costs associated with protecting intellectual property rights, including costs associated with litigation or administrative proceedings, may be material and there can be no assurance that any such litigation or administrative proceedings will be successful. Any such matters or proceedings could be burdensome, divert the time and resources of the Company’s personnel and the Company may not prevail. Furthermore, even if the Company’s intellectual property rights are not directly challenged, disputes among third parties could lead to the weakening or invalidation of the Company’s intellectual property rights, or other parties such as the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Company’s competitors may independently develop technologies that are substantially equivalent or superior to the Company’s technology.</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laws of certain foreign countries in which the Company operates or may operate in the future do not protect, and the governments of certain foreign countries do not enforce, intellectual property rights to the same extent as do the laws and government of the U.S., which may negate the Company’s competitive or technological advantages in such markets. Moreover, any repeal or weakening of intellectual property laws or enforcement of those laws in the United States or foreign jurisdictions could make it more difficult for the Company to adequately protect its intellectual property rights, negatively impacting their value and increasing the cost of enforcing the Company’s rights. If the Company is unable to establish or adequately protect its intellectual property rights, the Company’s business, financial condition and results of operations could be materially and adversely affected.</w:t>
      </w:r>
    </w:p>
    <w:p>
      <w:pPr>
        <w:spacing w:after="0" w:line="1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the Company is unable to protect the confidentiality of its proprietary information and know-how, the value of the Company’s technology, products and services could be harmed significantly.</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registered intellectual property, the Company relies on know-how and other proprietary information in operating its business. If this information is not adequately protected, then it may be disclosed or used in an unauthorized manner. To the extent that consultants, vendors, key employees or other third parties apply technology independently developed by them or by others to the Company’s proposed products in the absence of a valid license or suitable non-disclosure or assignment of inventions provisions, disputes may arise as to the ownership of or rights to use such technology, which may not be resolved in the Company’s favor. If other parties breach confidentiality or other agreements, or if the Company’s registered intellectual property is not protected in the U.S. or foreign jurisdictions, this could harm the Company by enabling the Company’s competitors and other entities, who may have greater experience and financial resources, to copy or use the Company’s proprietary information in the advancement of their products, methods or technologies.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Company’s brands are subject to reputational risks and damage to the Company’s brands or reputation could adversely affect its business.</w:t>
      </w:r>
    </w:p>
    <w:p>
      <w:pPr>
        <w:spacing w:after="0" w:line="14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Company’s brands and its reputation are among its most important assets. The Company’s ability to attract and retain customers depends, in part, upon external perceptions of the Company, the quality of its products and its corporate and management integrity. The consumer goods industry is by its nature more prone to reputational risks than other industries. This has been compounded in recent years by the free flow of unverified information on the Internet and, in particular, on social media. Damage to the Company’s brands or reputation or negative publicity or perceptions about the Company could adversely affect its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and regulatory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Interruptions in the Company’s operations caused by outside forces could cause material losses.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worldwide operations could be subject to natural and man-made disasters, telecommunications failures, water shortages, tsunamis, floods, earthquakes, hurricanes, typhoons, fires, extreme weather conditions, conflicts, acts of terrorism, health epidemics and other business interruptions. The occurrence of any of these business disruptions could seriously harm the Company’s business, revenue and financial condition and increase the Company’s costs and expenses. If the Company’s or its manufacturers’ warehousing facilities or transportation facilities are damaged or destroyed, the Company would be unable to distribute products on a timely basis, which could harm the Company’s business. The Company’s back-up operations may be inadequate, and the Company’s business interruption insurance may not be sufficient to compensate for any losses that may occur.</w:t>
      </w:r>
    </w:p>
    <w:p>
      <w:pPr>
        <w:spacing w:after="0" w:line="16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Company’s international operations present special challenges that the Company may not be able to meet, and this could materially and adversely affect the Company’s financial results.</w:t>
      </w:r>
    </w:p>
    <w:p>
      <w:pPr>
        <w:spacing w:after="0" w:line="62"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The Company conducts business outside of the United States through subsidiaries, affiliates and joint ventures. These entities have operations and assets in the U.K., Mexico, Brazil, Canada, China and Hong Kong. Therefore, the Company is subject to increases and decreases in its investments in these entities resulting from the impact of fluctuations in foreign currency exchange rates. These entities also bear risks similar to those risks faced by the Company.</w:t>
      </w:r>
    </w:p>
    <w:p>
      <w:pPr>
        <w:spacing w:after="0" w:line="2"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However, there are specific additional risks related to these organizations, such as the failure of the Company’s partners or other investors to meet their obligations and higher credit and liquidity risks related to thinly capitalized entities. Failure of these entities or the Company’s vendors to adhere to required regulatory or other standards, including social compliance standards, could materially and adversely impact the Company’s reputation and business.</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the Company sells its products in foreign countries and seeks to increase its level of international business activity. Accordingly, the Company is subject to various risks, including:</w:t>
      </w:r>
    </w:p>
    <w:p>
      <w:pPr>
        <w:spacing w:after="0" w:line="62"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U.S.-imposed embargoes of sales to specific countries;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foreign import controls (which may be arbitrarily imposed or enforced);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import regulations and duties;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export regulations (which require the Company to comply with stringent licensing regimes);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anti-dumping regulations;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 and currency controls;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exchange rate fluctuations;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dividend remittance restrictions;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expropriation of assets;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war, civil uprisings and riots;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 instability;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necessity of obtaining governmental approval for new and continuing products and operations;</w:t>
      </w:r>
    </w:p>
    <w:p>
      <w:pPr>
        <w:spacing w:after="0" w:line="117" w:lineRule="exact"/>
        <w:rPr>
          <w:rFonts w:ascii="Arial" w:cs="Arial" w:eastAsia="Arial" w:hAnsi="Arial"/>
          <w:sz w:val="18"/>
          <w:szCs w:val="18"/>
          <w:color w:val="auto"/>
        </w:rPr>
      </w:pPr>
    </w:p>
    <w:p>
      <w:pPr>
        <w:ind w:left="980" w:right="44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legal systems or decrees, laws, taxes, regulations, interpretations and court decisions that are not always fully developed and that may be retroactively or arbitrarily applied;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restructuring and integration of the Company's European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public health epidemics;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income taxes, excise duties, import taxes, export taxes or other governmental assessments;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managing a global enterprise.</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Any significant violations of regulations or the occurrence of the events listed above could result in civil or criminal sanctions or the loss of export or other licenses, which could have a material adverse effect on the Company’s business, results of operations and financial condition. In addition, the Company’s organizational structure may limit its ability to transfer funds between countries, particularly into and out of the United States, without incurring adverse tax consequences. Any of these events could result in a loss of business or other unexpected costs that could reduce sales or profits and have a material adverse effect on the Company’s financial condition, results of operations and cash flows.</w:t>
      </w:r>
    </w:p>
    <w:p>
      <w:pPr>
        <w:spacing w:after="0" w:line="1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Company operates in a regulated environment that imposes significant compliance requirements. Non-compliance with these requirements could subject the Company to sanctions and materially adversely affect the Company’s business.</w:t>
      </w:r>
    </w:p>
    <w:p>
      <w:pPr>
        <w:spacing w:after="0" w:line="6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Company is subject in the ordinary course of its business, in the United States and elsewhere, to many statutes, ordinances, rules and regulations that, if violated by the Company or its affiliates, partners or vendors, could have a material adverse effect on the Company’s business. The Company is required to comply with the United States Foreign Corrupt Practices Act (“FCPA”), the U.K. Bribery Act and similar anti-bribery, anti-corruption and anti-kickback laws adopted in many of the countries in which the Company does business that prohibit the Company from engaging in bribery or making other prohibited payments to foreign officials for the purpose of obtaining or retaining business and also require maintenance of adequate record-keeping and internal accounting practices to accurately reflect transactions. Under the FCPA, companies operating in the United States may be held liable for actions taken by their strategic or local partners or representatives. The U.K. Bribery Act is broader in scope than the FCPA in that it directly addresses commercial bribery in addition to bribery of government officials and it does not recognize certain exceptions, notably facilitation payments that are permitted by the FCPA. Civil and criminal penalties may be imposed for violations of these laws. In many of the countries in which the Company operates, particularly those with developing economies, it is or has been common for government officials and businesses to engage in business practices that are prohibited by these laws. If the Company does not properly implement and maintain practices and controls with respect to compliance with applicable anti-corruption, anti-bribery and anti-kickback laws, or if the Company fails to enforce those practices and controls properly, the Company may be subject to regulatory sanctions, including administrative costs related to governmental and internal investigations, civil and criminal penalties, injunctions and restrictions on the Company’s business and capital raising activities, any of which could materially and adversely affect the Company’s business, results of operations and financial condition. The Company’s employees, distributors, dealers and other agents could engage in conduct that is not in compliance with such laws for which the Company might be held responsible. If the Company’s employees, distributors, dealers or other agents are found to have engaged in illegal practices, the Company could suffer substantial penalties and the reputation, business, results of operations and financial condition of the Company could be materially adversely affected.</w:t>
      </w:r>
    </w:p>
    <w:p>
      <w:pPr>
        <w:spacing w:after="0" w:line="1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New and future laws and regulations governing the Internet and e-commerce could have a material adverse effect on the Company’s business, results of operations and financial condition.</w:t>
      </w:r>
    </w:p>
    <w:p>
      <w:pPr>
        <w:spacing w:after="0" w:line="6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is subject to laws and regulations governing the Internet and e-commerce. These existing and future laws and regulations may impede the growth of the Internet, e-commerce or other online services. These regulations and laws may cover taxation, user privacy, data protection, pricing, content, copyrights, distribution, electronic contracts and other communications,</w:t>
      </w:r>
    </w:p>
    <w:p>
      <w:pPr>
        <w:sectPr>
          <w:pgSz w:w="11900" w:h="16838" w:orient="portrait"/>
          <w:cols w:equalWidth="0" w:num="1">
            <w:col w:w="11240"/>
          </w:cols>
          <w:pgMar w:left="320" w:top="125"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consumer protection, the provision of online payment services, broadband residential Internet access and the characteristics and quality of products and services. It is not clear how existing laws governing issues such as property ownership, sales and other taxes, and personal privacy apply to the Internet and e-commerce. Unfavorable resolutions of these issues could diminish the demand for the Company’s products on the Internet and increase the cost of doing business.</w:t>
      </w:r>
    </w:p>
    <w:p>
      <w:pPr>
        <w:spacing w:after="0" w:line="214"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 xml:space="preserve">On June 21, 2018, the U.S. Supreme Court decided </w:t>
      </w:r>
      <w:r>
        <w:rPr>
          <w:rFonts w:ascii="Arial" w:cs="Arial" w:eastAsia="Arial" w:hAnsi="Arial"/>
          <w:sz w:val="16"/>
          <w:szCs w:val="16"/>
          <w:i w:val="1"/>
          <w:iCs w:val="1"/>
          <w:color w:val="auto"/>
        </w:rPr>
        <w:t>South Dakota v. Wayfair, Inc. et al</w:t>
      </w:r>
      <w:r>
        <w:rPr>
          <w:rFonts w:ascii="Arial" w:cs="Arial" w:eastAsia="Arial" w:hAnsi="Arial"/>
          <w:sz w:val="16"/>
          <w:szCs w:val="16"/>
          <w:color w:val="auto"/>
        </w:rPr>
        <w:t>, (the “Wayfair Decision”), a case that challenged existing law under which online retailers are not required to collect sales tax unless they have a physical presence in the buyer’s state. The Wayfair Decision established that a state may enforce or adopt laws requiring online retailers to collect and remit sales tax if there is a substantial nexus between the online retailer’s activity and the state, even if the retailer has no physical presence within the taxing state. The majority of U.S. states have enacted laws or have pending legislation that require online retailers to collect and remit sales tax for online sales. These laws and pending legislation could result in the Company incurring substantial tax liabilities, including taxes on past sales, as well as penalties and interest. The imposition by state governments of sales tax collection obligations on out-of-state internet retailers could also create additional administrative burdens on the Company. This decision and the enactment and enforcement of laws resulting from this decision could also impact where the Company is required to file state income taxes. As a result, the Company’s effective income tax rate, the cost of the Company’s e-commerce business, and the growth of its e-commerce business, could be materially adversely effected by the Wayfair Decision and other new laws or regulations governing the internet and e-commerce. This potential negative impact on the Company’s e-commerce business could have a material adverse effect on the Company’s overall business, results of operations and financial condition.</w:t>
      </w:r>
    </w:p>
    <w:p>
      <w:pPr>
        <w:spacing w:after="0" w:line="16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 failure in or compromise of the Company’s operating systems or infrastructure or those of third parties could disrupt the Company’s business and cause losses.</w:t>
      </w:r>
    </w:p>
    <w:p>
      <w:pPr>
        <w:spacing w:after="0" w:line="6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Company relies on many information technology systems for the operation of its principal business functions, including, but not limited to, the Company’s enterprise resource planning, warehouse management, inventory forecast and ordering and call center systems. In the case of the Company’s inventory forecast and ordering system, most of the Company’s orders are received directly through electronic connections with the Company’s largest customers. Additionally, the success of certain product categories in a competitive marketplace is dependent upon the creation and launch of new, innovative products. Accordingly, to keep pace within a competitive retail environment, the Company uses and will continue to evaluate new technologies to improve the efficiency of designing new innovative products. The failure or compromise of any of these systems or technologies could have a material adverse effect on the Company’s business and results of operations.</w:t>
      </w:r>
    </w:p>
    <w:p>
      <w:pPr>
        <w:spacing w:after="0" w:line="17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The Company is subject to cyber security risks and may incur increasing costs in efforts to minimize those risks and to comply with regulatory standards.</w:t>
      </w:r>
    </w:p>
    <w:p>
      <w:pPr>
        <w:spacing w:after="0" w:line="62"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color w:val="auto"/>
        </w:rPr>
        <w:t>The Company employs information technology systems and operates websites which allow for the secure storage and transmission of proprietary or confidential information regarding the Company’s customers, employees and others, including credit card information and personal identification information. The Company has made significant efforts to secure its computer network to mitigate the risk of possible cyber-attacks, including, but not limited to, data breaches, and is continuously working to upgrade its existing information technology systems and provide employee awareness training around phishing, malware, and other cyber risks to ensure that the Company is protected, to the greatest extent possible, against cyber risks and security breaches. In the first quarter of 2021, we experienced a cyber security incident affecting our information technology systems. The business disruption caused by the cyber incident was minimal. Despite our continuous efforts to ensure the security of the Company’s computer networks, any future cyber incidents could compromise our information technology systems, which could impact operations and confidential information could be misappropriated, which could lead to negative publicity, loss of sales and profits or cause the Company to incur significant costs to reimburse third- parties for damages, which could adversely impact profits.</w:t>
      </w:r>
    </w:p>
    <w:p>
      <w:pPr>
        <w:spacing w:after="0" w:line="21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Additionally, the Company must comply with increasingly complex and rigorous regulatory standards enacted to protect businesses and personal data, including the General Data Protection Regulation (“GDPR”) and the California Consumer Privacy Act. GDPR is a comprehensive European Union privacy and data protection reform, effective in 2018, which applies to companies that are organized in the European Union or otherwise provide services to consumers who reside in the European Union, and imposes strict standards regarding the sharing, storage, use, disclosure and protection of end user data and significant penalties (monetary and otherwise) for non-compliance. The California Consumer Privacy Act, which became effective in January 2020, created new data privacy rights, including a new private right of action for data breaches and requires companies that process information on California residents to make new disclosures to consumers about their data collection, use and sharing practices and allow consumers to opt out of certain data sharing with third parties. Any failure to comply with GDPR, the California Consumer Privacy Act, or other regulatory standards, could subject the Company to legal and reputational risks. Misuse of or failure to secure personal information could also result in violation of data privacy laws and regulations, proceedings against the Company by governmental entities or others, damage to the Company’s reputation and credibility, and could have a material adverse effect on the Company’s business and results of operations.</w:t>
      </w:r>
    </w:p>
    <w:p>
      <w:pPr>
        <w:spacing w:after="0" w:line="20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is in the process of transitioning the Company's Systems, Applications and Products and other critical systems to cloud-based technologies. As the Company transitions to cloud-based technologies, the Company may be exposed to additional cyber threats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the Company migrates from legacy systems to cloud-based solutions. The Company's increased dependence on third parties for cloud-based systems may also subject the Company to further cyber threats.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sells consumer products which involve an inherent risk of product liability claims.</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marketing of certain of the Company’s consumer products involve an inherent risk of product liability claims or recalls or other regulatory or enforcement actions initiated by the U.S. Consumer Product Safety Commission, by the Office of Fair Trading in the U.K., by other regulatory authorities or through private causes of action. The Company has in the past, and may have in the future, recalls (both voluntary and involuntary) of its products. Any defects in products the Company markets could harm the Company’s reputation, adversely affect its relationship with its customers and decrease market acceptance of the Company’s products and the strength of the brand names under which the Company markets such products. Potential product liability claims may exceed the amount of the Company’s insurance coverage (which is subject to self-insured retention amounts) and could materially damage the Company’s business and its financial condition. Additionally, the Company’s product standards could be impacted by new or revised environmental rules and regulations or other social initiatives.</w:t>
      </w:r>
    </w:p>
    <w:p>
      <w:pPr>
        <w:spacing w:after="0" w:line="17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The Company may incur material costs due to environmental liabilities which could have a material adverse effect on the Company’s business, financial condition and results of operations.</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is subject to a broad range of federal, state, local, foreign and multi-national laws and regulations relating to the environment. These include laws and regulations that govern:</w:t>
      </w:r>
    </w:p>
    <w:p>
      <w:pPr>
        <w:spacing w:after="0" w:line="62"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discharges into the air, water and land;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handling and disposal of solid and hazardous substances and wastes;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remediation of contamination associated with release of hazardous substances at the Company’s facilities and at off-site disposal locations.</w:t>
      </w:r>
    </w:p>
    <w:p>
      <w:pPr>
        <w:spacing w:after="0" w:line="27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may incur material costs to comply with increasingly stringent environmental laws and enforcement policies. Moreover, there are proposed international accords and treaties, as well as federal, state and local laws and regulations, which would attempt to control or limit the causes of climate change, including the effect of greenhouse gas emissions on the environment. In the event that the U.S. government or foreign governments enact new climate change laws or regulations or make changes to existing laws or regulations, compliance with applicable laws or regulations may result in increased manufacturing costs for the Company’s products, such as by requiring investment in new pollution control equipment or changing the ways in which certain of the Company’s products are made. The Company may incur some of these costs directly and others may be passed on to the Company from its third-party suppliers. Although the Company believes that it is substantially in compliance with applicable environmental laws and regulations at its facilities, the Company may not always be in compliance with such laws and regulations or any new laws and regulations in the future, which could have a material adverse effect on the Company’s business, financial condition and results of operations.</w:t>
      </w:r>
    </w:p>
    <w:p>
      <w:pPr>
        <w:spacing w:after="0" w:line="5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For further discussion of the Company's legal proceedings refer to NOTE 14 — COMMITMENTS AND CONTINGENCIES to the Company's consolidated financial statements included in this Annual Report on Form 10-K.</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Company’ executives and other key employees are critical to the Company’s success. The loss of and/or failure to attract and maintain its highly skilled employees could adversely affect the Company’s business.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success depends, in part, on the efforts and skills of its executives and other key employees. The Company’s key employees are experienced and highly qualified in the housewares industry. The loss of any of the Company’s executive officers or other key employees could harm the business and the Company’s ability to timely achieve its strategic initiatives. The Company’s success also depends, in part, on its ability to identify, hire and retain other skilled personnel. The Company’s industry is characterized by a high level of employee mobility and aggressive recruiting among competitors for personnel with successful track records. The Company may not be able to attract and retain skilled personnel or may incur significant costs in order to do so.</w:t>
      </w:r>
    </w:p>
    <w:p>
      <w:pPr>
        <w:spacing w:after="0" w:line="1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As a result of the Company’s acquisition of Filament, Taylor Parent has significant influence over the Company and its interests may conflict with the Company’s or its stockholders in the future.</w:t>
      </w:r>
    </w:p>
    <w:p>
      <w:pPr>
        <w:spacing w:after="0" w:line="62"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As a result of the issuance of common stock to Taylor Parent, Taylor Parent has significant influence over the Company. Going forward, Taylor Parent’s degree of control will depend on, among other things, its level of ownership of the Company’s common stock and its ability to exercise certain rights under the terms of the Stockholders Agreement that the Company entered into with Taylor Parent in connection with the acquisition and merger agreement.</w:t>
      </w:r>
    </w:p>
    <w:p>
      <w:pPr>
        <w:spacing w:after="0" w:line="1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Stockholders Agreement, for so long as Taylor Parent continues to beneficially own at least 50% of the shares it received at the consummation of the acquisition, neither the Company nor any of its subsidiaries may take any of the following actions without the approval of the directors designated by Taylor Parent, such approval not to be unreasonably withheld: (i) enter into any agreement for a transaction that would result in a change of control of the Company; (ii) consummate any transaction for the sale of all or</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substantially all of the Company’s assets; (iii) file for reorganization pursuant to Chapter 11, or for liquidation pursuant to Chapter 7, of the U.S. Bankruptcy Code; (iv) liquidate or dissolve the business and affairs of the Company; (v) take any Board of Directors action to seek an amendment to the Company’s Certificate of Incorporation or approve, or recommend that the Company’s stockholders approve, an amendment to the Company’s Amended and Restated Bylaws, except as required by Delaware Law (as defined in the merger agreement) or other applicable law and other than amendments that would not materially and disproportionately affect Taylor Parent; (vi) incur additional debt in excess of $100 million in the aggregate, subject to certain exceptions; (vii) acquire or dispose of assets or a business, in each case with an individual value in excess of $100 million; (viii) terminate the employment of the Chief Executive Officer, other than for cause (in which case the Company shall consult in good faith with Taylor Parent on a replacement Chief Executive Officer); or (ix) adopt a stockholder rights plan that does not exempt as “grandfathered persons” the stockholders party to the Stockholders Agreement and their affiliates from being deemed “acquiring persons” due to their beneficial ownership of the common stock of the Company upon the public announcement of adoption of such stockholder rights plan (it being understood that no such plan shall restrict any stockholder party to the Stockholders Agreement or its affiliates from acquiring, in the aggregate, common stock up to the level of their aggregate percentage beneficial ownership as of the public announcement of the adoption of such stockholder rights plan).</w:t>
      </w:r>
    </w:p>
    <w:p>
      <w:pPr>
        <w:spacing w:after="0" w:line="1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Accordingly, Taylor Parent’s influence over the Company and the consequences of such control could have a material adverse effect on the Company’s business and business prospects and negatively impact the trading price of its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principal properties at which the Company operated its business at December 31, 2020: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3540" w:type="dxa"/>
            <w:vAlign w:val="bottom"/>
            <w:gridSpan w:val="2"/>
            <w:vMerge w:val="restart"/>
          </w:tcPr>
          <w:p>
            <w:pPr>
              <w:ind w:left="1360"/>
              <w:spacing w:after="0"/>
              <w:rPr>
                <w:sz w:val="20"/>
                <w:szCs w:val="20"/>
                <w:color w:val="auto"/>
              </w:rPr>
            </w:pPr>
            <w:r>
              <w:rPr>
                <w:rFonts w:ascii="Arial" w:cs="Arial" w:eastAsia="Arial" w:hAnsi="Arial"/>
                <w:sz w:val="14"/>
                <w:szCs w:val="14"/>
                <w:b w:val="1"/>
                <w:bCs w:val="1"/>
                <w:color w:val="auto"/>
              </w:rPr>
              <w:t>Description</w:t>
            </w:r>
          </w:p>
        </w:tc>
        <w:tc>
          <w:tcPr>
            <w:tcW w:w="1920" w:type="dxa"/>
            <w:vAlign w:val="bottom"/>
          </w:tcPr>
          <w:p>
            <w:pPr>
              <w:jc w:val="center"/>
              <w:ind w:left="728"/>
              <w:spacing w:after="0"/>
              <w:rPr>
                <w:sz w:val="20"/>
                <w:szCs w:val="20"/>
                <w:color w:val="auto"/>
              </w:rPr>
            </w:pPr>
            <w:r>
              <w:rPr>
                <w:rFonts w:ascii="Arial" w:cs="Arial" w:eastAsia="Arial" w:hAnsi="Arial"/>
                <w:sz w:val="14"/>
                <w:szCs w:val="14"/>
                <w:b w:val="1"/>
                <w:bCs w:val="1"/>
                <w:color w:val="auto"/>
                <w:w w:val="85"/>
              </w:rPr>
              <w:t>Size</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ind w:right="392"/>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188"/>
        </w:trPr>
        <w:tc>
          <w:tcPr>
            <w:tcW w:w="3400" w:type="dxa"/>
            <w:vAlign w:val="bottom"/>
            <w:gridSpan w:val="2"/>
            <w:vMerge w:val="continue"/>
          </w:tcPr>
          <w:p>
            <w:pPr>
              <w:spacing w:after="0"/>
              <w:rPr>
                <w:sz w:val="16"/>
                <w:szCs w:val="16"/>
                <w:color w:val="auto"/>
              </w:rPr>
            </w:pPr>
          </w:p>
        </w:tc>
        <w:tc>
          <w:tcPr>
            <w:tcW w:w="3540" w:type="dxa"/>
            <w:vAlign w:val="bottom"/>
            <w:gridSpan w:val="2"/>
            <w:vMerge w:val="continue"/>
          </w:tcPr>
          <w:p>
            <w:pPr>
              <w:spacing w:after="0"/>
              <w:rPr>
                <w:sz w:val="16"/>
                <w:szCs w:val="16"/>
                <w:color w:val="auto"/>
              </w:rPr>
            </w:pPr>
          </w:p>
        </w:tc>
        <w:tc>
          <w:tcPr>
            <w:tcW w:w="1920" w:type="dxa"/>
            <w:vAlign w:val="bottom"/>
          </w:tcPr>
          <w:p>
            <w:pPr>
              <w:jc w:val="center"/>
              <w:ind w:left="728"/>
              <w:spacing w:after="0"/>
              <w:rPr>
                <w:sz w:val="20"/>
                <w:szCs w:val="20"/>
                <w:color w:val="auto"/>
              </w:rPr>
            </w:pPr>
            <w:r>
              <w:rPr>
                <w:rFonts w:ascii="Arial" w:cs="Arial" w:eastAsia="Arial" w:hAnsi="Arial"/>
                <w:sz w:val="14"/>
                <w:szCs w:val="14"/>
                <w:b w:val="1"/>
                <w:bCs w:val="1"/>
                <w:color w:val="auto"/>
                <w:w w:val="90"/>
              </w:rPr>
              <w:t>(square feet)</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12"/>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224"/>
        </w:trPr>
        <w:tc>
          <w:tcPr>
            <w:tcW w:w="3280" w:type="dxa"/>
            <w:vAlign w:val="bottom"/>
            <w:tcBorders>
              <w:top w:val="single" w:sz="8" w:color="auto"/>
            </w:tcBorders>
          </w:tcPr>
          <w:p>
            <w:pPr>
              <w:ind w:left="20"/>
              <w:spacing w:after="0" w:line="223" w:lineRule="exact"/>
              <w:rPr>
                <w:sz w:val="20"/>
                <w:szCs w:val="20"/>
                <w:color w:val="auto"/>
              </w:rPr>
            </w:pPr>
            <w:r>
              <w:rPr>
                <w:rFonts w:ascii="Arial" w:cs="Arial" w:eastAsia="Arial" w:hAnsi="Arial"/>
                <w:sz w:val="18"/>
                <w:szCs w:val="18"/>
                <w:color w:val="auto"/>
              </w:rPr>
              <w:t xml:space="preserve">Rialto, California </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3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West Coast warehouse and distribution facility</w:t>
            </w:r>
          </w:p>
        </w:tc>
        <w:tc>
          <w:tcPr>
            <w:tcW w:w="120" w:type="dxa"/>
            <w:vAlign w:val="bottom"/>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703,000</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57"/>
        </w:trPr>
        <w:tc>
          <w:tcPr>
            <w:tcW w:w="3400" w:type="dxa"/>
            <w:vAlign w:val="bottom"/>
            <w:gridSpan w:val="2"/>
          </w:tcPr>
          <w:p>
            <w:pPr>
              <w:ind w:left="20"/>
              <w:spacing w:after="0" w:line="257" w:lineRule="exact"/>
              <w:rPr>
                <w:sz w:val="20"/>
                <w:szCs w:val="20"/>
                <w:color w:val="auto"/>
              </w:rPr>
            </w:pPr>
            <w:r>
              <w:rPr>
                <w:rFonts w:ascii="Arial" w:cs="Arial" w:eastAsia="Arial" w:hAnsi="Arial"/>
                <w:sz w:val="18"/>
                <w:szCs w:val="18"/>
                <w:color w:val="auto"/>
              </w:rPr>
              <w:t xml:space="preserve">Robbinsville, New Jersey </w:t>
            </w:r>
            <w:r>
              <w:rPr>
                <w:rFonts w:ascii="Arial" w:cs="Arial" w:eastAsia="Arial" w:hAnsi="Arial"/>
                <w:sz w:val="23"/>
                <w:szCs w:val="23"/>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Principal East Coast warehouse and</w:t>
            </w:r>
          </w:p>
        </w:tc>
        <w:tc>
          <w:tcPr>
            <w:tcW w:w="19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700,000</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40" w:type="dxa"/>
            <w:vAlign w:val="bottom"/>
            <w:gridSpan w:val="2"/>
          </w:tcPr>
          <w:p>
            <w:pPr>
              <w:ind w:left="20"/>
              <w:spacing w:after="0" w:line="148" w:lineRule="exact"/>
              <w:rPr>
                <w:sz w:val="20"/>
                <w:szCs w:val="20"/>
                <w:color w:val="auto"/>
              </w:rPr>
            </w:pPr>
            <w:r>
              <w:rPr>
                <w:rFonts w:ascii="Arial" w:cs="Arial" w:eastAsia="Arial" w:hAnsi="Arial"/>
                <w:sz w:val="17"/>
                <w:szCs w:val="17"/>
                <w:color w:val="auto"/>
              </w:rPr>
              <w:t>distribution facility</w:t>
            </w:r>
          </w:p>
        </w:tc>
        <w:tc>
          <w:tcPr>
            <w:tcW w:w="1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400" w:type="dxa"/>
            <w:vAlign w:val="bottom"/>
            <w:gridSpan w:val="2"/>
          </w:tcPr>
          <w:p>
            <w:pPr>
              <w:ind w:left="20"/>
              <w:spacing w:after="0" w:line="257" w:lineRule="exact"/>
              <w:rPr>
                <w:sz w:val="20"/>
                <w:szCs w:val="20"/>
                <w:color w:val="auto"/>
              </w:rPr>
            </w:pPr>
            <w:r>
              <w:rPr>
                <w:rFonts w:ascii="Arial" w:cs="Arial" w:eastAsia="Arial" w:hAnsi="Arial"/>
                <w:sz w:val="18"/>
                <w:szCs w:val="18"/>
                <w:color w:val="auto"/>
              </w:rPr>
              <w:t xml:space="preserve">Aston, England </w:t>
            </w:r>
            <w:r>
              <w:rPr>
                <w:rFonts w:ascii="Arial" w:cs="Arial" w:eastAsia="Arial" w:hAnsi="Arial"/>
                <w:sz w:val="23"/>
                <w:szCs w:val="23"/>
                <w:color w:val="auto"/>
                <w:vertAlign w:val="superscript"/>
              </w:rPr>
              <w:t>(2)</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Offices, showroom, warehouse and</w:t>
            </w:r>
          </w:p>
        </w:tc>
        <w:tc>
          <w:tcPr>
            <w:tcW w:w="19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260,000</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40" w:type="dxa"/>
            <w:vAlign w:val="bottom"/>
            <w:gridSpan w:val="2"/>
          </w:tcPr>
          <w:p>
            <w:pPr>
              <w:ind w:left="20"/>
              <w:spacing w:after="0" w:line="148" w:lineRule="exact"/>
              <w:rPr>
                <w:sz w:val="20"/>
                <w:szCs w:val="20"/>
                <w:color w:val="auto"/>
              </w:rPr>
            </w:pPr>
            <w:r>
              <w:rPr>
                <w:rFonts w:ascii="Arial" w:cs="Arial" w:eastAsia="Arial" w:hAnsi="Arial"/>
                <w:sz w:val="17"/>
                <w:szCs w:val="17"/>
                <w:color w:val="auto"/>
              </w:rPr>
              <w:t>distribution facility</w:t>
            </w:r>
          </w:p>
        </w:tc>
        <w:tc>
          <w:tcPr>
            <w:tcW w:w="1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400" w:type="dxa"/>
            <w:vAlign w:val="bottom"/>
            <w:gridSpan w:val="2"/>
          </w:tcPr>
          <w:p>
            <w:pPr>
              <w:ind w:left="20"/>
              <w:spacing w:after="0" w:line="257" w:lineRule="exact"/>
              <w:rPr>
                <w:sz w:val="20"/>
                <w:szCs w:val="20"/>
                <w:color w:val="auto"/>
              </w:rPr>
            </w:pPr>
            <w:r>
              <w:rPr>
                <w:rFonts w:ascii="Arial" w:cs="Arial" w:eastAsia="Arial" w:hAnsi="Arial"/>
                <w:sz w:val="18"/>
                <w:szCs w:val="18"/>
                <w:color w:val="auto"/>
              </w:rPr>
              <w:t xml:space="preserve">Winchendon, Massachusetts </w:t>
            </w:r>
            <w:r>
              <w:rPr>
                <w:rFonts w:ascii="Arial" w:cs="Arial" w:eastAsia="Arial" w:hAnsi="Arial"/>
                <w:sz w:val="23"/>
                <w:szCs w:val="23"/>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w w:val="96"/>
              </w:rPr>
              <w:t>Warehouse and distribution facility, and spice</w:t>
            </w:r>
          </w:p>
        </w:tc>
        <w:tc>
          <w:tcPr>
            <w:tcW w:w="19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148"/>
        </w:trPr>
        <w:tc>
          <w:tcPr>
            <w:tcW w:w="3400" w:type="dxa"/>
            <w:vAlign w:val="bottom"/>
            <w:gridSpan w:val="2"/>
            <w:vMerge w:val="restart"/>
          </w:tcPr>
          <w:p>
            <w:pPr>
              <w:ind w:left="20"/>
              <w:spacing w:after="0"/>
              <w:rPr>
                <w:sz w:val="20"/>
                <w:szCs w:val="20"/>
                <w:color w:val="auto"/>
              </w:rPr>
            </w:pPr>
            <w:r>
              <w:rPr>
                <w:rFonts w:ascii="Arial" w:cs="Arial" w:eastAsia="Arial" w:hAnsi="Arial"/>
                <w:sz w:val="18"/>
                <w:szCs w:val="18"/>
                <w:color w:val="auto"/>
              </w:rPr>
              <w:t xml:space="preserve">Garden City, New York </w:t>
            </w:r>
            <w:r>
              <w:rPr>
                <w:rFonts w:ascii="Arial" w:cs="Arial" w:eastAsia="Arial" w:hAnsi="Arial"/>
                <w:sz w:val="23"/>
                <w:szCs w:val="23"/>
                <w:color w:val="auto"/>
                <w:vertAlign w:val="superscript"/>
              </w:rPr>
              <w:t>(3)</w:t>
            </w:r>
          </w:p>
        </w:tc>
        <w:tc>
          <w:tcPr>
            <w:tcW w:w="3540" w:type="dxa"/>
            <w:vAlign w:val="bottom"/>
            <w:gridSpan w:val="2"/>
          </w:tcPr>
          <w:p>
            <w:pPr>
              <w:ind w:left="20"/>
              <w:spacing w:after="0" w:line="148" w:lineRule="exact"/>
              <w:rPr>
                <w:sz w:val="20"/>
                <w:szCs w:val="20"/>
                <w:color w:val="auto"/>
              </w:rPr>
            </w:pPr>
            <w:r>
              <w:rPr>
                <w:rFonts w:ascii="Arial" w:cs="Arial" w:eastAsia="Arial" w:hAnsi="Arial"/>
                <w:sz w:val="17"/>
                <w:szCs w:val="17"/>
                <w:color w:val="auto"/>
              </w:rPr>
              <w:t>packing line</w:t>
            </w:r>
          </w:p>
        </w:tc>
        <w:tc>
          <w:tcPr>
            <w:tcW w:w="1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400" w:type="dxa"/>
            <w:vAlign w:val="bottom"/>
            <w:gridSpan w:val="2"/>
            <w:vMerge w:val="continue"/>
          </w:tcPr>
          <w:p>
            <w:pPr>
              <w:spacing w:after="0"/>
              <w:rPr>
                <w:sz w:val="19"/>
                <w:szCs w:val="19"/>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Corporate headquarters/main showroom</w:t>
            </w:r>
          </w:p>
        </w:tc>
        <w:tc>
          <w:tcPr>
            <w:tcW w:w="19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57"/>
        </w:trPr>
        <w:tc>
          <w:tcPr>
            <w:tcW w:w="3400" w:type="dxa"/>
            <w:vAlign w:val="bottom"/>
            <w:gridSpan w:val="2"/>
          </w:tcPr>
          <w:p>
            <w:pPr>
              <w:ind w:left="20"/>
              <w:spacing w:after="0" w:line="257" w:lineRule="exact"/>
              <w:rPr>
                <w:sz w:val="20"/>
                <w:szCs w:val="20"/>
                <w:color w:val="auto"/>
              </w:rPr>
            </w:pPr>
            <w:r>
              <w:rPr>
                <w:rFonts w:ascii="Arial" w:cs="Arial" w:eastAsia="Arial" w:hAnsi="Arial"/>
                <w:sz w:val="18"/>
                <w:szCs w:val="18"/>
                <w:color w:val="auto"/>
              </w:rPr>
              <w:t xml:space="preserve">Medford, Massachusetts </w:t>
            </w:r>
            <w:r>
              <w:rPr>
                <w:rFonts w:ascii="Arial" w:cs="Arial" w:eastAsia="Arial" w:hAnsi="Arial"/>
                <w:sz w:val="23"/>
                <w:szCs w:val="23"/>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Offices, showroom, warehouse and</w:t>
            </w:r>
          </w:p>
        </w:tc>
        <w:tc>
          <w:tcPr>
            <w:tcW w:w="19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69,000</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148"/>
        </w:trPr>
        <w:tc>
          <w:tcPr>
            <w:tcW w:w="3400" w:type="dxa"/>
            <w:vAlign w:val="bottom"/>
            <w:gridSpan w:val="2"/>
            <w:vMerge w:val="restart"/>
          </w:tcPr>
          <w:p>
            <w:pPr>
              <w:ind w:left="20"/>
              <w:spacing w:after="0"/>
              <w:rPr>
                <w:sz w:val="20"/>
                <w:szCs w:val="20"/>
                <w:color w:val="auto"/>
              </w:rPr>
            </w:pPr>
            <w:r>
              <w:rPr>
                <w:rFonts w:ascii="Arial" w:cs="Arial" w:eastAsia="Arial" w:hAnsi="Arial"/>
                <w:sz w:val="18"/>
                <w:szCs w:val="18"/>
                <w:color w:val="auto"/>
              </w:rPr>
              <w:t xml:space="preserve">San Germán, Puerto Rico </w:t>
            </w:r>
            <w:r>
              <w:rPr>
                <w:rFonts w:ascii="Arial" w:cs="Arial" w:eastAsia="Arial" w:hAnsi="Arial"/>
                <w:sz w:val="23"/>
                <w:szCs w:val="23"/>
                <w:color w:val="auto"/>
                <w:vertAlign w:val="superscript"/>
              </w:rPr>
              <w:t>(1)</w:t>
            </w:r>
          </w:p>
        </w:tc>
        <w:tc>
          <w:tcPr>
            <w:tcW w:w="3540" w:type="dxa"/>
            <w:vAlign w:val="bottom"/>
            <w:gridSpan w:val="2"/>
          </w:tcPr>
          <w:p>
            <w:pPr>
              <w:ind w:left="20"/>
              <w:spacing w:after="0" w:line="148" w:lineRule="exact"/>
              <w:rPr>
                <w:sz w:val="20"/>
                <w:szCs w:val="20"/>
                <w:color w:val="auto"/>
              </w:rPr>
            </w:pPr>
            <w:r>
              <w:rPr>
                <w:rFonts w:ascii="Arial" w:cs="Arial" w:eastAsia="Arial" w:hAnsi="Arial"/>
                <w:sz w:val="17"/>
                <w:szCs w:val="17"/>
                <w:color w:val="auto"/>
              </w:rPr>
              <w:t>distribution facility</w:t>
            </w:r>
          </w:p>
        </w:tc>
        <w:tc>
          <w:tcPr>
            <w:tcW w:w="1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0" w:type="dxa"/>
            <w:vAlign w:val="bottom"/>
            <w:gridSpan w:val="2"/>
            <w:vMerge w:val="continue"/>
          </w:tcPr>
          <w:p>
            <w:pPr>
              <w:spacing w:after="0"/>
              <w:rPr>
                <w:sz w:val="19"/>
                <w:szCs w:val="19"/>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Sterling silver manufacturing facility</w:t>
            </w:r>
          </w:p>
        </w:tc>
        <w:tc>
          <w:tcPr>
            <w:tcW w:w="19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30"/>
        </w:trPr>
        <w:tc>
          <w:tcPr>
            <w:tcW w:w="34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Las Cruces, New Mexico </w:t>
            </w:r>
            <w:r>
              <w:rPr>
                <w:rFonts w:ascii="Arial" w:cs="Arial" w:eastAsia="Arial" w:hAnsi="Arial"/>
                <w:sz w:val="23"/>
                <w:szCs w:val="23"/>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Offices, warehouse and distribution facility</w:t>
            </w:r>
          </w:p>
        </w:tc>
        <w:tc>
          <w:tcPr>
            <w:tcW w:w="19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29"/>
        </w:trPr>
        <w:tc>
          <w:tcPr>
            <w:tcW w:w="34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Shanghai, China </w:t>
            </w:r>
            <w:r>
              <w:rPr>
                <w:rFonts w:ascii="Arial" w:cs="Arial" w:eastAsia="Arial" w:hAnsi="Arial"/>
                <w:sz w:val="23"/>
                <w:szCs w:val="23"/>
                <w:color w:val="auto"/>
                <w:vertAlign w:val="superscript"/>
              </w:rPr>
              <w:t>(3)</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Offices</w:t>
            </w:r>
          </w:p>
        </w:tc>
        <w:tc>
          <w:tcPr>
            <w:tcW w:w="19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30"/>
        </w:trPr>
        <w:tc>
          <w:tcPr>
            <w:tcW w:w="34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Oak Brook, Illinois </w:t>
            </w:r>
            <w:r>
              <w:rPr>
                <w:rFonts w:ascii="Arial" w:cs="Arial" w:eastAsia="Arial" w:hAnsi="Arial"/>
                <w:sz w:val="23"/>
                <w:szCs w:val="23"/>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Offices</w:t>
            </w:r>
          </w:p>
        </w:tc>
        <w:tc>
          <w:tcPr>
            <w:tcW w:w="19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29"/>
        </w:trPr>
        <w:tc>
          <w:tcPr>
            <w:tcW w:w="34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Guangzhou, China </w:t>
            </w:r>
            <w:r>
              <w:rPr>
                <w:rFonts w:ascii="Arial" w:cs="Arial" w:eastAsia="Arial" w:hAnsi="Arial"/>
                <w:sz w:val="23"/>
                <w:szCs w:val="23"/>
                <w:color w:val="auto"/>
                <w:vertAlign w:val="superscript"/>
              </w:rPr>
              <w:t>(3)</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Offices</w:t>
            </w:r>
          </w:p>
        </w:tc>
        <w:tc>
          <w:tcPr>
            <w:tcW w:w="19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29"/>
        </w:trPr>
        <w:tc>
          <w:tcPr>
            <w:tcW w:w="34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Seattle, Washington </w:t>
            </w:r>
            <w:r>
              <w:rPr>
                <w:rFonts w:ascii="Arial" w:cs="Arial" w:eastAsia="Arial" w:hAnsi="Arial"/>
                <w:sz w:val="23"/>
                <w:szCs w:val="23"/>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Offices</w:t>
            </w:r>
          </w:p>
        </w:tc>
        <w:tc>
          <w:tcPr>
            <w:tcW w:w="19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30"/>
        </w:trPr>
        <w:tc>
          <w:tcPr>
            <w:tcW w:w="34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New York, New York </w:t>
            </w:r>
            <w:r>
              <w:rPr>
                <w:rFonts w:ascii="Arial" w:cs="Arial" w:eastAsia="Arial" w:hAnsi="Arial"/>
                <w:sz w:val="23"/>
                <w:szCs w:val="23"/>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Offices and showrooms</w:t>
            </w:r>
          </w:p>
        </w:tc>
        <w:tc>
          <w:tcPr>
            <w:tcW w:w="19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29"/>
        </w:trPr>
        <w:tc>
          <w:tcPr>
            <w:tcW w:w="34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Atlanta, Georgia </w:t>
            </w:r>
            <w:r>
              <w:rPr>
                <w:rFonts w:ascii="Arial" w:cs="Arial" w:eastAsia="Arial" w:hAnsi="Arial"/>
                <w:sz w:val="23"/>
                <w:szCs w:val="23"/>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Showrooms</w:t>
            </w:r>
          </w:p>
        </w:tc>
        <w:tc>
          <w:tcPr>
            <w:tcW w:w="19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30"/>
        </w:trPr>
        <w:tc>
          <w:tcPr>
            <w:tcW w:w="34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Bentonville, Arkansas </w:t>
            </w:r>
            <w:r>
              <w:rPr>
                <w:rFonts w:ascii="Arial" w:cs="Arial" w:eastAsia="Arial" w:hAnsi="Arial"/>
                <w:sz w:val="23"/>
                <w:szCs w:val="23"/>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Offices and showroom</w:t>
            </w:r>
          </w:p>
        </w:tc>
        <w:tc>
          <w:tcPr>
            <w:tcW w:w="19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29"/>
        </w:trPr>
        <w:tc>
          <w:tcPr>
            <w:tcW w:w="34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Newtown, Pennsylvania </w:t>
            </w:r>
            <w:r>
              <w:rPr>
                <w:rFonts w:ascii="Arial" w:cs="Arial" w:eastAsia="Arial" w:hAnsi="Arial"/>
                <w:sz w:val="23"/>
                <w:szCs w:val="23"/>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Offices</w:t>
            </w:r>
          </w:p>
        </w:tc>
        <w:tc>
          <w:tcPr>
            <w:tcW w:w="19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30"/>
        </w:trPr>
        <w:tc>
          <w:tcPr>
            <w:tcW w:w="34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Pawtucket, Rhode Island </w:t>
            </w:r>
            <w:r>
              <w:rPr>
                <w:rFonts w:ascii="Arial" w:cs="Arial" w:eastAsia="Arial" w:hAnsi="Arial"/>
                <w:sz w:val="23"/>
                <w:szCs w:val="23"/>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Offices and showroom</w:t>
            </w:r>
          </w:p>
        </w:tc>
        <w:tc>
          <w:tcPr>
            <w:tcW w:w="19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29"/>
        </w:trPr>
        <w:tc>
          <w:tcPr>
            <w:tcW w:w="34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Menomonee Falls, Wisconsin </w:t>
            </w:r>
            <w:r>
              <w:rPr>
                <w:rFonts w:ascii="Arial" w:cs="Arial" w:eastAsia="Arial" w:hAnsi="Arial"/>
                <w:sz w:val="23"/>
                <w:szCs w:val="23"/>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Showroom</w:t>
            </w:r>
          </w:p>
        </w:tc>
        <w:tc>
          <w:tcPr>
            <w:tcW w:w="19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30"/>
        </w:trPr>
        <w:tc>
          <w:tcPr>
            <w:tcW w:w="34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Kowloon, Hong Kong </w:t>
            </w:r>
            <w:r>
              <w:rPr>
                <w:rFonts w:ascii="Arial" w:cs="Arial" w:eastAsia="Arial" w:hAnsi="Arial"/>
                <w:sz w:val="23"/>
                <w:szCs w:val="23"/>
                <w:color w:val="auto"/>
                <w:vertAlign w:val="superscript"/>
              </w:rPr>
              <w:t>(3)</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Offices and showroom</w:t>
            </w:r>
          </w:p>
        </w:tc>
        <w:tc>
          <w:tcPr>
            <w:tcW w:w="19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2,585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30"/>
        </w:trPr>
        <w:tc>
          <w:tcPr>
            <w:tcW w:w="34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Tianjin, China </w:t>
            </w:r>
            <w:r>
              <w:rPr>
                <w:rFonts w:ascii="Arial" w:cs="Arial" w:eastAsia="Arial" w:hAnsi="Arial"/>
                <w:sz w:val="23"/>
                <w:szCs w:val="23"/>
                <w:color w:val="auto"/>
                <w:vertAlign w:val="superscript"/>
              </w:rPr>
              <w:t>(3)</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Offices</w:t>
            </w:r>
          </w:p>
        </w:tc>
        <w:tc>
          <w:tcPr>
            <w:tcW w:w="19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30"/>
        </w:trPr>
        <w:tc>
          <w:tcPr>
            <w:tcW w:w="34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Minneapolis, Minnesota </w:t>
            </w:r>
            <w:r>
              <w:rPr>
                <w:rFonts w:ascii="Arial" w:cs="Arial" w:eastAsia="Arial" w:hAnsi="Arial"/>
                <w:sz w:val="23"/>
                <w:szCs w:val="23"/>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Offices</w:t>
            </w:r>
          </w:p>
        </w:tc>
        <w:tc>
          <w:tcPr>
            <w:tcW w:w="19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304"/>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 xml:space="preserve">Isaaquah, Washington </w:t>
            </w:r>
            <w:r>
              <w:rPr>
                <w:rFonts w:ascii="Arial" w:cs="Arial" w:eastAsia="Arial" w:hAnsi="Arial"/>
                <w:sz w:val="23"/>
                <w:szCs w:val="23"/>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Offices and showroom</w:t>
            </w:r>
          </w:p>
        </w:tc>
        <w:tc>
          <w:tcPr>
            <w:tcW w:w="19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bl>
    <w:p>
      <w:pPr>
        <w:ind w:left="480" w:hanging="472"/>
        <w:spacing w:after="0" w:line="231" w:lineRule="auto"/>
        <w:tabs>
          <w:tab w:leader="none" w:pos="48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Location primarily used by the U.S. segment.</w:t>
      </w:r>
    </w:p>
    <w:p>
      <w:pPr>
        <w:spacing w:after="0" w:line="2" w:lineRule="exact"/>
        <w:rPr>
          <w:rFonts w:ascii="Arial" w:cs="Arial" w:eastAsia="Arial" w:hAnsi="Arial"/>
          <w:sz w:val="23"/>
          <w:szCs w:val="23"/>
          <w:color w:val="auto"/>
          <w:vertAlign w:val="superscript"/>
        </w:rPr>
      </w:pPr>
    </w:p>
    <w:p>
      <w:pPr>
        <w:ind w:left="480" w:hanging="472"/>
        <w:spacing w:after="0" w:line="194" w:lineRule="auto"/>
        <w:tabs>
          <w:tab w:leader="none" w:pos="48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Location used by the International segment.</w:t>
      </w:r>
    </w:p>
    <w:p>
      <w:pPr>
        <w:spacing w:after="0" w:line="2" w:lineRule="exact"/>
        <w:rPr>
          <w:rFonts w:ascii="Arial" w:cs="Arial" w:eastAsia="Arial" w:hAnsi="Arial"/>
          <w:sz w:val="23"/>
          <w:szCs w:val="23"/>
          <w:color w:val="auto"/>
          <w:vertAlign w:val="superscript"/>
        </w:rPr>
      </w:pPr>
    </w:p>
    <w:p>
      <w:pPr>
        <w:ind w:left="480" w:hanging="472"/>
        <w:spacing w:after="0" w:line="194" w:lineRule="auto"/>
        <w:tabs>
          <w:tab w:leader="none" w:pos="48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Location used by all segments.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 description of our legal proceedings, please see NOTE 14 — COMMITMENTS AND CONTINGENCIES, to the Company's consolidated financial statements included in this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right="1820"/>
        <w:spacing w:after="0" w:line="488" w:lineRule="auto"/>
        <w:rPr>
          <w:sz w:val="20"/>
          <w:szCs w:val="20"/>
          <w:color w:val="auto"/>
        </w:rPr>
      </w:pPr>
      <w:r>
        <w:rPr>
          <w:rFonts w:ascii="Arial" w:cs="Arial" w:eastAsia="Arial" w:hAnsi="Arial"/>
          <w:sz w:val="16"/>
          <w:szCs w:val="16"/>
          <w:b w:val="1"/>
          <w:bCs w:val="1"/>
          <w:color w:val="auto"/>
        </w:rPr>
        <w:t xml:space="preserve">Item 5. Market For Registrant’s Common Equity, Related Stockholder Matters and Issuer Purchases of Equity Securities </w:t>
      </w:r>
      <w:r>
        <w:rPr>
          <w:rFonts w:ascii="Arial" w:cs="Arial" w:eastAsia="Arial" w:hAnsi="Arial"/>
          <w:sz w:val="16"/>
          <w:szCs w:val="16"/>
          <w:color w:val="auto"/>
        </w:rPr>
        <w:t>The Company’s common stock is traded under the symbol “LCUT” on the NASDAQ Global Select Market (“NASDAQ”).</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At February 28, 2021, the Company estimates that there were approximately 2,095 record holders of the Company’s common stock.</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is authorized to issue 100 shares of Series A Preferred stock and 2,000,000 shares of Series B Preferred stock, none of which were issued or outstanding at December 31, 2020.</w:t>
      </w:r>
    </w:p>
    <w:p>
      <w:pPr>
        <w:spacing w:after="0" w:line="62"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For a discussion of dividends paid by the Company in 2020 and 2019, refer to Item 7. Management’s Discussion and Analysis of Financial Condition and Results of Operations – Liquidity and Capital Resources – Dividends. The Board of Directors currently intends to continue paying cash dividends for the foreseeable future, although the Board of Directors may in its discretion determine to modify or eliminate such dividends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chart compares the cumulative total return on the Company’s common stock with the NASDAQ Market Index, the Company’s peer group, which is comprised of companies that we believe have comparable characteristics and are in the same industry or line-of-business, and the Hemscott Group Index for Housewares &amp; Accessories. The comparisons in this chart are required by the SEC and are not intended to forecast or be indicative of the possible future performance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172200" cy="33947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72200"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Lifetime</w:t>
            </w:r>
          </w:p>
        </w:tc>
        <w:tc>
          <w:tcPr>
            <w:tcW w:w="200" w:type="dxa"/>
            <w:vAlign w:val="bottom"/>
          </w:tcPr>
          <w:p>
            <w:pPr>
              <w:spacing w:after="0"/>
              <w:rPr>
                <w:sz w:val="14"/>
                <w:szCs w:val="14"/>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Hemscott</w:t>
            </w:r>
          </w:p>
        </w:tc>
        <w:tc>
          <w:tcPr>
            <w:tcW w:w="280" w:type="dxa"/>
            <w:vAlign w:val="bottom"/>
          </w:tcPr>
          <w:p>
            <w:pPr>
              <w:spacing w:after="0"/>
              <w:rPr>
                <w:sz w:val="14"/>
                <w:szCs w:val="14"/>
                <w:color w:val="auto"/>
              </w:rPr>
            </w:pPr>
          </w:p>
        </w:tc>
        <w:tc>
          <w:tcPr>
            <w:tcW w:w="11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Peer</w:t>
            </w:r>
          </w:p>
        </w:tc>
        <w:tc>
          <w:tcPr>
            <w:tcW w:w="240" w:type="dxa"/>
            <w:vAlign w:val="bottom"/>
          </w:tcPr>
          <w:p>
            <w:pPr>
              <w:spacing w:after="0"/>
              <w:rPr>
                <w:sz w:val="14"/>
                <w:szCs w:val="14"/>
                <w:color w:val="auto"/>
              </w:rPr>
            </w:pPr>
          </w:p>
        </w:tc>
        <w:tc>
          <w:tcPr>
            <w:tcW w:w="1120" w:type="dxa"/>
            <w:vAlign w:val="bottom"/>
          </w:tcPr>
          <w:p>
            <w:pPr>
              <w:jc w:val="center"/>
              <w:ind w:right="156"/>
              <w:spacing w:after="0"/>
              <w:rPr>
                <w:sz w:val="20"/>
                <w:szCs w:val="20"/>
                <w:color w:val="auto"/>
              </w:rPr>
            </w:pPr>
            <w:r>
              <w:rPr>
                <w:rFonts w:ascii="Arial" w:cs="Arial" w:eastAsia="Arial" w:hAnsi="Arial"/>
                <w:sz w:val="14"/>
                <w:szCs w:val="14"/>
                <w:b w:val="1"/>
                <w:bCs w:val="1"/>
                <w:color w:val="auto"/>
                <w:w w:val="98"/>
              </w:rPr>
              <w:t>NASDAQ</w:t>
            </w:r>
          </w:p>
        </w:tc>
        <w:tc>
          <w:tcPr>
            <w:tcW w:w="0" w:type="dxa"/>
            <w:vAlign w:val="bottom"/>
          </w:tcPr>
          <w:p>
            <w:pPr>
              <w:spacing w:after="0"/>
              <w:rPr>
                <w:sz w:val="1"/>
                <w:szCs w:val="1"/>
                <w:color w:val="auto"/>
              </w:rPr>
            </w:pPr>
          </w:p>
        </w:tc>
      </w:tr>
      <w:tr>
        <w:trPr>
          <w:trHeight w:val="135"/>
        </w:trPr>
        <w:tc>
          <w:tcPr>
            <w:tcW w:w="5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Date</w:t>
            </w:r>
          </w:p>
        </w:tc>
        <w:tc>
          <w:tcPr>
            <w:tcW w:w="2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36"/>
              <w:spacing w:after="0" w:line="135"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88"/>
        </w:trPr>
        <w:tc>
          <w:tcPr>
            <w:tcW w:w="54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Brands, Inc.</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Group Index</w:t>
            </w:r>
          </w:p>
        </w:tc>
        <w:tc>
          <w:tcPr>
            <w:tcW w:w="280" w:type="dxa"/>
            <w:vAlign w:val="bottom"/>
          </w:tcPr>
          <w:p>
            <w:pPr>
              <w:spacing w:after="0"/>
              <w:rPr>
                <w:sz w:val="16"/>
                <w:szCs w:val="16"/>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Group</w:t>
            </w:r>
          </w:p>
        </w:tc>
        <w:tc>
          <w:tcPr>
            <w:tcW w:w="240" w:type="dxa"/>
            <w:vAlign w:val="bottom"/>
          </w:tcPr>
          <w:p>
            <w:pPr>
              <w:spacing w:after="0"/>
              <w:rPr>
                <w:sz w:val="16"/>
                <w:szCs w:val="16"/>
                <w:color w:val="auto"/>
              </w:rPr>
            </w:pPr>
          </w:p>
        </w:tc>
        <w:tc>
          <w:tcPr>
            <w:tcW w:w="1120" w:type="dxa"/>
            <w:vAlign w:val="bottom"/>
          </w:tcPr>
          <w:p>
            <w:pPr>
              <w:jc w:val="center"/>
              <w:ind w:right="156"/>
              <w:spacing w:after="0"/>
              <w:rPr>
                <w:sz w:val="20"/>
                <w:szCs w:val="20"/>
                <w:color w:val="auto"/>
              </w:rPr>
            </w:pPr>
            <w:r>
              <w:rPr>
                <w:rFonts w:ascii="Arial" w:cs="Arial" w:eastAsia="Arial" w:hAnsi="Arial"/>
                <w:sz w:val="14"/>
                <w:szCs w:val="14"/>
                <w:b w:val="1"/>
                <w:bCs w:val="1"/>
                <w:color w:val="auto"/>
                <w:w w:val="98"/>
              </w:rPr>
              <w:t>Index</w:t>
            </w:r>
          </w:p>
        </w:tc>
        <w:tc>
          <w:tcPr>
            <w:tcW w:w="0" w:type="dxa"/>
            <w:vAlign w:val="bottom"/>
          </w:tcPr>
          <w:p>
            <w:pPr>
              <w:spacing w:after="0"/>
              <w:rPr>
                <w:sz w:val="1"/>
                <w:szCs w:val="1"/>
                <w:color w:val="auto"/>
              </w:rPr>
            </w:pPr>
          </w:p>
        </w:tc>
      </w:tr>
      <w:tr>
        <w:trPr>
          <w:trHeight w:val="224"/>
        </w:trPr>
        <w:tc>
          <w:tcPr>
            <w:tcW w:w="538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12/31/2015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12/31/2016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135.40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103.49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93.38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108.87</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12/31/2017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141.13</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12/31/2018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78.24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45.83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115.63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137.12</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12/31/2019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187.44</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12/31/2020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123.31</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59.04</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188.28</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271.64</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00" w:right="20" w:hanging="492"/>
        <w:spacing w:after="0" w:line="260" w:lineRule="auto"/>
        <w:tabs>
          <w:tab w:leader="none" w:pos="488"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The graph assumes $100 was invested as of the close of trading on December 31, 2015 and dividends were reinvested. Measurement points are at the last trading day of each of the fiscal years ended December 31, 2016, 2017, 2018, 2019 and 2020. The material in this chart is not soliciting material, is not deemed filed with the SEC and is not incorporated by reference in any filing of the Company under the Securities Act of 1933, as amended, or the Securities Exchange Act of 1934, as amended, irrespective of any general incorporation by reference language in such filing. A list of the companies included in the Company’s Hemscott Group Index will be furnished by the Company to any stockholder upon written request to the Chief Financial Officer of the Company. Peer issuers included in the peer group identified include, Acushnet Holdings Corp., Callaway Golf Co., Crocs, Inc., Delta Apparel, Inc., Hamilton Beach Brands Holding Co., Helen of Troy Ltd., JAKKS Pacific, Inc., Lands’ End, Inc., Movado Group, Inc., Oxford Industries, Inc., The Buckle, Inc. and Tupperware Brands Corp.</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information regarding issuer purchases of equity securities: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right="125"/>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145"/>
              <w:spacing w:after="0" w:line="135" w:lineRule="exact"/>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w w:val="92"/>
              </w:rPr>
              <w:t>Total number of</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125"/>
              <w:spacing w:after="0" w:line="135" w:lineRule="exact"/>
              <w:rPr>
                <w:sz w:val="20"/>
                <w:szCs w:val="20"/>
                <w:color w:val="auto"/>
              </w:rPr>
            </w:pPr>
            <w:r>
              <w:rPr>
                <w:rFonts w:ascii="Arial" w:cs="Arial" w:eastAsia="Arial" w:hAnsi="Arial"/>
                <w:sz w:val="14"/>
                <w:szCs w:val="14"/>
                <w:b w:val="1"/>
                <w:bCs w:val="1"/>
                <w:color w:val="auto"/>
                <w:w w:val="92"/>
              </w:rPr>
              <w:t>dollar value of</w:t>
            </w: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125"/>
              <w:spacing w:after="0" w:line="135" w:lineRule="exact"/>
              <w:rPr>
                <w:sz w:val="20"/>
                <w:szCs w:val="20"/>
                <w:color w:val="auto"/>
              </w:rPr>
            </w:pPr>
            <w:r>
              <w:rPr>
                <w:rFonts w:ascii="Arial" w:cs="Arial" w:eastAsia="Arial" w:hAnsi="Arial"/>
                <w:sz w:val="14"/>
                <w:szCs w:val="14"/>
                <w:b w:val="1"/>
                <w:bCs w:val="1"/>
                <w:color w:val="auto"/>
                <w:w w:val="90"/>
              </w:rPr>
              <w:t>shares that</w:t>
            </w: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ind w:left="208"/>
              <w:spacing w:after="0" w:line="135" w:lineRule="exact"/>
              <w:rPr>
                <w:sz w:val="20"/>
                <w:szCs w:val="20"/>
                <w:color w:val="auto"/>
              </w:rPr>
            </w:pPr>
            <w:r>
              <w:rPr>
                <w:rFonts w:ascii="Arial" w:cs="Arial" w:eastAsia="Arial" w:hAnsi="Arial"/>
                <w:sz w:val="14"/>
                <w:szCs w:val="14"/>
                <w:b w:val="1"/>
                <w:bCs w:val="1"/>
                <w:color w:val="auto"/>
                <w:w w:val="84"/>
              </w:rPr>
              <w:t>shares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145"/>
              <w:spacing w:after="0" w:line="135" w:lineRule="exact"/>
              <w:rPr>
                <w:sz w:val="20"/>
                <w:szCs w:val="20"/>
                <w:color w:val="auto"/>
              </w:rPr>
            </w:pPr>
            <w:r>
              <w:rPr>
                <w:rFonts w:ascii="Arial" w:cs="Arial" w:eastAsia="Arial" w:hAnsi="Arial"/>
                <w:sz w:val="14"/>
                <w:szCs w:val="14"/>
                <w:b w:val="1"/>
                <w:bCs w:val="1"/>
                <w:color w:val="auto"/>
                <w:w w:val="91"/>
              </w:rPr>
              <w:t>may yet be</w:t>
            </w: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ind w:left="208"/>
              <w:spacing w:after="0" w:line="135" w:lineRule="exact"/>
              <w:rPr>
                <w:sz w:val="20"/>
                <w:szCs w:val="20"/>
                <w:color w:val="auto"/>
              </w:rPr>
            </w:pPr>
            <w:r>
              <w:rPr>
                <w:rFonts w:ascii="Arial" w:cs="Arial" w:eastAsia="Arial" w:hAnsi="Arial"/>
                <w:sz w:val="14"/>
                <w:szCs w:val="14"/>
                <w:b w:val="1"/>
                <w:bCs w:val="1"/>
                <w:color w:val="auto"/>
                <w:w w:val="90"/>
              </w:rPr>
              <w:t>purchased as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125"/>
              <w:spacing w:after="0" w:line="135" w:lineRule="exact"/>
              <w:rPr>
                <w:sz w:val="20"/>
                <w:szCs w:val="20"/>
                <w:color w:val="auto"/>
              </w:rPr>
            </w:pPr>
            <w:r>
              <w:rPr>
                <w:rFonts w:ascii="Arial" w:cs="Arial" w:eastAsia="Arial" w:hAnsi="Arial"/>
                <w:sz w:val="14"/>
                <w:szCs w:val="14"/>
                <w:b w:val="1"/>
                <w:bCs w:val="1"/>
                <w:color w:val="auto"/>
                <w:w w:val="90"/>
              </w:rPr>
              <w:t>purchased</w:t>
            </w: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ind w:left="208"/>
              <w:spacing w:after="0" w:line="135" w:lineRule="exact"/>
              <w:rPr>
                <w:sz w:val="20"/>
                <w:szCs w:val="20"/>
                <w:color w:val="auto"/>
              </w:rPr>
            </w:pPr>
            <w:r>
              <w:rPr>
                <w:rFonts w:ascii="Arial" w:cs="Arial" w:eastAsia="Arial" w:hAnsi="Arial"/>
                <w:sz w:val="14"/>
                <w:szCs w:val="14"/>
                <w:b w:val="1"/>
                <w:bCs w:val="1"/>
                <w:color w:val="auto"/>
                <w:w w:val="93"/>
              </w:rPr>
              <w:t>part of publicly</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125"/>
              <w:spacing w:after="0" w:line="135" w:lineRule="exact"/>
              <w:rPr>
                <w:sz w:val="20"/>
                <w:szCs w:val="20"/>
                <w:color w:val="auto"/>
              </w:rPr>
            </w:pPr>
            <w:r>
              <w:rPr>
                <w:rFonts w:ascii="Arial" w:cs="Arial" w:eastAsia="Arial" w:hAnsi="Arial"/>
                <w:sz w:val="14"/>
                <w:szCs w:val="14"/>
                <w:b w:val="1"/>
                <w:bCs w:val="1"/>
                <w:color w:val="auto"/>
                <w:w w:val="92"/>
              </w:rPr>
              <w:t>under the plans</w:t>
            </w: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Average price</w:t>
            </w:r>
          </w:p>
        </w:tc>
        <w:tc>
          <w:tcPr>
            <w:tcW w:w="1300" w:type="dxa"/>
            <w:vAlign w:val="bottom"/>
          </w:tcPr>
          <w:p>
            <w:pPr>
              <w:jc w:val="center"/>
              <w:ind w:left="208"/>
              <w:spacing w:after="0" w:line="135" w:lineRule="exact"/>
              <w:rPr>
                <w:sz w:val="20"/>
                <w:szCs w:val="20"/>
                <w:color w:val="auto"/>
              </w:rPr>
            </w:pPr>
            <w:r>
              <w:rPr>
                <w:rFonts w:ascii="Arial" w:cs="Arial" w:eastAsia="Arial" w:hAnsi="Arial"/>
                <w:sz w:val="14"/>
                <w:szCs w:val="14"/>
                <w:b w:val="1"/>
                <w:bCs w:val="1"/>
                <w:color w:val="auto"/>
                <w:w w:val="88"/>
              </w:rPr>
              <w:t>announced</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125"/>
              <w:spacing w:after="0" w:line="135" w:lineRule="exact"/>
              <w:rPr>
                <w:sz w:val="20"/>
                <w:szCs w:val="20"/>
                <w:color w:val="auto"/>
              </w:rPr>
            </w:pPr>
            <w:r>
              <w:rPr>
                <w:rFonts w:ascii="Arial" w:cs="Arial" w:eastAsia="Arial" w:hAnsi="Arial"/>
                <w:sz w:val="14"/>
                <w:szCs w:val="14"/>
                <w:b w:val="1"/>
                <w:bCs w:val="1"/>
                <w:color w:val="auto"/>
                <w:w w:val="92"/>
              </w:rPr>
              <w:t>or programs</w:t>
            </w:r>
          </w:p>
        </w:tc>
        <w:tc>
          <w:tcPr>
            <w:tcW w:w="0" w:type="dxa"/>
            <w:vAlign w:val="bottom"/>
          </w:tcPr>
          <w:p>
            <w:pPr>
              <w:spacing w:after="0"/>
              <w:rPr>
                <w:sz w:val="1"/>
                <w:szCs w:val="1"/>
                <w:color w:val="auto"/>
              </w:rPr>
            </w:pPr>
          </w:p>
        </w:tc>
      </w:tr>
      <w:tr>
        <w:trPr>
          <w:trHeight w:val="135"/>
        </w:trPr>
        <w:tc>
          <w:tcPr>
            <w:tcW w:w="4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shares</w:t>
            </w:r>
          </w:p>
        </w:tc>
        <w:tc>
          <w:tcPr>
            <w:tcW w:w="2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300" w:type="dxa"/>
            <w:vAlign w:val="bottom"/>
          </w:tcPr>
          <w:p>
            <w:pPr>
              <w:jc w:val="center"/>
              <w:ind w:left="208"/>
              <w:spacing w:after="0" w:line="135" w:lineRule="exact"/>
              <w:rPr>
                <w:sz w:val="20"/>
                <w:szCs w:val="20"/>
                <w:color w:val="auto"/>
              </w:rPr>
            </w:pPr>
            <w:r>
              <w:rPr>
                <w:rFonts w:ascii="Arial" w:cs="Arial" w:eastAsia="Arial" w:hAnsi="Arial"/>
                <w:sz w:val="14"/>
                <w:szCs w:val="14"/>
                <w:b w:val="1"/>
                <w:bCs w:val="1"/>
                <w:color w:val="auto"/>
                <w:w w:val="91"/>
              </w:rPr>
              <w:t>plans or</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125"/>
              <w:spacing w:after="0" w:line="135" w:lineRule="exact"/>
              <w:rPr>
                <w:sz w:val="20"/>
                <w:szCs w:val="20"/>
                <w:color w:val="auto"/>
              </w:rPr>
            </w:pPr>
            <w:r>
              <w:rPr>
                <w:rFonts w:ascii="Arial" w:cs="Arial" w:eastAsia="Arial" w:hAnsi="Arial"/>
                <w:sz w:val="14"/>
                <w:szCs w:val="14"/>
                <w:b w:val="1"/>
                <w:bCs w:val="1"/>
                <w:color w:val="auto"/>
                <w:w w:val="87"/>
              </w:rPr>
              <w:t>subsequent to</w:t>
            </w:r>
          </w:p>
        </w:tc>
        <w:tc>
          <w:tcPr>
            <w:tcW w:w="0" w:type="dxa"/>
            <w:vAlign w:val="bottom"/>
          </w:tcPr>
          <w:p>
            <w:pPr>
              <w:spacing w:after="0"/>
              <w:rPr>
                <w:sz w:val="1"/>
                <w:szCs w:val="1"/>
                <w:color w:val="auto"/>
              </w:rPr>
            </w:pPr>
          </w:p>
        </w:tc>
      </w:tr>
      <w:tr>
        <w:trPr>
          <w:trHeight w:val="189"/>
        </w:trPr>
        <w:tc>
          <w:tcPr>
            <w:tcW w:w="4660" w:type="dxa"/>
            <w:vAlign w:val="bottom"/>
            <w:gridSpan w:val="2"/>
            <w:vMerge w:val="continue"/>
          </w:tcPr>
          <w:p>
            <w:pPr>
              <w:spacing w:after="0"/>
              <w:rPr>
                <w:sz w:val="16"/>
                <w:szCs w:val="16"/>
                <w:color w:val="auto"/>
              </w:rPr>
            </w:pPr>
          </w:p>
        </w:tc>
        <w:tc>
          <w:tcPr>
            <w:tcW w:w="1660" w:type="dxa"/>
            <w:vAlign w:val="bottom"/>
            <w:gridSpan w:val="2"/>
          </w:tcPr>
          <w:p>
            <w:pPr>
              <w:jc w:val="center"/>
              <w:ind w:right="80"/>
              <w:spacing w:after="0" w:line="189" w:lineRule="exact"/>
              <w:rPr>
                <w:sz w:val="20"/>
                <w:szCs w:val="20"/>
                <w:color w:val="auto"/>
              </w:rPr>
            </w:pPr>
            <w:r>
              <w:rPr>
                <w:rFonts w:ascii="Arial" w:cs="Arial" w:eastAsia="Arial" w:hAnsi="Arial"/>
                <w:sz w:val="14"/>
                <w:szCs w:val="14"/>
                <w:b w:val="1"/>
                <w:bCs w:val="1"/>
                <w:color w:val="auto"/>
                <w:w w:val="87"/>
              </w:rPr>
              <w:t xml:space="preserve">purchased </w:t>
            </w:r>
            <w:r>
              <w:rPr>
                <w:rFonts w:ascii="Arial" w:cs="Arial" w:eastAsia="Arial" w:hAnsi="Arial"/>
                <w:sz w:val="18"/>
                <w:szCs w:val="18"/>
                <w:b w:val="1"/>
                <w:bCs w:val="1"/>
                <w:color w:val="auto"/>
                <w:w w:val="87"/>
                <w:vertAlign w:val="superscript"/>
              </w:rPr>
              <w:t>(1)</w:t>
            </w:r>
          </w:p>
        </w:tc>
        <w:tc>
          <w:tcPr>
            <w:tcW w:w="22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paid per share</w:t>
            </w:r>
          </w:p>
        </w:tc>
        <w:tc>
          <w:tcPr>
            <w:tcW w:w="1300" w:type="dxa"/>
            <w:vAlign w:val="bottom"/>
          </w:tcPr>
          <w:p>
            <w:pPr>
              <w:jc w:val="center"/>
              <w:ind w:left="208"/>
              <w:spacing w:after="0" w:line="189" w:lineRule="exact"/>
              <w:rPr>
                <w:sz w:val="20"/>
                <w:szCs w:val="20"/>
                <w:color w:val="auto"/>
              </w:rPr>
            </w:pPr>
            <w:r>
              <w:rPr>
                <w:rFonts w:ascii="Arial" w:cs="Arial" w:eastAsia="Arial" w:hAnsi="Arial"/>
                <w:sz w:val="14"/>
                <w:szCs w:val="14"/>
                <w:b w:val="1"/>
                <w:bCs w:val="1"/>
                <w:color w:val="auto"/>
                <w:w w:val="88"/>
              </w:rPr>
              <w:t xml:space="preserve">programs </w:t>
            </w:r>
            <w:r>
              <w:rPr>
                <w:rFonts w:ascii="Arial" w:cs="Arial" w:eastAsia="Arial" w:hAnsi="Arial"/>
                <w:sz w:val="18"/>
                <w:szCs w:val="18"/>
                <w:b w:val="1"/>
                <w:bCs w:val="1"/>
                <w:color w:val="auto"/>
                <w:w w:val="88"/>
                <w:vertAlign w:val="superscript"/>
              </w:rPr>
              <w:t>(2)</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center"/>
              <w:ind w:right="125"/>
              <w:spacing w:after="0" w:line="189" w:lineRule="exact"/>
              <w:rPr>
                <w:sz w:val="20"/>
                <w:szCs w:val="20"/>
                <w:color w:val="auto"/>
              </w:rPr>
            </w:pPr>
            <w:r>
              <w:rPr>
                <w:rFonts w:ascii="Arial" w:cs="Arial" w:eastAsia="Arial" w:hAnsi="Arial"/>
                <w:sz w:val="14"/>
                <w:szCs w:val="14"/>
                <w:b w:val="1"/>
                <w:bCs w:val="1"/>
                <w:color w:val="auto"/>
                <w:w w:val="89"/>
              </w:rPr>
              <w:t xml:space="preserve">end of period </w:t>
            </w:r>
            <w:r>
              <w:rPr>
                <w:rFonts w:ascii="Arial" w:cs="Arial" w:eastAsia="Arial" w:hAnsi="Arial"/>
                <w:sz w:val="18"/>
                <w:szCs w:val="18"/>
                <w:b w:val="1"/>
                <w:bCs w:val="1"/>
                <w:color w:val="auto"/>
                <w:w w:val="89"/>
                <w:vertAlign w:val="superscript"/>
              </w:rPr>
              <w:t>(2)</w:t>
            </w:r>
          </w:p>
        </w:tc>
        <w:tc>
          <w:tcPr>
            <w:tcW w:w="0" w:type="dxa"/>
            <w:vAlign w:val="bottom"/>
          </w:tcPr>
          <w:p>
            <w:pPr>
              <w:spacing w:after="0"/>
              <w:rPr>
                <w:sz w:val="1"/>
                <w:szCs w:val="1"/>
                <w:color w:val="auto"/>
              </w:rPr>
            </w:pPr>
          </w:p>
        </w:tc>
      </w:tr>
      <w:tr>
        <w:trPr>
          <w:trHeight w:val="223"/>
        </w:trPr>
        <w:tc>
          <w:tcPr>
            <w:tcW w:w="4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November 1 - November 30, 2020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2,751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rPr>
              <w:t>6,771,467</w:t>
            </w:r>
          </w:p>
        </w:tc>
        <w:tc>
          <w:tcPr>
            <w:tcW w:w="0" w:type="dxa"/>
            <w:vAlign w:val="bottom"/>
          </w:tcPr>
          <w:p>
            <w:pPr>
              <w:spacing w:after="0"/>
              <w:rPr>
                <w:sz w:val="1"/>
                <w:szCs w:val="1"/>
                <w:color w:val="auto"/>
              </w:rPr>
            </w:pPr>
          </w:p>
        </w:tc>
      </w:tr>
      <w:tr>
        <w:trPr>
          <w:trHeight w:val="230"/>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December 1 - December 31, 2020</w:t>
            </w:r>
          </w:p>
        </w:tc>
        <w:tc>
          <w:tcPr>
            <w:tcW w:w="1560" w:type="dxa"/>
            <w:vAlign w:val="bottom"/>
          </w:tcPr>
          <w:p>
            <w:pPr>
              <w:jc w:val="right"/>
              <w:ind w:right="1"/>
              <w:spacing w:after="0"/>
              <w:rPr>
                <w:sz w:val="20"/>
                <w:szCs w:val="20"/>
                <w:color w:val="auto"/>
              </w:rPr>
            </w:pPr>
            <w:r>
              <w:rPr>
                <w:rFonts w:ascii="Arial" w:cs="Arial" w:eastAsia="Arial" w:hAnsi="Arial"/>
                <w:sz w:val="18"/>
                <w:szCs w:val="18"/>
                <w:color w:val="auto"/>
              </w:rPr>
              <w:t>12,574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
              <w:spacing w:after="0"/>
              <w:rPr>
                <w:sz w:val="20"/>
                <w:szCs w:val="20"/>
                <w:color w:val="auto"/>
              </w:rPr>
            </w:pPr>
            <w:r>
              <w:rPr>
                <w:rFonts w:ascii="Arial" w:cs="Arial" w:eastAsia="Arial" w:hAnsi="Arial"/>
                <w:sz w:val="18"/>
                <w:szCs w:val="18"/>
                <w:color w:val="auto"/>
              </w:rPr>
              <w:t>6,771,467</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00" w:right="40" w:hanging="492"/>
        <w:spacing w:after="0" w:line="238" w:lineRule="auto"/>
        <w:tabs>
          <w:tab w:leader="none" w:pos="48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The repurchased shares were acquired other than as part of a publicly announced plan or program. The Company repurchased these securities in connection with its Amended and Restated 2000 Long Term Incentive Plan which allows participants to use shares to satisfy certain tax liabilities arising from the vesting of restricted stock. The number above does not include unvested shares forfeited back to the Company pursuant to the terms of the Company’s stock compensation plans.</w:t>
      </w:r>
    </w:p>
    <w:p>
      <w:pPr>
        <w:ind w:left="500" w:right="180" w:hanging="492"/>
        <w:spacing w:after="0" w:line="229" w:lineRule="auto"/>
        <w:tabs>
          <w:tab w:leader="none" w:pos="48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On April 30, 2013, the Board of Directors of Lifetime Brands, Inc. authorized the repurchase of up to $10.0 million of the Company’s common stock. The repurchase authorization permits the Company to effect the repurchases from time to time through open market purchases and privately negotiated transactions. No repurchases occurred during the three months ended December 31, 2020.</w:t>
      </w:r>
    </w:p>
    <w:p>
      <w:pPr>
        <w:sectPr>
          <w:pgSz w:w="11900" w:h="16838" w:orient="portrait"/>
          <w:cols w:equalWidth="0" w:num="1">
            <w:col w:w="11220"/>
          </w:cols>
          <w:pgMar w:left="320" w:top="125" w:right="359" w:bottom="9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993"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selected consolidated statement of operations data for the years ended December 31, 2020, 2019 and 2018 and the selected consolidated balance sheet data as of December 31, 2020 and 2019 have been derived from the Company’s audited consolidated financial statements included elsewhere in this Annual Report on Form 10-K. The selected consolidated statement of operations data for the years ended December 31, 2017 and 2016 and the selected consolidated balance sheet data at December 31, 2018, 2017 and 2016 have been derived from the Company’s audited consolidated financial statements included in the Company’s Annual Reports on Form 10-K for those respective years, which are not included in this Annual Report on Form 10-K.</w:t>
      </w:r>
    </w:p>
    <w:p>
      <w:pPr>
        <w:spacing w:after="0" w:line="296"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 xml:space="preserve">This information should be read together with the discussion in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and the Company’s consolidated financial statements and Notes to those statements included elsewhere in this Annual Report on Form 10-K.</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gridSpan w:val="11"/>
          </w:tcPr>
          <w:p>
            <w:pPr>
              <w:jc w:val="center"/>
              <w:ind w:right="140"/>
              <w:spacing w:after="0"/>
              <w:rPr>
                <w:sz w:val="20"/>
                <w:szCs w:val="20"/>
                <w:color w:val="auto"/>
              </w:rPr>
            </w:pPr>
            <w:r>
              <w:rPr>
                <w:rFonts w:ascii="Arial" w:cs="Arial" w:eastAsia="Arial" w:hAnsi="Arial"/>
                <w:sz w:val="14"/>
                <w:szCs w:val="14"/>
                <w:color w:val="auto"/>
                <w:w w:val="90"/>
              </w:rPr>
              <w:t>(in thousands, except per share data)</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58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b w:val="1"/>
                <w:bCs w:val="1"/>
                <w:color w:val="auto"/>
              </w:rPr>
              <w:t xml:space="preserve">STATEMENT OF OPERATIONS DATA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Net sales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769,169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734,902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704,542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579,476</w:t>
            </w:r>
          </w:p>
        </w:tc>
        <w:tc>
          <w:tcPr>
            <w:tcW w:w="3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592,619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Cost of sales </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495,171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479,711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448,785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364,319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375,719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Distribution expenses </w:t>
            </w:r>
            <w:r>
              <w:rPr>
                <w:rFonts w:ascii="Arial" w:cs="Arial" w:eastAsia="Arial" w:hAnsi="Arial"/>
                <w:sz w:val="23"/>
                <w:szCs w:val="23"/>
                <w:color w:val="auto"/>
                <w:vertAlign w:val="superscript"/>
              </w:rPr>
              <w:t>(3)</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72,845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72,543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69,716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58,050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Selling, general and administrative expenses </w:t>
            </w:r>
            <w:r>
              <w:rPr>
                <w:rFonts w:ascii="Arial" w:cs="Arial" w:eastAsia="Arial" w:hAnsi="Arial"/>
                <w:sz w:val="23"/>
                <w:szCs w:val="23"/>
                <w:color w:val="auto"/>
                <w:vertAlign w:val="superscript"/>
              </w:rPr>
              <w:t>(4)</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155,872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161,618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162,933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140,903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130,397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Goodwill and other impairments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20,100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42,990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2,205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expenses</w:t>
            </w:r>
          </w:p>
        </w:tc>
        <w:tc>
          <w:tcPr>
            <w:tcW w:w="3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211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24,970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(23,395)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18,579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15,180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(17,277)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(4,803)</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Mark to market (loss) gain on interest rate derivatives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(2,144)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early retirement of debt</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color w:val="auto"/>
                <w:w w:val="99"/>
              </w:rPr>
              <w:t>Income (loss) before income taxes and equity in earnings</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5,549</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(43,773)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509</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10,779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22,002</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(9,866)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in earnings, net of taxes</w:t>
            </w:r>
          </w:p>
        </w:tc>
        <w:tc>
          <w:tcPr>
            <w:tcW w:w="3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1,310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660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407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(3,007)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(44,415)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Basic (loss) income per common share</w:t>
            </w:r>
          </w:p>
        </w:tc>
        <w:tc>
          <w:tcPr>
            <w:tcW w:w="52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80" w:type="dxa"/>
            <w:vAlign w:val="bottom"/>
            <w:tcBorders>
              <w:top w:val="single" w:sz="8" w:color="CCEEFF"/>
            </w:tcBorders>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gridSpan w:val="4"/>
          </w:tcPr>
          <w:p>
            <w:pPr>
              <w:jc w:val="right"/>
              <w:ind w:right="20"/>
              <w:spacing w:after="0" w:line="203" w:lineRule="exact"/>
              <w:rPr>
                <w:sz w:val="20"/>
                <w:szCs w:val="20"/>
                <w:color w:val="auto"/>
              </w:rPr>
            </w:pPr>
            <w:r>
              <w:rPr>
                <w:rFonts w:ascii="Arial" w:cs="Arial" w:eastAsia="Arial" w:hAnsi="Arial"/>
                <w:sz w:val="18"/>
                <w:szCs w:val="18"/>
                <w:color w:val="auto"/>
              </w:rPr>
              <w:t>(0.14)</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(2.16)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(0.09)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gridSpan w:val="2"/>
          </w:tcPr>
          <w:p>
            <w:pPr>
              <w:jc w:val="right"/>
              <w:ind w:right="80"/>
              <w:spacing w:after="0" w:line="203" w:lineRule="exact"/>
              <w:rPr>
                <w:sz w:val="20"/>
                <w:szCs w:val="20"/>
                <w:color w:val="auto"/>
              </w:rPr>
            </w:pPr>
            <w:r>
              <w:rPr>
                <w:rFonts w:ascii="Arial" w:cs="Arial" w:eastAsia="Arial" w:hAnsi="Arial"/>
                <w:sz w:val="18"/>
                <w:szCs w:val="18"/>
                <w:color w:val="auto"/>
              </w:rPr>
              <w:t>0.15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 basic</w:t>
            </w: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20,860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20,597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19,452</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14,505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Diluted (loss) income per common share</w:t>
            </w:r>
          </w:p>
        </w:tc>
        <w:tc>
          <w:tcPr>
            <w:tcW w:w="52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tcBorders>
              <w:top w:val="single" w:sz="8" w:color="CCEEFF"/>
            </w:tcBorders>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gridSpan w:val="4"/>
          </w:tcPr>
          <w:p>
            <w:pPr>
              <w:jc w:val="right"/>
              <w:ind w:right="20"/>
              <w:spacing w:after="0" w:line="203" w:lineRule="exact"/>
              <w:rPr>
                <w:sz w:val="20"/>
                <w:szCs w:val="20"/>
                <w:color w:val="auto"/>
              </w:rPr>
            </w:pPr>
            <w:r>
              <w:rPr>
                <w:rFonts w:ascii="Arial" w:cs="Arial" w:eastAsia="Arial" w:hAnsi="Arial"/>
                <w:sz w:val="18"/>
                <w:szCs w:val="18"/>
                <w:color w:val="auto"/>
              </w:rPr>
              <w:t>(0.14)</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(2.16)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(0.09)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gridSpan w:val="2"/>
          </w:tcPr>
          <w:p>
            <w:pPr>
              <w:jc w:val="right"/>
              <w:ind w:right="80"/>
              <w:spacing w:after="0" w:line="203" w:lineRule="exact"/>
              <w:rPr>
                <w:sz w:val="20"/>
                <w:szCs w:val="20"/>
                <w:color w:val="auto"/>
              </w:rPr>
            </w:pPr>
            <w:r>
              <w:rPr>
                <w:rFonts w:ascii="Arial" w:cs="Arial" w:eastAsia="Arial" w:hAnsi="Arial"/>
                <w:sz w:val="18"/>
                <w:szCs w:val="18"/>
                <w:color w:val="auto"/>
              </w:rPr>
              <w:t>0.14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1.08</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5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Weighted-average shares outstanding – diluted</w:t>
            </w:r>
            <w:r>
              <w:rPr>
                <w:rFonts w:ascii="Arial" w:cs="Arial" w:eastAsia="Arial" w:hAnsi="Arial"/>
                <w:sz w:val="23"/>
                <w:szCs w:val="23"/>
                <w:color w:val="auto"/>
                <w:vertAlign w:val="superscript"/>
              </w:rPr>
              <w:t>(5)</w:t>
            </w: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20,860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20,597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19,452</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14,955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52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tcBorders>
              <w:top w:val="single" w:sz="8" w:color="CCEEFF"/>
            </w:tcBorders>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gridSpan w:val="4"/>
          </w:tcPr>
          <w:p>
            <w:pPr>
              <w:jc w:val="right"/>
              <w:ind w:right="60"/>
              <w:spacing w:after="0" w:line="203" w:lineRule="exact"/>
              <w:rPr>
                <w:sz w:val="20"/>
                <w:szCs w:val="20"/>
                <w:color w:val="auto"/>
              </w:rPr>
            </w:pPr>
            <w:r>
              <w:rPr>
                <w:rFonts w:ascii="Arial" w:cs="Arial" w:eastAsia="Arial" w:hAnsi="Arial"/>
                <w:sz w:val="18"/>
                <w:szCs w:val="18"/>
                <w:color w:val="auto"/>
              </w:rPr>
              <w:t>0.17</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0.17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0.17</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gridSpan w:val="2"/>
          </w:tcPr>
          <w:p>
            <w:pPr>
              <w:jc w:val="right"/>
              <w:ind w:right="80"/>
              <w:spacing w:after="0" w:line="203" w:lineRule="exact"/>
              <w:rPr>
                <w:sz w:val="20"/>
                <w:szCs w:val="20"/>
                <w:color w:val="auto"/>
              </w:rPr>
            </w:pPr>
            <w:r>
              <w:rPr>
                <w:rFonts w:ascii="Arial" w:cs="Arial" w:eastAsia="Arial" w:hAnsi="Arial"/>
                <w:sz w:val="18"/>
                <w:szCs w:val="18"/>
                <w:color w:val="auto"/>
              </w:rPr>
              <w:t>0.17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0.17</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5"/>
        </w:trPr>
        <w:tc>
          <w:tcPr>
            <w:tcW w:w="45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8"/>
              </w:rPr>
              <w:t>December 31,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580" w:type="dxa"/>
            <w:vAlign w:val="bottom"/>
          </w:tcPr>
          <w:p>
            <w:pPr>
              <w:spacing w:after="0"/>
              <w:rPr>
                <w:sz w:val="16"/>
                <w:szCs w:val="16"/>
                <w:color w:val="auto"/>
              </w:rPr>
            </w:pPr>
          </w:p>
        </w:tc>
        <w:tc>
          <w:tcPr>
            <w:tcW w:w="118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2019</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4"/>
          </w:tcPr>
          <w:p>
            <w:pPr>
              <w:jc w:val="right"/>
              <w:spacing w:after="0"/>
              <w:rPr>
                <w:sz w:val="20"/>
                <w:szCs w:val="20"/>
                <w:color w:val="auto"/>
              </w:rPr>
            </w:pPr>
            <w:r>
              <w:rPr>
                <w:rFonts w:ascii="Arial" w:cs="Arial" w:eastAsia="Arial" w:hAnsi="Arial"/>
                <w:sz w:val="14"/>
                <w:szCs w:val="14"/>
                <w:color w:val="auto"/>
              </w:rPr>
              <w:t>(in thousands)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58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b w:val="1"/>
                <w:bCs w:val="1"/>
                <w:color w:val="auto"/>
              </w:rPr>
              <w:t xml:space="preserve">BALANCE SHEET DATA </w:t>
            </w:r>
            <w:r>
              <w:rPr>
                <w:rFonts w:ascii="Arial" w:cs="Arial" w:eastAsia="Arial" w:hAnsi="Arial"/>
                <w:sz w:val="23"/>
                <w:szCs w:val="23"/>
                <w:b w:val="1"/>
                <w:bCs w:val="1"/>
                <w:color w:val="auto"/>
                <w:vertAlign w:val="superscript"/>
              </w:rPr>
              <w:t>(1)</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421,293</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329,153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318,804</w:t>
            </w:r>
          </w:p>
        </w:tc>
        <w:tc>
          <w:tcPr>
            <w:tcW w:w="10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258,423</w:t>
            </w:r>
          </w:p>
        </w:tc>
        <w:tc>
          <w:tcPr>
            <w:tcW w:w="100" w:type="dxa"/>
            <w:vAlign w:val="bottom"/>
          </w:tcPr>
          <w:p>
            <w:pPr>
              <w:spacing w:after="0"/>
              <w:rPr>
                <w:sz w:val="19"/>
                <w:szCs w:val="19"/>
                <w:color w:val="auto"/>
              </w:rPr>
            </w:pPr>
          </w:p>
        </w:tc>
        <w:tc>
          <w:tcPr>
            <w:tcW w:w="360" w:type="dxa"/>
            <w:vAlign w:val="bottom"/>
            <w:gridSpan w:val="3"/>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256,447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Current liabilities </w:t>
            </w:r>
            <w:r>
              <w:rPr>
                <w:rFonts w:ascii="Arial" w:cs="Arial" w:eastAsia="Arial" w:hAnsi="Arial"/>
                <w:sz w:val="23"/>
                <w:szCs w:val="23"/>
                <w:color w:val="auto"/>
                <w:vertAlign w:val="superscript"/>
              </w:rPr>
              <w:t>(6)</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180,070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107,307</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84,876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3"/>
                <w:szCs w:val="23"/>
                <w:color w:val="auto"/>
                <w:vertAlign w:val="superscript"/>
              </w:rPr>
              <w:t>(6)</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241,223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221,846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233,928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186,908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165,161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Total assets </w:t>
            </w:r>
            <w:r>
              <w:rPr>
                <w:rFonts w:ascii="Arial" w:cs="Arial" w:eastAsia="Arial" w:hAnsi="Arial"/>
                <w:sz w:val="23"/>
                <w:szCs w:val="23"/>
                <w:color w:val="auto"/>
                <w:vertAlign w:val="superscript"/>
              </w:rPr>
              <w:t>(6)</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807,481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770,023</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708,572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Short-term borrowings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17,657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8,413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266,279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287,103</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304,774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94,744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230,136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236,317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279,493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210,279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197,728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ind w:left="480" w:hanging="472"/>
        <w:spacing w:after="0" w:line="217" w:lineRule="auto"/>
        <w:tabs>
          <w:tab w:leader="none" w:pos="48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The acquisition of Filament in March 2018 affects the comparability of the periods.</w:t>
      </w:r>
    </w:p>
    <w:p>
      <w:pPr>
        <w:spacing w:after="0" w:line="1" w:lineRule="exact"/>
        <w:rPr>
          <w:rFonts w:ascii="Arial" w:cs="Arial" w:eastAsia="Arial" w:hAnsi="Arial"/>
          <w:sz w:val="23"/>
          <w:szCs w:val="23"/>
          <w:color w:val="auto"/>
          <w:vertAlign w:val="superscript"/>
        </w:rPr>
      </w:pPr>
    </w:p>
    <w:p>
      <w:pPr>
        <w:ind w:left="500" w:hanging="492"/>
        <w:spacing w:after="0" w:line="233" w:lineRule="auto"/>
        <w:tabs>
          <w:tab w:leader="none" w:pos="48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Prior to January 1, 2019, depreciation associated with certain tooling used to produce products was classified as selling, general and administrative expenses. The amount recorded in cost of sales for the year ended December 31, 2020 and 2019 was $1.0 million and $1.4 million, respectively. The impact on the comparative periods presented is immaterial and therefore, the comparative periods have not been adjusted to reflect this change in accounting policy.</w:t>
      </w:r>
    </w:p>
    <w:p>
      <w:pPr>
        <w:spacing w:after="0" w:line="2" w:lineRule="exact"/>
        <w:rPr>
          <w:rFonts w:ascii="Arial" w:cs="Arial" w:eastAsia="Arial" w:hAnsi="Arial"/>
          <w:sz w:val="23"/>
          <w:szCs w:val="23"/>
          <w:color w:val="auto"/>
          <w:vertAlign w:val="superscript"/>
        </w:rPr>
      </w:pPr>
    </w:p>
    <w:p>
      <w:pPr>
        <w:ind w:left="480" w:hanging="472"/>
        <w:spacing w:after="0" w:line="196" w:lineRule="auto"/>
        <w:tabs>
          <w:tab w:leader="none" w:pos="48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The 2016 period includes a $1.2 million charge to correct prior years’ depreciation of certain assets within the U.S. segment.</w:t>
      </w:r>
    </w:p>
    <w:p>
      <w:pPr>
        <w:spacing w:after="0" w:line="1" w:lineRule="exact"/>
        <w:rPr>
          <w:rFonts w:ascii="Arial" w:cs="Arial" w:eastAsia="Arial" w:hAnsi="Arial"/>
          <w:sz w:val="23"/>
          <w:szCs w:val="23"/>
          <w:color w:val="auto"/>
          <w:vertAlign w:val="superscript"/>
        </w:rPr>
      </w:pPr>
    </w:p>
    <w:p>
      <w:pPr>
        <w:ind w:left="480" w:hanging="472"/>
        <w:spacing w:after="0" w:line="194" w:lineRule="auto"/>
        <w:tabs>
          <w:tab w:leader="none" w:pos="48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The 2018 period includes a gain of $1.7 million related to adjustments to the fair value of certain contingent consideration.</w:t>
      </w:r>
    </w:p>
    <w:p>
      <w:pPr>
        <w:spacing w:after="0" w:line="2" w:lineRule="exact"/>
        <w:rPr>
          <w:rFonts w:ascii="Arial" w:cs="Arial" w:eastAsia="Arial" w:hAnsi="Arial"/>
          <w:sz w:val="23"/>
          <w:szCs w:val="23"/>
          <w:color w:val="auto"/>
          <w:vertAlign w:val="superscript"/>
        </w:rPr>
      </w:pPr>
    </w:p>
    <w:p>
      <w:pPr>
        <w:ind w:left="500" w:right="100" w:hanging="492"/>
        <w:spacing w:after="0" w:line="195" w:lineRule="auto"/>
        <w:tabs>
          <w:tab w:leader="none" w:pos="496" w:val="left"/>
        </w:tabs>
        <w:numPr>
          <w:ilvl w:val="0"/>
          <w:numId w:val="24"/>
        </w:numPr>
        <w:rPr>
          <w:rFonts w:ascii="Arial" w:cs="Arial" w:eastAsia="Arial" w:hAnsi="Arial"/>
          <w:sz w:val="28"/>
          <w:szCs w:val="28"/>
          <w:color w:val="auto"/>
          <w:vertAlign w:val="superscript"/>
        </w:rPr>
      </w:pPr>
      <w:r>
        <w:rPr>
          <w:rFonts w:ascii="Arial" w:cs="Arial" w:eastAsia="Arial" w:hAnsi="Arial"/>
          <w:sz w:val="18"/>
          <w:szCs w:val="18"/>
          <w:color w:val="auto"/>
        </w:rPr>
        <w:t>The computations of weighted-average shares outstanding - diluted excludes stock options and other stock awards that if included would have been anti-dilutive.</w:t>
      </w:r>
    </w:p>
    <w:p>
      <w:pPr>
        <w:ind w:left="500" w:right="160" w:hanging="492"/>
        <w:spacing w:after="0" w:line="223" w:lineRule="auto"/>
        <w:tabs>
          <w:tab w:leader="none" w:pos="48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The 2019 and subsequent periods reflect the adoption of the Financial Accounting Standards Board's (“FASB”) Accounting Standard's Update No. (“ASU”) 2016-02, Leases (Topic 842) (“ASU 2016-02”) which requires a lessee, in most leases, to initially recognize a lease liability for the obligation to make lease payments and a right-of-use asset for the right to use the underlying asset for the lease term. As a result, comparability to the prior years' current liabilities, working capital, and total assets is affected.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i w:val="1"/>
          <w:iCs w:val="1"/>
          <w:color w:val="auto"/>
        </w:rPr>
        <w:t>The following discussion should be read in conjunction with the consolidated financial statements for the Company and Notes thereto set forth in Item 15. This discussion contains forward-looking statements relating to future events and the future performance of the Company based on the Company’s current expectations, assumptions, estimates and projections about it and the Company’s industry. These forward-looking statements involve risks and uncertainties. The Company’s actual results and timing of various events could differ materially from those anticipated in such forward-looking statements as a result of a variety of factors, as more fully described in this section and elsewhere in this Annual Report including those discussed under “Disclosures regarding Forward-Looking Statements,” “Risk Factors Summary” under Item 1A “Risk Factors” and under Item 7A “Quantitative and Qualitative Disclosures Regarding Market Risk.” The Company undertakes no obligation to update publicly any forward-looking statements for any reason, even if new information becomes available or other events occur in the future, other than as required by law.</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COMPANY</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designs, sources and sells branded kitchenware, tableware and other products used in the home. The Company’s product categories include two categories of products used to prepare, serve and consume foods, Kitchenware (kitchen tools and gadgets,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 In 2020, Kitchenware products and Tableware products accounted for approximately 83% of the Company’s U.S. net sales and 85% of the Company’s consolidated net sales. In 2019, Kitchenware products and Tableware products accounted for approximately 79% of the Company’s U.S. net sales and 82% of the Company’s consolidated net sales. The year ended December 31, 2018 includes the operations of Filament for the period from March 2, 2018, the date of the acquisition of Filament, to December 31, 2018.</w:t>
      </w:r>
    </w:p>
    <w:p>
      <w:pPr>
        <w:spacing w:after="0" w:line="16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 Mikasa®, Taylor®, KitchenAid®, KitchenCraft® , Pfaltzgraff® , BUILT NY®, Rabbit®, Kamenstein®, and MasterClass®. Historically, the Company’s sales growth has come from expanding product offerings within its product categories, by developing existing brands, acquiring new brands (including complementary brands in markets outside the United States),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operates in two reportable segments: U.S. and International. The U.S. segment is the Company’s primary domestic business that designs, markets and distributes its products to retailers and distributors, as well as directly to consumers through third parties and its own internet websites. The International segment consists of certain business operations conducted outside the U.S. The Company has segmented its operations to reflect the manner in which management reviews and evaluates its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owns approximately 30% interest in Grupo Vasconia S.A.B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consolidated statements of operations. Accordingly, the Company has recorded its proportionate share of Vasconia's net income (reduced for amortization expense related to the customer relationships acquired) for the year ended December 31, 2020, 2019, and 2018 in the accompanying consolidated statements of operations. Pursuant to a Shares Subscription Agreement, the Company may designate four persons to be nominated as members of Vasconia’s Board of Directors. As of December 31, 2020, Vasconia's Board of Directors is comprised of fourteen members of whom the Company has designated three members.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recorded equity in earnings of Vasconia, net of taxes, of $1.5 million, $0.5 million and $0.9 million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Company’s business and working capital needs are highly seasonal, with a majority of sales occurring in the third and fourth quarters. In 2020, 2019 and 2018, net sales for the third and fourth quarters accounted for 62%, 60% and 62% of total annual net sales, respectively. In anticipation of the pre-holiday shipping season, inventory levels increase primarily in the June through October time period. In 2020, the Company's inventory levels did not significantly decrease during the fourth quarter. The higher inventory levels at December 31, 2020 were a result of increased inventory purchases to meet higher expected demand in 2021 due in part to the effects on demand from the COVID-19 pandemic. Consistent with the seasonality of the Company's net sales and inventory levels, the Company also experiences seasonality in its inventory turnover and turnover days from one quarter to the next.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2019 and 2018, the Company's U.S. segment incurred $0.7 million and $2.1 million.</w:t>
      </w:r>
    </w:p>
    <w:p>
      <w:pPr>
        <w:spacing w:after="0" w:line="117"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During the year ended December 31, 2020, the Company's International segment incurred $0.2 million of restructuring expenses related to severance associated with the strategic reorganization of the International segment’s product development and sales workforce. The strategic reorganization was the result of the Company's efforts for product development efficiencies and an international sales approach tailored to countries.</w:t>
      </w:r>
    </w:p>
    <w:p>
      <w:pPr>
        <w:spacing w:after="0" w:line="4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During the years ended December 31, 2019, and 2018, the Company's international segment incurred $0.7 million and $0.2 million, respectively, of restructuring expense primarily related to the integration of its legal entities operating in Europe. The Company does not expect to incur any additional restructuring charges for these efforts.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COVID-19 pandemic continues to affect the United States and the rest of the world. The pandemic has resulted in an increase in sales of certain of the Company’s products as well as a decrease in sales in other of its products. The Company has experienced a reduction in sales at certain retailers, that had closed or had limited store openings, during the pandemic. These declines were offset by higher sales at retailers that remained open and by e-commerce sales. Many of the retailers that had remained open provide products that are deemed essential.</w:t>
      </w:r>
    </w:p>
    <w:p>
      <w:pPr>
        <w:spacing w:after="0" w:line="63"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Company’s distribution facilities remain operational and continue to support e-commerce and brick-and-mortar retail customers. The Company has not experienced significant disruptions in its supply chain related to the COVID-19 pandemic. In limited instances and categories, increased demand has strained the manufacturing capacity of certain of the Company’s suppliers. The Company expects, in the short term, higher inbound freight cost to import inventory as a result of expected higher demand of the Company's products and broader macroeconomic demand for ocean freight. Additionally, in the U.S., the Company has experienced instances of trucking availability shortages, resulting in delays of shipments to certain of its customers.</w:t>
      </w:r>
    </w:p>
    <w:p>
      <w:pPr>
        <w:spacing w:after="0" w:line="16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During 2019, the Office of the U.S. Trade Representative (‘‘USTR’’) imposed additional tariffs on products imported from China. In certain cases, both in 2019 and 2020, these tariffs were subsequently reduced, suspended or removed. The Company purchases a high concentration of products from unaffiliated manufacturers located in China. This concentration exposes the Company to risks associated with doing business globally, including changes in tariffs.</w:t>
      </w:r>
    </w:p>
    <w:p>
      <w:pPr>
        <w:spacing w:after="0" w:line="17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tariff increases that were implemented by the USTR began to adversely impact the Company's cost of sales in the third quarter of fiscal 2019 and will continue to do so, as long as these tariff increases remain in effect. In January 2020, the U.S. and China signed a trade agreement known as the Phase One Agreement. This agreement reversed some tariff increases that had become effective in September 2019. Significant uncertainty exists as to the timing and content of a Phase Two agreement, particularly due to the ongoing pandemic and to changes in the United States Administration as a result of the November 2020 Presidential election.</w:t>
      </w:r>
    </w:p>
    <w:p>
      <w:pPr>
        <w:spacing w:after="0" w:line="21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Company expects to mitigate the impact of tariff increases primarily through pricing actions and product cost reductions in its supply chain. Since July 2018, the USTR has periodically issued lists of products that are excluded from tariffs on Chinese imports. Under the USTR exclusion process, companies have the opportunity to seek to have particular products excluded from the tariff lists and apply for a refund.</w:t>
      </w:r>
    </w:p>
    <w:p>
      <w:pPr>
        <w:spacing w:after="0" w:line="19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January 31, 2020, the U.K. left the European Union. In December 2020, the U.K and European Union announced the agreement of a new Trade and Cooperation Agreement that will govern the ongoing relationship between the U.K. and the European Union. The U.K.’s exit from the European Union is unprecedented and it remains unclear what long-term impact this will have on the U.K.’s access to the EU Single Market and on the legal and regulatory environment in which the Company operates, as well as its effect on the global macroeconomic environment.</w:t>
      </w:r>
    </w:p>
    <w:p>
      <w:pPr>
        <w:spacing w:after="0" w:line="19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uncertainty surrounding the consequences of the U.K.’s exit could adversely impact the U.K. economy, customers and investor confidence. The U.K.'s exit also could adversely impact the export of products between the U.K. and the European Union. Such</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uncertainty may contribute to additional market volatility, including volatility in the value of the U.K. pound and European euro, and may adversely affect the Company’s businesses, results of operations, and financial condition. Net sales attributable to U.K. domiciled businesses were $78.0 million for the year ended December 31, 2020, and represent approximately 10% of the Company’s consolidated net sales for the period.</w:t>
      </w:r>
    </w:p>
    <w:p>
      <w:pPr>
        <w:spacing w:after="0" w:line="19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On March 3, 2021, the Chancellor of the Exchequer presented the U.K Budget 2021 to Parliament. The budget includes a proposal to increase the U.K. corporate tax rate from 19% to 25% effective April 1, 2023. The proposed change will be enacted into law upon approval by Parliament, which is expected in the second half of 2021. The Company expects the higher tax rate could negatively impact the Company's operating results.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ADOPTION OF ACCOUNTING PRINCIPLES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Adopted Accounting Pronouncements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April 10, 2020, the FASB staff issued a question-and-answer document to address stakeholder questions on the application of the lease accounting guidance for lease concessions related to the effects of the COVID-19 pandemic (the “Question-and-Answer Document”). The guidance allows concessions related to the timing of payments, where the total consideration has not changed, to not be accounted for as lease modifications. Instead, any such concessions can be accounted for as if no change was made to the contract or as variable lease payments. The Company adopted the guidance on April 1, 2020 and elected to account for COVID-19-related rent concessions that did not result in a substantial increase in the rights of the lessor or the obligations of the lessee not as lease modifications. See NOTE 4 — LEASES for additional information on the Company’s adoption of this guidance.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to be Adopted in Future Periods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Updates not listed below were assessed and either determined to not be applicable or are expected to have a minimal effect on the Company’s financial position, results of operations, and disclosures.</w:t>
      </w:r>
    </w:p>
    <w:p>
      <w:pPr>
        <w:spacing w:after="0" w:line="17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 December 2019, the FASB issued ASU 2019-12, Income Taxes (Topic 740): Simplifying the Accounting for Income Taxes, which simplifies the accounting for income taxes by removing certain exceptions to the general principles and simplifies the application of U.S. GAAP for other areas of Topic 740 by clarifying and amending the existing guidance. The guidance is effective for fiscal years and interim periods within those fiscal years beginning after December 15, 2020. The impact of the adoption is not expected to have a material impact on the Company's consolidated financial statements.</w:t>
      </w:r>
    </w:p>
    <w:p>
      <w:pPr>
        <w:spacing w:after="0" w:line="15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June 2016, the FASB issued ASU 2016-13, Measurement of Credit Losses on Financial Instruments. This guidance introduces a new model for recognizing credit losses on financial instruments based on an estimate of current expected credit losses. The ASU also provides updated guidance regarding the impairment of available-for-sale debt securities and includes additional disclosure requirements. The new guidance is effective for public business entities that meet the definition of a Smaller Reporting Company as defined by the Securities and Exchange Commission for interim and annual periods beginning after December 15, 2022. Early adoption is permitted. Management is currently evaluating the impact of this standard on its consolidated financial statements and related disclosures.</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which provides optional expedients and exceptions to account for contract modifications, hedging relationships and other transactions that reference LIBOR or another reference rate that is expected to be discontinued as a result of reference rate reform. The guidance was effective upon issuance and may be applied prospectively to contract modifications and hedging relationships entered into or evaluated as of any date from March 12, 2020 but no later than December 31, 2022. The Company has not yet applied the guidance in this ASU and is currently evaluating the impact of this standard on its consolidated financial statements and related disclosures.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results of operations below focuses on the results of 2020 compared to 2019. For a discussion of 2019 compared to 2018 refer to "Results of Operations" in our Form 10-K for the year ended December 31,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statement of operations data of the Company as a percentage of net sales for the periods indicated below.</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1480" w:type="dxa"/>
            <w:vAlign w:val="bottom"/>
            <w:tcBorders>
              <w:bottom w:val="single" w:sz="8" w:color="auto"/>
            </w:tcBorders>
          </w:tcPr>
          <w:p>
            <w:pPr>
              <w:spacing w:after="0"/>
              <w:rPr>
                <w:sz w:val="16"/>
                <w:szCs w:val="16"/>
                <w:color w:val="auto"/>
              </w:rPr>
            </w:pPr>
          </w:p>
        </w:tc>
      </w:tr>
      <w:tr>
        <w:trPr>
          <w:trHeight w:val="196"/>
        </w:trPr>
        <w:tc>
          <w:tcPr>
            <w:tcW w:w="6600" w:type="dxa"/>
            <w:vAlign w:val="bottom"/>
          </w:tcPr>
          <w:p>
            <w:pPr>
              <w:spacing w:after="0"/>
              <w:rPr>
                <w:sz w:val="17"/>
                <w:szCs w:val="17"/>
                <w:color w:val="auto"/>
              </w:rPr>
            </w:pPr>
          </w:p>
        </w:tc>
        <w:tc>
          <w:tcPr>
            <w:tcW w:w="1480" w:type="dxa"/>
            <w:vAlign w:val="bottom"/>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58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480" w:type="dxa"/>
            <w:vAlign w:val="bottom"/>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29"/>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64.4</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63.7</w:t>
            </w:r>
          </w:p>
        </w:tc>
      </w:tr>
      <w:tr>
        <w:trPr>
          <w:trHeight w:val="223"/>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4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35.6</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34.7</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36.3</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Distribution expenses</w:t>
            </w: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9.5</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9.9</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20.3</w:t>
            </w:r>
          </w:p>
        </w:tc>
        <w:tc>
          <w:tcPr>
            <w:tcW w:w="15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23.1</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Goodwill and other impairments</w:t>
            </w: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2.6</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0.3</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expenses</w:t>
            </w: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0.0</w:t>
            </w:r>
          </w:p>
        </w:tc>
        <w:tc>
          <w:tcPr>
            <w:tcW w:w="15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0.3</w:t>
            </w: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4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48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4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2.7</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(2.2)</w:t>
            </w:r>
          </w:p>
        </w:tc>
        <w:tc>
          <w:tcPr>
            <w:tcW w:w="15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(2.6)</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Mark to market (loss) gain on interest rate derivatives</w:t>
            </w:r>
          </w:p>
        </w:tc>
        <w:tc>
          <w:tcPr>
            <w:tcW w:w="1480" w:type="dxa"/>
            <w:vAlign w:val="bottom"/>
          </w:tcPr>
          <w:p>
            <w:pPr>
              <w:ind w:left="960"/>
              <w:spacing w:after="0"/>
              <w:rPr>
                <w:sz w:val="20"/>
                <w:szCs w:val="20"/>
                <w:color w:val="auto"/>
              </w:rPr>
            </w:pPr>
            <w:r>
              <w:rPr>
                <w:rFonts w:ascii="Arial" w:cs="Arial" w:eastAsia="Arial" w:hAnsi="Arial"/>
                <w:sz w:val="18"/>
                <w:szCs w:val="18"/>
                <w:color w:val="auto"/>
              </w:rPr>
              <w:t>(0.3)</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early retirement of debt</w:t>
            </w:r>
          </w:p>
        </w:tc>
        <w:tc>
          <w:tcPr>
            <w:tcW w:w="14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0.0</w:t>
            </w: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Income (loss) before income taxes and equity in earnings</w:t>
            </w: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0.7</w:t>
            </w:r>
          </w:p>
        </w:tc>
        <w:tc>
          <w:tcPr>
            <w:tcW w:w="1580" w:type="dxa"/>
            <w:vAlign w:val="bottom"/>
            <w:gridSpan w:val="2"/>
          </w:tcPr>
          <w:p>
            <w:pPr>
              <w:ind w:left="106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0.1</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4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(1.3)</w:t>
            </w:r>
          </w:p>
        </w:tc>
        <w:tc>
          <w:tcPr>
            <w:tcW w:w="15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(0.4)</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Equity in earnings, net of taxes</w:t>
            </w: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0.2</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0.1</w:t>
            </w:r>
          </w:p>
        </w:tc>
      </w:tr>
      <w:tr>
        <w:trPr>
          <w:trHeight w:val="248"/>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8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94"/>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94"/>
              </w:rPr>
              <w:t>(6.1)%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94"/>
              </w:rPr>
              <w:t>(0.2)%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COMPARED TO 2019</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Net sales for the year 2020 were $769.2 million, an increase of $34.3 million, or 4.7%, compared to net sales of $734.9 million in 2019. In constant currency, a non-GAAP financial measure, which excludes the impact of foreign exchange fluctuations and was determined by applying 2020 average rates to 2019 local currency amounts, net sales increased $33.6 million, or 4.6%, as compared to consolidated net sales in the corresponding period in 2019.</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Net sales for the U.S. segment in 2020 were $683.5 million, an increase of $39.3 million, or 6.1%, compared to net sales of $644.2 million in 2019.</w:t>
      </w:r>
    </w:p>
    <w:p>
      <w:pPr>
        <w:spacing w:after="0" w:line="23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Net sales for the U.S. segment’s Kitchenware product category in 2020 were $426.9 million, an increase of $72.6 million, or 20.5%, compared to net sales of $354.3 million in 2019. The net sales increase in the U.S. segment’s Kitchenware product category was primarily a result of higher consumer demand in both the e-commerce and wholesale channels for essential food preparation products including kitchen tools and gadgets, cutlery/boards, and measurement products.</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Net sales for the U.S. segment’s Tableware product category in 2020 were $141.1 million, a decrease of $15.0 million, or 9.6%, compared to net sales of $156.1 million for 2019. The decrease was primarily driven by lower sales of dinnerware products to brick-and-mortar retailers many of which were closed due to the COVID-19 pandemic. This decrease was partially offset by higher sales of flatware products and e-commerce sales.</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sales for the U.S. segment’s Home Solutions products category in 2020 were $115.5 million, a decrease of $18.3 million, or 13.7%, compared to net sales of $133.8 million in 2019. The decrease was primarily driven by lower sales in the food and beverage outlet channel and lower home décor sales due to certain retailer program initiatives not repeating in 2020 and store closing due to the pandemic. This decrease was offset by higher sales resulting from new programs of branded hydration products in the wholesale channel.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sales for the International segment in 2020 were $85.7 million, a decrease of $5.0 million, compared to net sales of $90.7 million for 2019. In constant currency, a non-GAAP financial measure, which excludes the impact of foreign exchange fluctuations and was determined by applying 2020 average exchange rates to 2019 local currency amounts, net sales decreased approximately 6.3%. The decrease in sales was driven by lower sales to national and independent retailers primarily as a result from lower demand and store closures due to COVID-19. This decrease was offset by increased e-commerce sales due to higher customer demand in online channels.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Gross margin for 2020 was $274.0 million, or 35.6%, compared to $255.2 million, or 34.7%, for the corresponding period in 2019.</w:t>
      </w:r>
    </w:p>
    <w:p>
      <w:pPr>
        <w:spacing w:after="0" w:line="225"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Gross margin for the U.S. segment was $250.5 million, or 36.6%, for 2020, compared to $226.5 million, or 35.2%, for 2019. Gross margin in the 2019 period reflects an $8.5 million charge for the SKU Rationalization initiative. Excluding the SKU Rationalization initiative, the gross margin in the 2019 period would have been 36.5%.</w:t>
      </w:r>
    </w:p>
    <w:p>
      <w:pPr>
        <w:spacing w:after="0" w:line="184"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Gross margin for the International segment was $23.5 million, or 27.4%, for 2020, compared to $28.7 million, or 31.6%, for 2019. The decrease in gross margin percentage was primarily due to higher inventory reserves and unfavorable sales mix related to store closures due to COVID-19.</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Distribution expenses were $72.8 million for the 2020 period as compared to $72.5 million for the 2019 period. Distribution expenses as a percentage of net sales were 9.5% and 9.9% in 2020 and 2019.</w:t>
      </w:r>
    </w:p>
    <w:p>
      <w:pPr>
        <w:spacing w:after="0" w:line="17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Distribution expenses as a percentage of net sales for the U.S. segment were approximately 8.4% in 2020 and 8.6% in 2019. Distribution expenses in 2019 included $0.2 million for the Company’s facility relocation efforts of its west coast distribution facility. As a percentage of sales shipped from the Company’s warehouses, distribution expenses, excluding the relocation costs for the U.S. segment, were 8.8% and 9.6% for 2020 and 2019, respectively. The improvement reflects the continued realization of labor management efficiency and synergy savings as well as the leverage benefit of fixed costs on higher sales volume. The improvement was partially offset by higher hourly labor rates for warehouse employees.</w:t>
      </w:r>
    </w:p>
    <w:p>
      <w:pPr>
        <w:spacing w:after="0" w:line="1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Distribution expenses as a percentage of net sales for the International segment were approximately 17.9% in 2020 and 18.7% in 2019, respectively. Distribution expenses in 2020 and 2019 included $1.1 million and $2.6 million, respectively, for the Company’s facility relocation costs of its International distribution facilities. As a percentage of sales shipped from the Company’s warehouses, distribution expenses, excluding the relocation costs for the International segment, were 13.8% and 15.6% for 2020 and 2019, respectively. The decrease was primarily attributable to the improvement in the fulfillment of orders and labor efficiencies compared to the prior year.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Selling, general and administrative (“SG&amp;A”) expenses for 2020 were $155.9 million, a decrease of $5.7 million, or 3.5%, as compared to $161.6 million for 2019.</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SG&amp;A expenses for 2020 for the U.S. segment were $112.6 million, a decrease of $4.5 million, or 3.8%, compared to $117.1 million for 2019. As a percentage of net sales, SG&amp;A expenses were 16.5% for 2020, compared to 18.2% for 2019. The decrease was primarily attributable to a reduction in headcount and selling and marketing expenses as a result from the Company's cost savings efforts in response to the COVID-19 pandemic. This reduction was partially offset by higher employee incentive compensation and higher estimates for bad debt expense related to the economic uncertainties caused by the COVID-19 pandemic.</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SG&amp;A expenses for 2020 for the International segment were $20.7 million, compared to $24.3 million for 2019. As a percentage of net sales, SG&amp;A expenses decreased to 24.2% for 2020, compared to 26.8% for 2019. The decrease was primarily attributable to a reduction in headcount resulting from the Company's cost savings efforts in response to the COVID-19 pandemic, as well as lower selling and marketing expenses. This was partially offset by higher estimates for bad debt expense related to the economic uncertainties caused by the COVID-19 pandemic.</w:t>
      </w:r>
    </w:p>
    <w:p>
      <w:pPr>
        <w:spacing w:after="0" w:line="17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Unallocated corporate expenses for 2020 were $22.6 million, compared to $20.2 million for 2019. The increase was driven by higher executive incentive compensation, partially offset by lower executive salary costs for the temporary reduction in base salary during 2020 and lower professional fees.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impairments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Reporting Unit</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the first quarter of 2020, as a result of the economic downturn caused by the COVID-19 pandemic, the Company performed an interim assessment of the goodwill for the U.S. reporting unit as of March 31, 2020, by comparing the fair value of the reporting unit with its carrying value. The Company performed the analysis using a discounted cash flow and market multiple method. Based upon the analysis performed, the Company recognized a non-cash goodwill impairment charge of $19.1 million during the first quarter of 2020. The goodwill impairment charge resulted from, among other factors, the uncertain market conditions arising from the COVID-19 pandemic, which impacted the Company's market capitalization, as well as a reduction of forecasted future cash flows associated with the effects of the COVID-19 pandemic. The fair value of the U.S. reporting unit was approximately 3.9% below its carrying value as of March 31, 2020.</w:t>
      </w:r>
    </w:p>
    <w:p>
      <w:pPr>
        <w:spacing w:after="0" w:line="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performed its annual impairment assessment of its U.S. reporting unit as of October 1, 2020 by comparing the fair value of the reporting unit with its carrying value. The Company performed the analysis using a discounted cash flow and market multiple method. As of October 1, 2020, the fair value of the U.S. reporting unit exceeded the carrying value of goodwill.</w:t>
      </w:r>
    </w:p>
    <w:p>
      <w:pPr>
        <w:spacing w:after="0" w:line="6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In 2019, the Company recognized a non-cash goodwill impairment charge of $33.2 million, during the three months ended December 31, 2019. The Company performed the analysis using a discounted cash flow and market multiple method. The goodwill impairment charge resulted from, among other factors, a sustained decline in the Company's market capitalization observed in the fourth quarter of 2019. The fair value of the U.S, reporting unit was approximately 6.1% below its carrying value at October 1, 2019.</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Reporting Unit</w:t>
      </w:r>
    </w:p>
    <w:p>
      <w:pPr>
        <w:spacing w:after="0" w:line="239"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In the third quarter of 2019, the Company performed an interim assessment of its European kitchenware business by comparing the fair value of the reporting unit with its carrying value as of September 30, 2019. The Company performed the analysis using a discounted cash flow and market multiple approach. Based upon the analysis performed, the Company recognized a $9.7 million non-cash goodwill impairment charge during the third quarter of 2019. The goodwill impairment charge was the result of a decline in operating performance and reduced expectations for future cash flows of the European kitchenware business. The fair value of the business was approximately 30.1% below its carrying value as of September 30, 2019.</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intangibles</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a result of the impairment testing performed in connection with the COVID-19 pandemic triggering event, the Company determined that certain of its indefinite-lived intangible assets in the U.S. segment were impaired. As a result, the Company recorded a $1.0 million non-cash impairment charge during the first quarter of 2020.</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During the year ended December 31, 2019, the Company's U.S. segment incurred $0.7 million, of restructuring expense related to the integration of Filament, of which $0.1 million was accrued at December 31, 2019.</w:t>
      </w:r>
    </w:p>
    <w:p>
      <w:pPr>
        <w:spacing w:after="0" w:line="62"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During the year ended December 31, 2020, the Company's International segment incurred $0.2 million of restructuring expenses related to severance associated with the strategic reorganization of the International segment’s product development and sales workforce. The strategic reorganization was the result of the Company's efforts for product development efficiencies and an international sales approach tailored to countries.</w:t>
      </w:r>
    </w:p>
    <w:p>
      <w:pPr>
        <w:spacing w:after="0" w:line="41"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During the year ended December 31, 2019, the Company's International segment incurred $0.7 million of restructuring expense primarily related to the integration of its legal entities operating in Europe. The Company had no international restructuring accrual as of December 31, 2020 and December 31, 2019.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expect to incur any additional restructuring charges for these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Interest expense for 2020 was $17.3 million, compared to $20.8 million for 2019. The decrease in expense was primarily a result of less debt outstanding and a lower interest rate environment.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to market (loss) gain on interest rate derivatives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Mark to market loss on interest rate derivatives was $2.1 million for the year ended December 31, 2020, as compared to a mark to market gain on interest rate derivatives of $0.4 million for the year ended December 31, 2019. The mark to market amount represents the change in the fair value on the Company's interest rate derivatives that have not been designed as hedging instruments. These derivatives were entered into for purposes of locking-in a fixed interest rate on the Company's variable interest rate debt. The current period loss was caused by lower interest rates as compared to the year ended December 31, 2019. The intent of the Company is to hold these derivative contracts until their maturity. Therefore, the Company expects that this loss will reverse over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income tax provision was $9.9 million in 2020 and $1.1 million in 2019. The Company’s effective tax rate for 2020 was 177.8%, compared to (2.5)% for 2019. The effective tax rate in 2020 was driven primarily by the impairment of goodwill in the U.S, nondeductible expenses, equity-based awards, and a valuation allowance against net deferred tax assets in the United Kingdom. The effective tax rate in 2019 was driven by the impairment of goodwill in the U.S. and international reporting units, nondeductible expenses, state taxes and tax credits.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equity in earnings, net of tax, for 2020 and 2019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175"/>
              <w:spacing w:after="0"/>
              <w:rPr>
                <w:sz w:val="20"/>
                <w:szCs w:val="20"/>
                <w:color w:val="auto"/>
              </w:rPr>
            </w:pPr>
            <w:r>
              <w:rPr>
                <w:rFonts w:ascii="Arial" w:cs="Arial" w:eastAsia="Arial" w:hAnsi="Arial"/>
                <w:sz w:val="14"/>
                <w:szCs w:val="14"/>
                <w:b w:val="1"/>
                <w:bCs w:val="1"/>
                <w:color w:val="auto"/>
                <w:w w:val="96"/>
              </w:rPr>
              <w:t>Year Ended December 31,</w:t>
            </w:r>
          </w:p>
        </w:tc>
        <w:tc>
          <w:tcPr>
            <w:tcW w:w="0" w:type="dxa"/>
            <w:vAlign w:val="bottom"/>
          </w:tcPr>
          <w:p>
            <w:pPr>
              <w:spacing w:after="0"/>
              <w:rPr>
                <w:sz w:val="1"/>
                <w:szCs w:val="1"/>
                <w:color w:val="auto"/>
              </w:rPr>
            </w:pPr>
          </w:p>
        </w:tc>
      </w:tr>
      <w:tr>
        <w:trPr>
          <w:trHeight w:val="187"/>
        </w:trPr>
        <w:tc>
          <w:tcPr>
            <w:tcW w:w="8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83"/>
              </w:rPr>
              <w:t>2019</w:t>
            </w:r>
          </w:p>
        </w:tc>
        <w:tc>
          <w:tcPr>
            <w:tcW w:w="0" w:type="dxa"/>
            <w:vAlign w:val="bottom"/>
          </w:tcPr>
          <w:p>
            <w:pPr>
              <w:spacing w:after="0"/>
              <w:rPr>
                <w:sz w:val="1"/>
                <w:szCs w:val="1"/>
                <w:color w:val="auto"/>
              </w:rPr>
            </w:pPr>
          </w:p>
        </w:tc>
      </w:tr>
      <w:tr>
        <w:trPr>
          <w:trHeight w:val="181"/>
        </w:trPr>
        <w:tc>
          <w:tcPr>
            <w:tcW w:w="8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Vasconia Equity earnings, net of taxes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392"/>
        </w:trPr>
        <w:tc>
          <w:tcPr>
            <w:tcW w:w="8360" w:type="dxa"/>
            <w:vAlign w:val="bottom"/>
          </w:tcPr>
          <w:p>
            <w:pPr>
              <w:ind w:left="20"/>
              <w:spacing w:after="0"/>
              <w:rPr>
                <w:sz w:val="20"/>
                <w:szCs w:val="20"/>
                <w:color w:val="auto"/>
              </w:rPr>
            </w:pPr>
            <w:r>
              <w:rPr>
                <w:rFonts w:ascii="Arial" w:cs="Arial" w:eastAsia="Arial" w:hAnsi="Arial"/>
                <w:sz w:val="18"/>
                <w:szCs w:val="18"/>
                <w:color w:val="auto"/>
                <w:w w:val="94"/>
              </w:rPr>
              <w:t>Cumulative translation foreign currency losses related to dissolution of Lifetime Brands Do Brasil Participacoes</w:t>
            </w:r>
          </w:p>
        </w:tc>
        <w:tc>
          <w:tcPr>
            <w:tcW w:w="18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Ltda</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 earnings (losses), net of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Vasconia reported loss from operations for 2020 of $0.1 million, as compared to income of $8.6 million for 2019 and reported net income of $5.6 million and $1.8 million in 2020 and 2019, respectively. The effect of the translation of the Company’s investment, as well as the translation of Vasconia’s balance sheet, resulted in a decrease of the investment of $2.7 million during the year ended December 31, 2020 and a decrease of the investment of $1.6 million during the year ended December 31, 2019.</w:t>
      </w:r>
    </w:p>
    <w:p>
      <w:pPr>
        <w:spacing w:after="0" w:line="187"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During the year ended December 31, 2020, the Company recognized a loss of $0.2 million, relating to cumulative translation foreign currency losses that were recognized to earnings upon the dissolution of Lifetime Brands Do Brasil Participacoes Ltda., a 100% owned foreign subsidiary. The foreign currency translation losses related to the notes receivable due to the Company from the 2016 sale of its equity interest in GS International S/A.</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 xml:space="preserve">Management’s Discussion and Analysis of Financial Condition and Results of Operations </w:t>
      </w:r>
      <w:r>
        <w:rPr>
          <w:rFonts w:ascii="Arial" w:cs="Arial" w:eastAsia="Arial" w:hAnsi="Arial"/>
          <w:sz w:val="16"/>
          <w:szCs w:val="16"/>
          <w:color w:val="auto"/>
        </w:rPr>
        <w:t>discusses the Company’s audited consolidated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which have been prepared in accordance with GAAP and with the instructions to Form 10-K and Article 10 of Regulation S-X. The preparation of these financial statements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On an on-going basis, management evaluates its estimates and judgments based on historical experience and on various other factors that are believed to be reasonable under the circumstances, the results of which form the basis for making judgments about the carrying values of assets and liabilities that are not readily apparent from other sources. The Company evaluates these estimates including those related to revenue recognition, allowances for doubtful accounts, reserves for sales returns and allowances and customer chargebacks, inventory mark-down provisions, estimates for unpaid healthcare claims, impairment of goodwill, tangible and intangible assets, stock compensation expense, accruals related to the Company’s tax positions and tax valuation allowances. Actual results may differ from these estimates using different assumptions and under different conditions and changes in these estimates are recorded when known. The Company’s significant accounting policies are more fully described in NOTE 1 — SIGNIFICANT ACCOUNTING POLICIES in the Notes to the consolidated financial statements included in Item 15. The Company believes that the following discussion addresses its most critical accounting policies, which are those that are most important to the portrayal of the Company’s consolidated financial condition and results of operations and require management’s most difficult, subjective and complex judgments.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 by 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 of completion, disposal and transportation.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periodically reviews the collectability of its accounts receivable and establishes allowances for estimated losses that could result from the inability of its customers to make required payments, taking into consideration customer credit history and financial condition, industry and market segment information, credit reports, and economic trends and conditions such as the impact of the COVID-19 pandemic in 2020. A considerable amount of judgment is required to assess the ultimate realization of these receivables including assessing the initial and on-going creditworthiness of the Company’s customers.</w:t>
      </w:r>
    </w:p>
    <w:p>
      <w:pPr>
        <w:spacing w:after="0" w:line="8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Company also maintains an allowance for anticipated customer deductions. The allowances for deductions are primarily based on contracts with customers. However, in certain cases the Company does not have a formal contract and, therefore, customer deductions are non-contractual. To evaluate the reasonableness of non-contractual customer deductions, the Company analyzes currently available information and historical trends of deductions.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purchase agreement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To improve its liquidity during seasonally high working capital periods, the Company has an uncommitted Receivables Purchase Agreement with HSBC Bank USA, as Purchaser (the “Receivables Purchase Agreement”). Under the Receivables Purchase Agreement, the Company may offer to sell certain eligible accounts receivables (the “Receivables”) to HSBC Bank USA, which may accept such offer, and purchase the offered Receivables. Under the Receivables Purchase Agreement, following each purchase of Receivables, the outstanding aggregate purchased Receivables shall not exceed $30.0 million. HSBC Bank USA will assume the credit risk of the Receivables purchased; and, the Company will continue to be responsible for all non-credit risk matters. The Company will service the Receivables, and as such servicer, collect and otherwise enforce the Receivables on behalf of HSBC Bank USA. The term of the agreement is for 364 days and automatically extends for annual successive terms unless terminated. Either party may terminate the agreement at any time upon 60 days prior written notice to the other party. Pursuant to this agreement, the Company sold $159.4 million and $115.4 million of Receivables during the years ended December 31, 2020 and 2019, respectively. At December 31, 2020 and 2019, $24.7 million and $20.9 million, respectively, of receivables sold are outstanding and are due to HSBC Bank USA from customers. A charge of $0.4 million and $0.6 million related to the sale of the Receivables is included in selling, general and administrative expenses in the consolidated statements of operations for the years ended December 31, 2020 and 2019,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determines if an arrangement is a lease at the inception of a contract. Operating lease right-of-use (“ROU”) assets are included in operating lease right-of-use assets on the consolidated balance sheets. The current and long-term components of operating lease liabilities are included in the current portion of operating lease liability and operating lease liabilities, respectively, on the consolidated balance sheets. Finance leases are included in property and equipment, net, accrued expenses and other long-term liabilities. The Company's finance leases are not material to the Company’s consolidated balance sheets.</w:t>
      </w:r>
    </w:p>
    <w:p>
      <w:pPr>
        <w:spacing w:after="0" w:line="18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operating lease ROU asset may also include any lease payments made, adjusted for any prepaid or accrued rent payments, lease incentives, and initial direct costs incurred. Certain leases may include options to extend or terminate the lease. Lease expense for minimum lease payments is recognized on a straight-line basis over the lease term.</w:t>
      </w:r>
    </w:p>
    <w:p>
      <w:pPr>
        <w:spacing w:after="0" w:line="16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 certain equipment leases, the Company applies a portfolio approach to effectively account for any ROU assets and lease liabilities. Leases with an initial term of twelve months or less are not recorded on the balance sheet.</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has elected the practical expedient to account for each separate lease component of a contract and its associated non-lease components as a single lease component, thus causing all fixed payments to be capitalized.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long-lived assets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w:t>
      </w:r>
    </w:p>
    <w:p>
      <w:pPr>
        <w:spacing w:after="0" w:line="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the FASB's Accounting Standards Update No. (“ASU”) Topic 350, Intangibles – Goodwill and Other. If, after assessing qualitative factors, the Company determines that it is not more likely than not that the fair value of a reporting unit is less than its carrying amount, then performing the quantitative test is unnecessary and 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w:t>
      </w:r>
    </w:p>
    <w:p>
      <w:pPr>
        <w:spacing w:after="0" w:line="191"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The Company reviews goodwill and other intangibles that have indefinite lives for impairment annually as of October 1st or when events or changes in circumstances indicate the carrying value of these assets might exceed their current fair values. For goodwill, impairment testing is based upon the best information available using a combination of the discounted cash flow method, a form of the income approach, and the guideline public company method, a form of the market approach.</w:t>
      </w:r>
    </w:p>
    <w:p>
      <w:pPr>
        <w:spacing w:after="0" w:line="202"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The significant assumptions used under the income approach, or discounted cash flow method, are projected net sales, projected earnings before interest, tax, depreciation and amortization (“EBITDA”), terminal growth rates, and the cost of capital. Projected net sales, projected EBITDA and terminal growth rates were determined to be significant assumptions because they are three primary drivers of the projected cash flows in the discounted cash flow fair value model. Cost of capital was also determined to be a significant assumption as it is the discount rate used to calculate the current fair value of those projected cash flows. For the guideline public company method, significant assumptions relate to the selection of appropriate guideline companies and related valuation multiples used in the market analysis.</w:t>
      </w:r>
    </w:p>
    <w:p>
      <w:pPr>
        <w:spacing w:after="0" w:line="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the Company believes the assumptions and estimates made are reasonable and appropriate, different assumptions and estimates could materially impact its reported financial results. In addition, sustained declines in the Company's stock price and related market capitalization could impact key assumptions in the overall estimated fair values of its reporting units and could result in non-cash impairment charges that could be material to the Company's consolidated balance sheet or results of operations. Should the carrying value of a reporting unit be in excess of the estimated fair value of that reporting unit, an impairment charge will be recorded to reduce the reporting unit to fair value. The Company also evaluates qualitative factors to determine whether or not its indefinite lived intangibles have been impaired and then performs quantitative tests if required. These tests can include the relief from royalty model or other valuation models. The significant assumptions used in the relief from royalty model are future net sales for the related brands, royalty rates and the cost of capital to determine the fair value of the indefinite lived intangibles.</w:t>
      </w:r>
    </w:p>
    <w:p>
      <w:pPr>
        <w:spacing w:after="0" w:line="200" w:lineRule="exact"/>
        <w:rPr>
          <w:sz w:val="20"/>
          <w:szCs w:val="20"/>
          <w:color w:val="auto"/>
        </w:rPr>
      </w:pPr>
    </w:p>
    <w:p>
      <w:pPr>
        <w:spacing w:after="0" w:line="22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Company also evaluates qualitative factors to determine whether or not its indefinite lived intangibles have been impaired and then performs quantitative tests if required. These tests can include the relief from royalty model or other valuation models.</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sells products wholesale, to retailers and distributors, and sells products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Net sales exclude taxes that are collected from customers and remitted to the taxing authorities.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arrangements represent forms of variable consideration, and an estimate of sales returns are reflected as reductions in net sales in the Company’s consolidated statements of operations. These estimates are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w:t>
      </w:r>
    </w:p>
    <w:p>
      <w:pPr>
        <w:spacing w:after="0" w:line="19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Payment terms vary by customer, but generally range from 30 to 90 days or at the point of sale for the Company’s retail direct sales. As a result of the COVID-19 pandemic, beginning in the first quarter of 2020 and lasting through the fourth quarter of 2020, many of the Company's customers that operate retail locations temporarily closed their stores voluntarily or as mandated by government stay at home orders. In response to these closings, the affected customers have requested extended payment terms. The Company has been working with these customers to address their temporary extended payment requests.</w:t>
      </w:r>
    </w:p>
    <w:p>
      <w:pPr>
        <w:spacing w:after="0" w:line="80"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consolidated statement of operations. Incidental items that are immaterial in the context of the contract are expensed as incurred.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Cost of sales consist primarily of costs associated with the production and procurement of product, inbound freight costs, purchasing costs, royalties and other product procurement related charges.</w:t>
      </w:r>
    </w:p>
    <w:p>
      <w:pPr>
        <w:spacing w:after="0" w:line="19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2019, the Company implemented programs to improve the productivity of its inventory and simplify its U.S. business. In connection therewith, it initiated a stock keeping unit rationalization (“SKU Rationalization”) initiative to identify inventory to discontinue from active status, consistent with the objectives of these programs. During the year ended December 31, 2019, the Company recorded an $8.5 million charge to cost of sales associated with the SKU Rationalization initiative. The inventory charge, which was recognized in cost of sales during the three months ended June 30, 2019, represented approximately 8% of the Company's consolidated inventory at June 30, 2019.</w:t>
      </w:r>
    </w:p>
    <w:p>
      <w:pPr>
        <w:spacing w:after="0" w:line="32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Prior to January 1, 2019, depreciation associated with certain tooling used to produce products was recorded in selling, general and administrative expenses in the consolidated statement of operations. The amount recorded in cost of sales for the year ended December 31, 2020 and 2019 was $1.0 million and $1.4 million, respectively. The impact on the comparative periods presented is immaterial and therefore, the comparative periods have not been adjusted to reflect this change in accounting policy.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Company accounts for its share-based compensation arrangements in accordance with ASC Topic 718, Compensation: Stock-based Compensation, which requires the measurement of compensation expense for all share-based compensation granted to employees and non-employee directors at fair value on the date of grant and recognition of compensation expense over the related service period. Forfeitures are accounted for as they occur.</w:t>
      </w:r>
    </w:p>
    <w:p>
      <w:pPr>
        <w:spacing w:after="0" w:line="14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uses the Black-Scholes option valuation model to estimate the fair value of its stock options. The Black-Scholes option valuation model requires the input of highly subjective assumptions including the expected stock price volatility of the Company’s common stock and the risk-free interest rate. Changes in these subjective input assumptions can materially affect the fair value estimate of the Company’s stock options on the date of the option grant.</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Performance share awards are initially valued at the Company’s closing stock price on the date of grant. Each performance award represents the right to receive up to 150% of the target number of shares of common stock. The number of shares of common stock earned will be determined based on the attainment of specified performance goals, as determined by the Compensation Committee of the Board of Directors, by the end of the performance period. Compensation expense for performance awards is recognized over the vesting period and will vary based on remeasurement during the performance period. If achievement of the performance metrics is not probable of achievement during the performance period, compensation expense is reversed. The awards are forfeited if the performance metrics are not achieved as of the end of the performance period. The performance share awards vest at the end of a three year period, as determined by the Compensation Committee.</w:t>
      </w:r>
    </w:p>
    <w:p>
      <w:pPr>
        <w:spacing w:after="0" w:line="17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bases the estimated fair value of restricted stock awards on the date of grant. The estimated fair value is determined based on the closing price of the Company’s common stock on the date of grant multiplied by the number of shares awarded. Compensation expense is recognized on a straight-line basis over the vesting period.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Costs associated with restructuring activities are recorded at fair value when a liability has been incurred. A liability has been incurred at the communication date for severance. Charges associated with lease terminations, related to restructuring activities, are recognized at the effective date of the lease modification.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healthcare</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self-insures certain portions of its health insurance plan. The Company maintains an accrual for estimated unpaid claims and claims incurred but not yet reported (“IBNR”). Although management believes that it uses the best information available to estimate IBNR claims, actual claims may vary significantly from estimated claims.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applies the authoritative guidance for the financial statement recognition, measurement and disclosure of uncertain tax positions recognized in the Company’s financial statements</w:t>
      </w:r>
      <w:r>
        <w:rPr>
          <w:rFonts w:ascii="Arial" w:cs="Arial" w:eastAsia="Arial" w:hAnsi="Arial"/>
          <w:sz w:val="17"/>
          <w:szCs w:val="17"/>
          <w:i w:val="1"/>
          <w:iCs w:val="1"/>
          <w:color w:val="auto"/>
        </w:rPr>
        <w:t>.</w:t>
      </w:r>
      <w:r>
        <w:rPr>
          <w:rFonts w:ascii="Arial" w:cs="Arial" w:eastAsia="Arial" w:hAnsi="Arial"/>
          <w:sz w:val="17"/>
          <w:szCs w:val="17"/>
          <w:color w:val="auto"/>
        </w:rPr>
        <w:t xml:space="preserve"> In accordance with this guidance, tax positions must meet a more-likely-than-not recognition threshold and measurement attribute for the financial statement recognition and measurement of a tax position. A valuation allowance is required to be established or maintained when it is “more likely than not” that all or a portion of deferred tax assets will not be realized.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accounts for derivative instruments in accordance with ASC Topic 815, Derivatives and Hedging. ASC 815 requires that all derivative instruments be recognized on the balance sheet at fair value as either an asset or liability. Changes in the fair value of derivatives that qualify as hedges and have been designated as part of a hedging relationship for accounting purposes have no net impact on earnings until the hedged item is recognized in earnings. The change in the fair value of hedges are included in accumulated other comprehensive income (loss) and is subsequently recognized in the Company’s consolidated statements of operations to mirror the location of the hedged items impacting earnings. Changes in fair value of derivatives that do not qualify as hedging instruments for accounting purposes are recorded in the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Foreign currency denominated assets and liabilities are translated into U.S. dollars at exchange rates prevailing at the balance sheet dates. Revenues, costs and expenses are translated into U.S. dollars at average exchange rates for the relevant period. Income and losses resulting from translation are recorded as a component of accumulated other comprehensive income (loss).</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may enter into foreign exchange derivative contracts to hedge the volatility of exchange rates related to a portion of its international inventory purchases. Realized gains and losses from designated foreign currency derivative contracts are recognized in cost of sales as the hedged inventory purchases are sold. Unrealized gains and losses from foreign currency transactions on the fair value of foreign exchange contracts designated as hedges are recorded as a component of accumulated other comprehensive income (loss).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Realized and unrealized gains and losses from non-designated foreign currency hedges are recognized in selling, general and administrative expenses in the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Company is subject to various claims and contingencies related to lawsuits, certain taxes and environmental matters, as well as commitments under contractual and other commercial obligations. The Company recognizes liabilities for contingencies and commitments when a loss is probable and estimable.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Company’s principal sources of cash to fund liquidity needs are: (i) cash provided by operating activities and (ii) borrowings available under its revolving credit facility under the ABL Agreement. The Company’s primary uses of funds consist of working capital requirements, capital expenditures, acquisitions and investments and payments of principal and interest on its debt.</w:t>
      </w:r>
    </w:p>
    <w:p>
      <w:pPr>
        <w:spacing w:after="0" w:line="184"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At December 31, 2020 and 2019, the Company had cash and cash equivalents of $36.0 million and $11.4 million, respectively, and working capital of $241.2 million at December 31, 2020, compared to $221.8 million at December 31, 2019. The current ratio (current assets to current liabilities) was 2.3 to 1.0 at December 31, 2020, compared to 3.1 to 1.0 at December 31, 2019. The increase in working capital was driven by higher sales and increased inventory levels compared to the prior year. The decrease in the current ratio was primarily due to an increase in accounts payable due to timing of inventory purchases and an increase in the estimated excess cash flow principal payment related to the Company's debt agreement.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2020, borrowings under the Company’s ABL Agreement were $27.3 million and $262.6 million was outstanding under the Term Loan.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2019, borrowings under the Company’s ABL Agreement were $32.8 million and $270.2 million was outstanding under the Term Loan.</w:t>
      </w:r>
    </w:p>
    <w:p>
      <w:pPr>
        <w:spacing w:after="0" w:line="23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believes that availability under the revolving credit facility under its ABL Agreement and cash flows from operations are sufficient to fund the Company’s operations for the next twelve months. However, if circumstances were to adversely change, the Company may seek alternative sources of liquidity including debt and/or equity financing. However, there can be no assurance that any such alternative sources would be available or sufficient. The Company closely monitors the creditworthiness of its customers. Based upon its evaluation of changes in customers’ creditworthiness, the Company may modify credit limits and/or terms of sale. However, notwithstanding the Company’s efforts to monitor its customers’ financial condition, the Company could be materially affected by changes in the future. Some of the Company’s customers may be adversely and materially affected by the COVID-19 pandemic.</w:t>
      </w:r>
    </w:p>
    <w:p>
      <w:pPr>
        <w:spacing w:after="0" w:line="19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Inventory, a large component of the Company’s working capital, is expected to fluctuate from period to period, with inventory levels higher primarily in the June through October time period. In 2020, the Company's inventory levels did not significantly decrease during the fourth quarter. The higher inventory levels at December 31, 2020 were a result of increased inventory purchases to meet higher expected demand in 2021.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For the three months ended December 31, 2020 inventory turnover was 3.1 times, or 117 days, as compared to 2.9 times, or 128 days, for the three months ended December 31, 2019. The improvement was a result of an increase in consumer demand for certain products beginning in the second quarter of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Company’s credit agreement (the “ABL Agreement”) with JPMorgan Chase Bank, N.A. (“JPMorgan”), includes a senior secured asset-based revolving credit facility in the maximum aggregate principal amount of $150.0 million, which facility will mature on March 2, 2023, and a loan agreement (the “Term Loan” and together with the ABL Agreement, the “Debt Agreements”) provides for a senior secured term loan credit facility in the original principal amount of $275.0 million, which matures on February 28, 2025. The Term Loan facility will be repaid in quarterly payments, which commenced June 30, 2018, of principal equal to 0.25% of the original aggregate principal amount of the Term Loan facility. The Term Loan requires the Company to make an annual prepayment of principal based upon excess cash flow (the “Excess Cash Flow”), if any. This estimated amount is recorded in the current maturity of term loan on the consolidated balance sheets. Per the Debt Agreements, when the Company makes an Excess Cash Flow payment, the payment is first applied to satisfy the future quarterly required payments in order of maturity. The maximum borrowing amount under the ABL Agreement may be increased to up to $200.0 million if certain conditions are met. One or more tranches of Incremental Facilities may be added under the Term Loan if certain conditions are met. 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and 2019, the total availability under the ABL Agreement were as follows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2020</w:t>
            </w:r>
          </w:p>
        </w:tc>
        <w:tc>
          <w:tcPr>
            <w:tcW w:w="160" w:type="dxa"/>
            <w:vAlign w:val="bottom"/>
          </w:tcPr>
          <w:p>
            <w:pPr>
              <w:spacing w:after="0"/>
              <w:rPr>
                <w:sz w:val="18"/>
                <w:szCs w:val="18"/>
                <w:color w:val="auto"/>
              </w:rPr>
            </w:pPr>
          </w:p>
        </w:tc>
        <w:tc>
          <w:tcPr>
            <w:tcW w:w="1540" w:type="dxa"/>
            <w:vAlign w:val="bottom"/>
          </w:tcPr>
          <w:p>
            <w:pPr>
              <w:jc w:val="right"/>
              <w:ind w:right="112"/>
              <w:spacing w:after="0"/>
              <w:rPr>
                <w:sz w:val="20"/>
                <w:szCs w:val="20"/>
                <w:color w:val="auto"/>
              </w:rPr>
            </w:pPr>
            <w:r>
              <w:rPr>
                <w:rFonts w:ascii="Arial" w:cs="Arial" w:eastAsia="Arial" w:hAnsi="Arial"/>
                <w:sz w:val="16"/>
                <w:szCs w:val="16"/>
                <w:b w:val="1"/>
                <w:bCs w:val="1"/>
                <w:color w:val="auto"/>
                <w:w w:val="91"/>
              </w:rPr>
              <w:t>December 31, 2019</w:t>
            </w:r>
          </w:p>
        </w:tc>
      </w:tr>
      <w:tr>
        <w:trPr>
          <w:trHeight w:val="226"/>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Maximum aggregate principal allowed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r>
      <w:tr>
        <w:trPr>
          <w:trHeight w:val="230"/>
        </w:trPr>
        <w:tc>
          <w:tcPr>
            <w:tcW w:w="7400" w:type="dxa"/>
            <w:vAlign w:val="bottom"/>
          </w:tcPr>
          <w:p>
            <w:pPr>
              <w:ind w:left="140"/>
              <w:spacing w:after="0"/>
              <w:rPr>
                <w:sz w:val="20"/>
                <w:szCs w:val="20"/>
                <w:color w:val="auto"/>
              </w:rPr>
            </w:pPr>
            <w:r>
              <w:rPr>
                <w:rFonts w:ascii="Arial" w:cs="Arial" w:eastAsia="Arial" w:hAnsi="Arial"/>
                <w:sz w:val="16"/>
                <w:szCs w:val="16"/>
                <w:color w:val="auto"/>
              </w:rPr>
              <w:t>Outstanding borrowings under the ABL Agreement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(27,302)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(32,822)</w:t>
            </w: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Standby letters of credit</w:t>
            </w: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r>
      <w:tr>
        <w:trPr>
          <w:trHeight w:val="223"/>
        </w:trPr>
        <w:tc>
          <w:tcPr>
            <w:tcW w:w="7400" w:type="dxa"/>
            <w:vAlign w:val="bottom"/>
          </w:tcPr>
          <w:p>
            <w:pPr>
              <w:ind w:left="20"/>
              <w:spacing w:after="0"/>
              <w:rPr>
                <w:sz w:val="20"/>
                <w:szCs w:val="20"/>
                <w:color w:val="auto"/>
              </w:rPr>
            </w:pPr>
            <w:r>
              <w:rPr>
                <w:rFonts w:ascii="Arial" w:cs="Arial" w:eastAsia="Arial" w:hAnsi="Arial"/>
                <w:sz w:val="16"/>
                <w:szCs w:val="16"/>
                <w:color w:val="auto"/>
              </w:rPr>
              <w:t>Total availability under the ABL agreement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114,890</w:t>
            </w:r>
          </w:p>
        </w:tc>
      </w:tr>
      <w:tr>
        <w:trPr>
          <w:trHeight w:val="20"/>
        </w:trPr>
        <w:tc>
          <w:tcPr>
            <w:tcW w:w="7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Availability under the ABL Agreement depends on the valuation of certain current assets comprising the borrowing base. Due to the seasonality of the Company’s business, this may mean that the Company will have greater borrowing availability during the third and fourth quarters of each year. The borrowing capacity under the ABL Agreement will depend, in part, on eligible levels of accounts receivable and inventory that fluctuate regularly. Consequently, the $150.0 million commitment thereunder may not represent actual borrowing capacity.</w:t>
      </w:r>
    </w:p>
    <w:p>
      <w:pPr>
        <w:spacing w:after="0" w:line="200" w:lineRule="exact"/>
        <w:rPr>
          <w:sz w:val="20"/>
          <w:szCs w:val="20"/>
          <w:color w:val="auto"/>
        </w:rPr>
      </w:pPr>
    </w:p>
    <w:p>
      <w:pPr>
        <w:spacing w:after="0" w:line="214" w:lineRule="exact"/>
        <w:rPr>
          <w:sz w:val="20"/>
          <w:szCs w:val="20"/>
          <w:color w:val="auto"/>
        </w:rPr>
      </w:pPr>
    </w:p>
    <w:p>
      <w:pPr>
        <w:ind w:right="680"/>
        <w:spacing w:after="0" w:line="274" w:lineRule="auto"/>
        <w:rPr>
          <w:sz w:val="20"/>
          <w:szCs w:val="20"/>
          <w:color w:val="auto"/>
        </w:rPr>
      </w:pPr>
      <w:r>
        <w:rPr>
          <w:rFonts w:ascii="Arial" w:cs="Arial" w:eastAsia="Arial" w:hAnsi="Arial"/>
          <w:sz w:val="18"/>
          <w:szCs w:val="18"/>
          <w:color w:val="auto"/>
        </w:rPr>
        <w:t>The current and non-current portions of the Company’s Term Loan facility included in the consolidated balance sheets are presented as follows (in thousands):</w:t>
      </w:r>
    </w:p>
    <w:tbl>
      <w:tblPr>
        <w:tblLayout w:type="fixed"/>
        <w:tblInd w:w="0" w:type="dxa"/>
        <w:tblCellMar>
          <w:top w:w="0" w:type="dxa"/>
          <w:left w:w="0" w:type="dxa"/>
          <w:bottom w:w="0" w:type="dxa"/>
          <w:right w:w="0" w:type="dxa"/>
        </w:tblCellMar>
      </w:tblPr>
      <w:tr>
        <w:trPr>
          <w:trHeight w:val="213"/>
        </w:trPr>
        <w:tc>
          <w:tcPr>
            <w:tcW w:w="6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2020</w:t>
            </w:r>
          </w:p>
        </w:tc>
        <w:tc>
          <w:tcPr>
            <w:tcW w:w="30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Arial" w:cs="Arial" w:eastAsia="Arial" w:hAnsi="Arial"/>
                <w:sz w:val="16"/>
                <w:szCs w:val="16"/>
                <w:b w:val="1"/>
                <w:bCs w:val="1"/>
                <w:color w:val="auto"/>
              </w:rPr>
              <w:t>December 31, 2019</w:t>
            </w:r>
          </w:p>
        </w:tc>
      </w:tr>
      <w:tr>
        <w:trPr>
          <w:trHeight w:val="199"/>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Term Loan facility:</w:t>
            </w:r>
          </w:p>
        </w:tc>
        <w:tc>
          <w:tcPr>
            <w:tcW w:w="300" w:type="dxa"/>
            <w:vAlign w:val="bottom"/>
            <w:tcBorders>
              <w:top w:val="single" w:sz="8" w:color="auto"/>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r>
      <w:tr>
        <w:trPr>
          <w:trHeight w:val="213"/>
        </w:trPr>
        <w:tc>
          <w:tcPr>
            <w:tcW w:w="6420" w:type="dxa"/>
            <w:vAlign w:val="bottom"/>
          </w:tcPr>
          <w:p>
            <w:pPr>
              <w:ind w:left="140"/>
              <w:spacing w:after="0"/>
              <w:rPr>
                <w:sz w:val="20"/>
                <w:szCs w:val="20"/>
                <w:color w:val="auto"/>
              </w:rPr>
            </w:pPr>
            <w:r>
              <w:rPr>
                <w:rFonts w:ascii="Arial" w:cs="Arial" w:eastAsia="Arial" w:hAnsi="Arial"/>
                <w:sz w:val="16"/>
                <w:szCs w:val="16"/>
                <w:color w:val="auto"/>
              </w:rPr>
              <w:t>Term Loan facility payment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2,750</w:t>
            </w:r>
          </w:p>
        </w:tc>
      </w:tr>
      <w:tr>
        <w:trPr>
          <w:trHeight w:val="219"/>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Estimated Excess Cash Flow principal payment</w:t>
            </w:r>
          </w:p>
        </w:tc>
        <w:tc>
          <w:tcPr>
            <w:tcW w:w="3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19,120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7,145</w:t>
            </w:r>
          </w:p>
        </w:tc>
      </w:tr>
      <w:tr>
        <w:trPr>
          <w:trHeight w:val="213"/>
        </w:trPr>
        <w:tc>
          <w:tcPr>
            <w:tcW w:w="6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Estimated unamortized debt issuance costs</w:t>
            </w:r>
          </w:p>
        </w:tc>
        <w:tc>
          <w:tcPr>
            <w:tcW w:w="3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(1,482)</w:t>
            </w:r>
          </w:p>
        </w:tc>
      </w:tr>
      <w:tr>
        <w:trPr>
          <w:trHeight w:val="23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portion of Term Loan facility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17,657</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8,413</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6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Term Loan facility:</w:t>
            </w:r>
          </w:p>
        </w:tc>
        <w:tc>
          <w:tcPr>
            <w:tcW w:w="3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3"/>
        </w:trPr>
        <w:tc>
          <w:tcPr>
            <w:tcW w:w="6420" w:type="dxa"/>
            <w:vAlign w:val="bottom"/>
          </w:tcPr>
          <w:p>
            <w:pPr>
              <w:ind w:left="140"/>
              <w:spacing w:after="0"/>
              <w:rPr>
                <w:sz w:val="20"/>
                <w:szCs w:val="20"/>
                <w:color w:val="auto"/>
              </w:rPr>
            </w:pPr>
            <w:r>
              <w:rPr>
                <w:rFonts w:ascii="Arial" w:cs="Arial" w:eastAsia="Arial" w:hAnsi="Arial"/>
                <w:sz w:val="16"/>
                <w:szCs w:val="16"/>
                <w:color w:val="auto"/>
              </w:rPr>
              <w:t>Term Loan facility, net of current portion</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243,485</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260,293</w:t>
            </w:r>
          </w:p>
        </w:tc>
      </w:tr>
      <w:tr>
        <w:trPr>
          <w:trHeight w:val="219"/>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Estimated unamortized debt issuance costs</w:t>
            </w:r>
          </w:p>
        </w:tc>
        <w:tc>
          <w:tcPr>
            <w:tcW w:w="3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(6,012)</w:t>
            </w:r>
          </w:p>
        </w:tc>
      </w:tr>
      <w:tr>
        <w:trPr>
          <w:trHeight w:val="207"/>
        </w:trPr>
        <w:tc>
          <w:tcPr>
            <w:tcW w:w="6420" w:type="dxa"/>
            <w:vAlign w:val="bottom"/>
          </w:tcPr>
          <w:p>
            <w:pPr>
              <w:ind w:left="20"/>
              <w:spacing w:after="0"/>
              <w:rPr>
                <w:sz w:val="20"/>
                <w:szCs w:val="20"/>
                <w:color w:val="auto"/>
              </w:rPr>
            </w:pPr>
            <w:r>
              <w:rPr>
                <w:rFonts w:ascii="Arial" w:cs="Arial" w:eastAsia="Arial" w:hAnsi="Arial"/>
                <w:sz w:val="16"/>
                <w:szCs w:val="16"/>
                <w:b w:val="1"/>
                <w:bCs w:val="1"/>
                <w:color w:val="auto"/>
              </w:rPr>
              <w:t>Total Non-current portion of Term Loan facility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238,977</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254,281</w:t>
            </w:r>
          </w:p>
        </w:tc>
      </w:tr>
      <w:tr>
        <w:trPr>
          <w:trHeight w:val="23"/>
        </w:trPr>
        <w:tc>
          <w:tcPr>
            <w:tcW w:w="6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17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Borrowings under the revolving credit facility bear interest, at the Company’s option, at one of the following rates: (i) an alternate base rate, defined, for any day, as the greater of the prime rate, a federal funds and overnight bank funding based rate plus 0.5% or one-month LIBOR plus 1.0%, plus a margin of 0.25% to 0.75%, or (ii) LIBOR plus a margin of 1.25% to 1.75%. The respective margins are based upon the Company’s total leverage ratio, as defined in and computed pursuant to the ABL Agreement. The interest rate on outstanding borrowings under the ABL Agreement at December 31, 2020 was 1.52%. In addition, the Company paid a commitment fee that ranged from 0.250% to 0.375% on the unused portion of the ABL Agreement during the year ended December 31, 2020.</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Term Loan facility bears interest, at the Company’s option, at one of the following rates: (i) an alternate base rate, defined, for any day, as the greater of the prime rate, a federal funds and overnight bank funding based rate plus 0.50% or one-month LIBOR plus 1.0%, plus a margin of 2.50% or (ii) LIBOR plus a margin of 3.50%. The interest rate on outstanding borrowings under the Term Loan at December 31, 2020 was 4.5%.</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debt agreements provide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$15.0 million or 10% of the aggregate commitment under the ABL Agreement at any time and (b) ending on the day after such availability has exceeded the greater of $15.0 million or 10% of the aggregate commitment under the ABL Agreement for forty-five (45) consecutive days, the Company is required to maintain a minimum fixed charge coverage ratio of 1.10 to 1.00 as of the last day of any period of four consecutive fiscal quarters.</w:t>
      </w:r>
    </w:p>
    <w:p>
      <w:pPr>
        <w:spacing w:after="0" w:line="1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was in compliance with the covenants of the Debt Agreements at December 31, 2020. The Company expects that it will continue to borrow and repay funds, subject to availability, under the ABL Agreement based on working capital and other corporate needs.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Calculations</w:t>
      </w:r>
    </w:p>
    <w:p>
      <w:pPr>
        <w:spacing w:after="0" w:line="11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Consolidated 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sectPr>
          <w:pgSz w:w="11900" w:h="16838" w:orient="portrait"/>
          <w:cols w:equalWidth="0" w:num="1">
            <w:col w:w="11240"/>
          </w:cols>
          <w:pgMar w:left="320" w:top="125" w:right="339" w:bottom="1440" w:gutter="0" w:footer="0" w:header="0"/>
        </w:sect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Company’s consolidated adjusted EBITDA, for the last four fiscal quarters:</w:t>
      </w:r>
    </w:p>
    <w:p>
      <w:pPr>
        <w:spacing w:after="0" w:line="200" w:lineRule="exact"/>
        <w:rPr>
          <w:sz w:val="20"/>
          <w:szCs w:val="20"/>
          <w:color w:val="auto"/>
        </w:rPr>
      </w:pPr>
    </w:p>
    <w:p>
      <w:pPr>
        <w:spacing w:after="0" w:line="264" w:lineRule="exact"/>
        <w:rPr>
          <w:sz w:val="20"/>
          <w:szCs w:val="20"/>
          <w:color w:val="auto"/>
        </w:rPr>
      </w:pPr>
    </w:p>
    <w:p>
      <w:pPr>
        <w:jc w:val="center"/>
        <w:ind w:left="2619"/>
        <w:spacing w:after="0"/>
        <w:rPr>
          <w:sz w:val="20"/>
          <w:szCs w:val="20"/>
          <w:color w:val="auto"/>
        </w:rPr>
      </w:pPr>
      <w:r>
        <w:rPr>
          <w:rFonts w:ascii="Arial" w:cs="Arial" w:eastAsia="Arial" w:hAnsi="Arial"/>
          <w:sz w:val="16"/>
          <w:szCs w:val="16"/>
          <w:b w:val="1"/>
          <w:bCs w:val="1"/>
          <w:color w:val="auto"/>
        </w:rPr>
        <w:t>Consolidated adjusted EBITDA for the four quarters ended</w:t>
      </w:r>
    </w:p>
    <w:p>
      <w:pPr>
        <w:spacing w:after="0" w:line="50" w:lineRule="exact"/>
        <w:rPr>
          <w:sz w:val="20"/>
          <w:szCs w:val="20"/>
          <w:color w:val="auto"/>
        </w:rPr>
      </w:pPr>
    </w:p>
    <w:p>
      <w:pPr>
        <w:jc w:val="center"/>
        <w:ind w:left="2619"/>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ind w:left="2619"/>
        <w:spacing w:after="0"/>
        <w:rPr>
          <w:sz w:val="20"/>
          <w:szCs w:val="20"/>
          <w:color w:val="auto"/>
        </w:rPr>
      </w:pPr>
      <w:r>
        <w:rPr>
          <w:rFonts w:ascii="Arial" w:cs="Arial" w:eastAsia="Arial" w:hAnsi="Arial"/>
          <w:sz w:val="18"/>
          <w:szCs w:val="18"/>
          <w:color w:val="auto"/>
        </w:rPr>
        <w:t>(in thousands)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Three months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Three months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Three months ended June 30, 2020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Three months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adjusted EBITDA</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financial measure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339" w:hanging="1339"/>
        <w:spacing w:after="0"/>
        <w:tabs>
          <w:tab w:leader="none" w:pos="1339" w:val="left"/>
        </w:tabs>
        <w:numPr>
          <w:ilvl w:val="0"/>
          <w:numId w:val="25"/>
        </w:numPr>
        <w:rPr>
          <w:rFonts w:ascii="Arial" w:cs="Arial" w:eastAsia="Arial" w:hAnsi="Arial"/>
          <w:sz w:val="15"/>
          <w:szCs w:val="15"/>
          <w:color w:val="auto"/>
        </w:rPr>
      </w:pPr>
      <w:r>
        <w:rPr>
          <w:rFonts w:ascii="Arial" w:cs="Arial" w:eastAsia="Arial" w:hAnsi="Arial"/>
          <w:sz w:val="15"/>
          <w:szCs w:val="15"/>
          <w:color w:val="auto"/>
        </w:rPr>
        <w:t>32,458</w:t>
      </w:r>
    </w:p>
    <w:p>
      <w:pPr>
        <w:spacing w:after="0" w:line="57" w:lineRule="exact"/>
        <w:rPr>
          <w:rFonts w:ascii="Arial" w:cs="Arial" w:eastAsia="Arial" w:hAnsi="Arial"/>
          <w:sz w:val="15"/>
          <w:szCs w:val="15"/>
          <w:color w:val="auto"/>
        </w:rPr>
      </w:pPr>
    </w:p>
    <w:p>
      <w:pPr>
        <w:ind w:left="1339"/>
        <w:spacing w:after="0"/>
        <w:rPr>
          <w:rFonts w:ascii="Arial" w:cs="Arial" w:eastAsia="Arial" w:hAnsi="Arial"/>
          <w:sz w:val="15"/>
          <w:szCs w:val="15"/>
          <w:color w:val="auto"/>
        </w:rPr>
      </w:pPr>
      <w:r>
        <w:rPr>
          <w:rFonts w:ascii="Arial" w:cs="Arial" w:eastAsia="Arial" w:hAnsi="Arial"/>
          <w:sz w:val="15"/>
          <w:szCs w:val="15"/>
          <w:color w:val="auto"/>
        </w:rPr>
        <w:t>29,228</w:t>
      </w:r>
    </w:p>
    <w:p>
      <w:pPr>
        <w:spacing w:after="0" w:line="57" w:lineRule="exact"/>
        <w:rPr>
          <w:rFonts w:ascii="Arial" w:cs="Arial" w:eastAsia="Arial" w:hAnsi="Arial"/>
          <w:sz w:val="15"/>
          <w:szCs w:val="15"/>
          <w:color w:val="auto"/>
        </w:rPr>
      </w:pPr>
    </w:p>
    <w:p>
      <w:pPr>
        <w:ind w:left="1339"/>
        <w:spacing w:after="0"/>
        <w:rPr>
          <w:rFonts w:ascii="Arial" w:cs="Arial" w:eastAsia="Arial" w:hAnsi="Arial"/>
          <w:sz w:val="15"/>
          <w:szCs w:val="15"/>
          <w:color w:val="auto"/>
        </w:rPr>
      </w:pPr>
      <w:r>
        <w:rPr>
          <w:rFonts w:ascii="Arial" w:cs="Arial" w:eastAsia="Arial" w:hAnsi="Arial"/>
          <w:sz w:val="15"/>
          <w:szCs w:val="15"/>
          <w:color w:val="auto"/>
        </w:rPr>
        <w:t>12,388</w:t>
      </w:r>
    </w:p>
    <w:p>
      <w:pPr>
        <w:spacing w:after="0" w:line="57" w:lineRule="exact"/>
        <w:rPr>
          <w:rFonts w:ascii="Arial" w:cs="Arial" w:eastAsia="Arial" w:hAnsi="Arial"/>
          <w:sz w:val="15"/>
          <w:szCs w:val="15"/>
          <w:color w:val="auto"/>
        </w:rPr>
      </w:pPr>
    </w:p>
    <w:p>
      <w:pPr>
        <w:ind w:left="1419"/>
        <w:spacing w:after="0"/>
        <w:rPr>
          <w:rFonts w:ascii="Arial" w:cs="Arial" w:eastAsia="Arial" w:hAnsi="Arial"/>
          <w:sz w:val="15"/>
          <w:szCs w:val="15"/>
          <w:color w:val="auto"/>
        </w:rPr>
      </w:pPr>
      <w:r>
        <w:rPr>
          <w:rFonts w:ascii="Arial" w:cs="Arial" w:eastAsia="Arial" w:hAnsi="Arial"/>
          <w:sz w:val="15"/>
          <w:szCs w:val="15"/>
          <w:color w:val="auto"/>
        </w:rPr>
        <w:t>3,252</w:t>
      </w:r>
    </w:p>
    <w:p>
      <w:pPr>
        <w:spacing w:after="0" w:line="70" w:lineRule="exact"/>
        <w:rPr>
          <w:sz w:val="20"/>
          <w:szCs w:val="20"/>
          <w:color w:val="auto"/>
        </w:rPr>
      </w:pPr>
    </w:p>
    <w:p>
      <w:pPr>
        <w:ind w:left="1339" w:hanging="1339"/>
        <w:spacing w:after="0"/>
        <w:tabs>
          <w:tab w:leader="none" w:pos="1339" w:val="left"/>
        </w:tabs>
        <w:numPr>
          <w:ilvl w:val="0"/>
          <w:numId w:val="26"/>
        </w:numPr>
        <w:rPr>
          <w:rFonts w:ascii="Arial" w:cs="Arial" w:eastAsia="Arial" w:hAnsi="Arial"/>
          <w:sz w:val="15"/>
          <w:szCs w:val="15"/>
          <w:color w:val="auto"/>
        </w:rPr>
      </w:pPr>
      <w:r>
        <w:rPr>
          <w:rFonts w:ascii="Arial" w:cs="Arial" w:eastAsia="Arial" w:hAnsi="Arial"/>
          <w:sz w:val="15"/>
          <w:szCs w:val="15"/>
          <w:color w:val="auto"/>
        </w:rPr>
        <w:t>77,326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62230</wp:posOffset>
            </wp:positionV>
            <wp:extent cx="12172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745" w:lineRule="exact"/>
        <w:rPr>
          <w:sz w:val="20"/>
          <w:szCs w:val="20"/>
          <w:color w:val="auto"/>
        </w:rPr>
      </w:pPr>
    </w:p>
    <w:p>
      <w:pPr>
        <w:sectPr>
          <w:pgSz w:w="11900" w:h="16838" w:orient="portrait"/>
          <w:cols w:equalWidth="0" w:num="2">
            <w:col w:w="8621" w:space="720"/>
            <w:col w:w="1899"/>
          </w:cols>
          <w:pgMar w:left="320" w:top="125" w:right="339" w:bottom="1440" w:gutter="0" w:footer="0" w:header="0"/>
          <w:type w:val="continuous"/>
        </w:sectPr>
      </w:pPr>
    </w:p>
    <w:p>
      <w:pPr>
        <w:ind w:right="40"/>
        <w:spacing w:after="0" w:line="257" w:lineRule="auto"/>
        <w:rPr>
          <w:sz w:val="20"/>
          <w:szCs w:val="20"/>
          <w:color w:val="auto"/>
        </w:rPr>
      </w:pPr>
      <w:r>
        <w:rPr>
          <w:rFonts w:ascii="Arial" w:cs="Arial" w:eastAsia="Arial" w:hAnsi="Arial"/>
          <w:sz w:val="18"/>
          <w:szCs w:val="18"/>
          <w:color w:val="auto"/>
        </w:rPr>
        <w:t>Consolidated adjusted EBITDA is a non-GAAP financial measure within the meaning of Regulation G and Item 10(e) of Regulation S-K, each promulgated by the Securities and Exchange Commission. This measure is provided because management of the Company uses this financial measure in evaluating the Company’s on-going financial results and trends. Management also uses this non-GAAP information as an indicator of business performance. Consolidated adjusted EBITDA, as discussed above, is also one of the measures used to calculate financial covenants required to be provided to the Company’s lenders pursuant to its Debt Agreements.</w:t>
      </w:r>
    </w:p>
    <w:p>
      <w:pPr>
        <w:spacing w:after="0" w:line="18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Investors should consider these non-GAAP financial measures in addition to, and not as a substitute for, the Company’s financial performance measures prepared in accordance with GAAP. Further, the Company’s non-GAAP information may be different from the non-GAAP information provided by other companies including other companies within the home retail industry.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following is a reconciliation of net (loss) income as reported to consolidated adjusted EBITDA for the years ended December 31, 2020 and 2019 and each fiscal quarter of 2020 and 2019:</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Year Ended</w:t>
            </w:r>
          </w:p>
        </w:tc>
      </w:tr>
      <w:tr>
        <w:trPr>
          <w:trHeight w:val="358"/>
        </w:trPr>
        <w:tc>
          <w:tcPr>
            <w:tcW w:w="4580" w:type="dxa"/>
            <w:vAlign w:val="bottom"/>
          </w:tcPr>
          <w:p>
            <w:pPr>
              <w:spacing w:after="0"/>
              <w:rPr>
                <w:sz w:val="24"/>
                <w:szCs w:val="24"/>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24"/>
                <w:szCs w:val="2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June 30, 2020</w:t>
            </w:r>
          </w:p>
        </w:tc>
        <w:tc>
          <w:tcPr>
            <w:tcW w:w="100" w:type="dxa"/>
            <w:vAlign w:val="bottom"/>
          </w:tcPr>
          <w:p>
            <w:pPr>
              <w:spacing w:after="0"/>
              <w:rPr>
                <w:sz w:val="24"/>
                <w:szCs w:val="24"/>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2020</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0"/>
              </w:rPr>
              <w:t>December 31, 2020</w:t>
            </w:r>
          </w:p>
        </w:tc>
        <w:tc>
          <w:tcPr>
            <w:tcW w:w="120" w:type="dxa"/>
            <w:vAlign w:val="bottom"/>
          </w:tcPr>
          <w:p>
            <w:pPr>
              <w:spacing w:after="0"/>
              <w:rPr>
                <w:sz w:val="24"/>
                <w:szCs w:val="2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r>
      <w:tr>
        <w:trPr>
          <w:trHeight w:val="196"/>
        </w:trPr>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(in thousands)</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5"/>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as reported</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w:t>
            </w:r>
          </w:p>
        </w:tc>
      </w:tr>
      <w:tr>
        <w:trPr>
          <w:trHeight w:val="229"/>
        </w:trPr>
        <w:tc>
          <w:tcPr>
            <w:tcW w:w="4580" w:type="dxa"/>
            <w:vAlign w:val="bottom"/>
          </w:tcPr>
          <w:p>
            <w:pPr>
              <w:ind w:left="360"/>
              <w:spacing w:after="0"/>
              <w:rPr>
                <w:sz w:val="20"/>
                <w:szCs w:val="20"/>
                <w:color w:val="auto"/>
              </w:rPr>
            </w:pPr>
            <w:r>
              <w:rPr>
                <w:rFonts w:ascii="Arial" w:cs="Arial" w:eastAsia="Arial" w:hAnsi="Arial"/>
                <w:sz w:val="18"/>
                <w:szCs w:val="18"/>
                <w:color w:val="auto"/>
              </w:rPr>
              <w:t>Subtract out:</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5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Undistributed equity (earnings) losses, net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r>
      <w:tr>
        <w:trPr>
          <w:trHeight w:val="229"/>
        </w:trPr>
        <w:tc>
          <w:tcPr>
            <w:tcW w:w="4580" w:type="dxa"/>
            <w:vAlign w:val="bottom"/>
          </w:tcPr>
          <w:p>
            <w:pPr>
              <w:ind w:left="360"/>
              <w:spacing w:after="0"/>
              <w:rPr>
                <w:sz w:val="20"/>
                <w:szCs w:val="20"/>
                <w:color w:val="auto"/>
              </w:rPr>
            </w:pPr>
            <w:r>
              <w:rPr>
                <w:rFonts w:ascii="Arial" w:cs="Arial" w:eastAsia="Arial" w:hAnsi="Arial"/>
                <w:sz w:val="18"/>
                <w:szCs w:val="18"/>
                <w:color w:val="auto"/>
              </w:rPr>
              <w:t>Add back:</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5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Income tax (benefit) provision</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9,866</w:t>
            </w:r>
          </w:p>
        </w:tc>
      </w:tr>
      <w:tr>
        <w:trPr>
          <w:trHeight w:val="230"/>
        </w:trPr>
        <w:tc>
          <w:tcPr>
            <w:tcW w:w="4580" w:type="dxa"/>
            <w:vAlign w:val="bottom"/>
          </w:tcPr>
          <w:p>
            <w:pPr>
              <w:ind w:left="6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17,277</w:t>
            </w:r>
          </w:p>
        </w:tc>
      </w:tr>
      <w:tr>
        <w:trPr>
          <w:trHeight w:val="229"/>
        </w:trPr>
        <w:tc>
          <w:tcPr>
            <w:tcW w:w="45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24,664</w:t>
            </w:r>
          </w:p>
        </w:tc>
      </w:tr>
      <w:tr>
        <w:trPr>
          <w:trHeight w:val="230"/>
        </w:trPr>
        <w:tc>
          <w:tcPr>
            <w:tcW w:w="4580" w:type="dxa"/>
            <w:vAlign w:val="bottom"/>
          </w:tcPr>
          <w:p>
            <w:pPr>
              <w:ind w:left="680"/>
              <w:spacing w:after="0"/>
              <w:rPr>
                <w:sz w:val="20"/>
                <w:szCs w:val="20"/>
                <w:color w:val="auto"/>
              </w:rPr>
            </w:pPr>
            <w:r>
              <w:rPr>
                <w:rFonts w:ascii="Arial" w:cs="Arial" w:eastAsia="Arial" w:hAnsi="Arial"/>
                <w:sz w:val="18"/>
                <w:szCs w:val="18"/>
                <w:color w:val="auto"/>
                <w:w w:val="91"/>
              </w:rPr>
              <w:t>Mark to market loss (gain) on interest rate derivatives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2,144</w:t>
            </w:r>
          </w:p>
        </w:tc>
      </w:tr>
      <w:tr>
        <w:trPr>
          <w:trHeight w:val="229"/>
        </w:trPr>
        <w:tc>
          <w:tcPr>
            <w:tcW w:w="45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Goodwill and other impairments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20,100</w:t>
            </w:r>
          </w:p>
        </w:tc>
      </w:tr>
      <w:tr>
        <w:trPr>
          <w:trHeight w:val="229"/>
        </w:trPr>
        <w:tc>
          <w:tcPr>
            <w:tcW w:w="4580" w:type="dxa"/>
            <w:vAlign w:val="bottom"/>
          </w:tcPr>
          <w:p>
            <w:pPr>
              <w:ind w:left="680"/>
              <w:spacing w:after="0"/>
              <w:rPr>
                <w:sz w:val="20"/>
                <w:szCs w:val="20"/>
                <w:color w:val="auto"/>
              </w:rPr>
            </w:pPr>
            <w:r>
              <w:rPr>
                <w:rFonts w:ascii="Arial" w:cs="Arial" w:eastAsia="Arial" w:hAnsi="Arial"/>
                <w:sz w:val="18"/>
                <w:szCs w:val="18"/>
                <w:color w:val="auto"/>
              </w:rPr>
              <w:t>Stock compensation expense</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5,951</w:t>
            </w:r>
          </w:p>
        </w:tc>
      </w:tr>
      <w:tr>
        <w:trPr>
          <w:trHeight w:val="230"/>
        </w:trPr>
        <w:tc>
          <w:tcPr>
            <w:tcW w:w="45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Acquisition related expenses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29"/>
        </w:trPr>
        <w:tc>
          <w:tcPr>
            <w:tcW w:w="4580" w:type="dxa"/>
            <w:vAlign w:val="bottom"/>
          </w:tcPr>
          <w:p>
            <w:pPr>
              <w:ind w:left="680"/>
              <w:spacing w:after="0"/>
              <w:rPr>
                <w:sz w:val="20"/>
                <w:szCs w:val="20"/>
                <w:color w:val="auto"/>
              </w:rPr>
            </w:pPr>
            <w:r>
              <w:rPr>
                <w:rFonts w:ascii="Arial" w:cs="Arial" w:eastAsia="Arial" w:hAnsi="Arial"/>
                <w:sz w:val="18"/>
                <w:szCs w:val="18"/>
                <w:color w:val="auto"/>
              </w:rPr>
              <w:t>Restructuring expenses (benefit)</w:t>
            </w:r>
          </w:p>
        </w:tc>
        <w:tc>
          <w:tcPr>
            <w:tcW w:w="3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29"/>
        </w:trPr>
        <w:tc>
          <w:tcPr>
            <w:tcW w:w="45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Warehouse relocation expenses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color w:val="auto"/>
              </w:rPr>
              <w:t>Consolidated adjusted EBITDA</w:t>
            </w: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29,228</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32,458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77,326</w:t>
            </w:r>
          </w:p>
        </w:tc>
      </w:tr>
      <w:tr>
        <w:trPr>
          <w:trHeight w:val="21"/>
        </w:trPr>
        <w:tc>
          <w:tcPr>
            <w:tcW w:w="4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Consolidated adjusted EBITDA is a non-GAAP financial measure which is defined in the Company’s debt agreements. Consolidated adjusted EBITDA is defined as net income (loss), adjusted to exclude undistributed equity in (earnings) losses, income tax (benefit) provision, interest expense, depreciation and amortization, mark to market loss (gain) on interest rate derivatives, goodwill and other impairments, stock compensation expense, and other items detailed in the table above that are consistent with exclusions permitted by our debt agreements.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5"/>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87"/>
        </w:trPr>
        <w:tc>
          <w:tcPr>
            <w:tcW w:w="44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4"/>
              </w:rPr>
              <w:t>March 31, 2019</w:t>
            </w: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June 30, 2019</w:t>
            </w:r>
          </w:p>
        </w:tc>
        <w:tc>
          <w:tcPr>
            <w:tcW w:w="146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30, 2019</w:t>
            </w:r>
          </w:p>
        </w:tc>
        <w:tc>
          <w:tcPr>
            <w:tcW w:w="13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6"/>
              </w:rPr>
              <w:t>December 31, 2019</w:t>
            </w:r>
          </w:p>
        </w:tc>
        <w:tc>
          <w:tcPr>
            <w:tcW w:w="100" w:type="dxa"/>
            <w:vAlign w:val="bottom"/>
          </w:tcPr>
          <w:p>
            <w:pPr>
              <w:spacing w:after="0"/>
              <w:rPr>
                <w:sz w:val="16"/>
                <w:szCs w:val="16"/>
                <w:color w:val="auto"/>
              </w:rPr>
            </w:pPr>
          </w:p>
        </w:tc>
        <w:tc>
          <w:tcPr>
            <w:tcW w:w="13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4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color w:val="auto"/>
                <w:w w:val="99"/>
              </w:rPr>
              <w:t>(in thousands)</w:t>
            </w: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as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(13,519)</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360"/>
              <w:spacing w:after="0"/>
              <w:rPr>
                <w:sz w:val="20"/>
                <w:szCs w:val="20"/>
                <w:color w:val="auto"/>
              </w:rPr>
            </w:pPr>
            <w:r>
              <w:rPr>
                <w:rFonts w:ascii="Arial" w:cs="Arial" w:eastAsia="Arial" w:hAnsi="Arial"/>
                <w:sz w:val="18"/>
                <w:szCs w:val="18"/>
                <w:color w:val="auto"/>
              </w:rPr>
              <w:t>Subtract out:</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Undistributed equity losses (earnings), net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360"/>
              <w:spacing w:after="0"/>
              <w:rPr>
                <w:sz w:val="20"/>
                <w:szCs w:val="20"/>
                <w:color w:val="auto"/>
              </w:rPr>
            </w:pPr>
            <w:r>
              <w:rPr>
                <w:rFonts w:ascii="Arial" w:cs="Arial" w:eastAsia="Arial" w:hAnsi="Arial"/>
                <w:sz w:val="18"/>
                <w:szCs w:val="18"/>
                <w:color w:val="auto"/>
              </w:rPr>
              <w:t>Add back:</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Income tax (benefit) provision</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6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5,539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and amortization, net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440" w:type="dxa"/>
            <w:vAlign w:val="bottom"/>
          </w:tcPr>
          <w:p>
            <w:pPr>
              <w:ind w:left="680"/>
              <w:spacing w:after="0" w:line="176" w:lineRule="exact"/>
              <w:rPr>
                <w:sz w:val="20"/>
                <w:szCs w:val="20"/>
                <w:color w:val="auto"/>
              </w:rPr>
            </w:pPr>
            <w:r>
              <w:rPr>
                <w:rFonts w:ascii="Arial" w:cs="Arial" w:eastAsia="Arial" w:hAnsi="Arial"/>
                <w:sz w:val="18"/>
                <w:szCs w:val="18"/>
                <w:color w:val="auto"/>
              </w:rPr>
              <w:t>Mark to market loss (gain) on interest rate</w:t>
            </w:r>
          </w:p>
        </w:tc>
        <w:tc>
          <w:tcPr>
            <w:tcW w:w="12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680"/>
              <w:spacing w:after="0"/>
              <w:rPr>
                <w:sz w:val="20"/>
                <w:szCs w:val="20"/>
                <w:color w:val="auto"/>
              </w:rPr>
            </w:pPr>
            <w:r>
              <w:rPr>
                <w:rFonts w:ascii="Arial" w:cs="Arial" w:eastAsia="Arial" w:hAnsi="Arial"/>
                <w:sz w:val="18"/>
                <w:szCs w:val="18"/>
                <w:color w:val="auto"/>
              </w:rPr>
              <w:t>derivatives</w:t>
            </w:r>
          </w:p>
        </w:tc>
        <w:tc>
          <w:tcPr>
            <w:tcW w:w="1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Impairment of goodwill</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680"/>
              <w:spacing w:after="0"/>
              <w:rPr>
                <w:sz w:val="20"/>
                <w:szCs w:val="20"/>
                <w:color w:val="auto"/>
              </w:rPr>
            </w:pPr>
            <w:r>
              <w:rPr>
                <w:rFonts w:ascii="Arial" w:cs="Arial" w:eastAsia="Arial" w:hAnsi="Arial"/>
                <w:sz w:val="18"/>
                <w:szCs w:val="18"/>
                <w:color w:val="auto"/>
              </w:rPr>
              <w:t>Stock compensation expense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color w:val="auto"/>
              </w:rPr>
              <w:t>SKU Rationalization</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680"/>
              <w:spacing w:after="0"/>
              <w:rPr>
                <w:sz w:val="20"/>
                <w:szCs w:val="20"/>
                <w:color w:val="auto"/>
              </w:rPr>
            </w:pPr>
            <w:r>
              <w:rPr>
                <w:rFonts w:ascii="Arial" w:cs="Arial" w:eastAsia="Arial" w:hAnsi="Arial"/>
                <w:sz w:val="18"/>
                <w:szCs w:val="18"/>
                <w:color w:val="auto"/>
              </w:rPr>
              <w:t>Acquisition and divestment related expenses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color w:val="auto"/>
              </w:rPr>
              <w:t xml:space="preserve">Restructuring expenses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680"/>
              <w:spacing w:after="0" w:line="230" w:lineRule="exact"/>
              <w:rPr>
                <w:sz w:val="20"/>
                <w:szCs w:val="20"/>
                <w:color w:val="auto"/>
              </w:rPr>
            </w:pPr>
            <w:r>
              <w:rPr>
                <w:rFonts w:ascii="Arial" w:cs="Arial" w:eastAsia="Arial" w:hAnsi="Arial"/>
                <w:sz w:val="18"/>
                <w:szCs w:val="18"/>
                <w:color w:val="auto"/>
              </w:rPr>
              <w:t xml:space="preserve">Integration charges </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color w:val="auto"/>
              </w:rPr>
              <w:t xml:space="preserve">Warehouse relocation expenses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Consolidated adjusted EBITDA, before limitation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6,127</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25,758</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27,873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Permitted non-recurring charge limitation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Consolidated adjusted EBITDA</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9"/>
        </w:trPr>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500" w:right="20" w:hanging="492"/>
        <w:spacing w:after="0" w:line="267" w:lineRule="auto"/>
        <w:tabs>
          <w:tab w:leader="none" w:pos="488"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Permitted non-recurring charges include restructuring expenses, integration charges, warehouse relocation costs, and SKU Rationalization. These are permitted exclusions from the Company’s consolidated adjusted EBITDA, subject to limitations, pursuant to the Company’s Debt Agreements.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the year ended December 31, 2020 were $2.1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net total outstanding notional value of interest rate swaps was $100 million at December 31, 2020.</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Company designated a portion of these interest rate swaps as cash flow hedges of the Company’s exposure to the variability of the payment of interest on a portion of its Term Loan borrowings. The hedge periods of these agreements commenced in April 2018 and expire in March 2023. The original notional values are reduced over these periods. The aggregate notional value was $75.0 million at December 31, 2020.</w:t>
      </w:r>
    </w:p>
    <w:p>
      <w:pPr>
        <w:spacing w:after="0" w:line="5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June 2019, the Company entered into additional interest rate swap agreements, with an aggregate notional value of $25.0 million at December 31, 2020. These non-designated interest rate swaps serve as cash flow hedges of the Company’s exposure to the variability of the payment of interest on a portion of its Term Loan borrowings and expire in February 2025.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Contracts</w:t>
      </w:r>
    </w:p>
    <w:p>
      <w:pPr>
        <w:spacing w:after="0" w:line="117"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The Company is a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short-term (i.e., 12 months or less) foreign currency forward contracts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 The Company's foreign exchange contracts, that had been designed as hedges in order to apply hedge accounting, matured in April 2020. At December 31, 2020, the Company had no outstanding foreign exchange contracts. The aggregate gross notional values of foreign exchange contracts at December 31, 2019 was $7.3 million.</w:t>
      </w:r>
    </w:p>
    <w:p>
      <w:pPr>
        <w:spacing w:after="0" w:line="18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is exposed to market risks, as well as changes in foreign currency exchange rates, as measured against the USD and each other, and changes to credit risk of derivative counterparties. The Company attempts to minimize these risks by primarily using foreign currency forward contracts and by maintaining counterparty credit limits. These hedging activities provide only limited protection against currency exchange and credit risk. Factors that could influence the effectiveness of the Company’s hedging programs include currency markets and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December 31, 2020, the Company does not have any foreign currency forward contract derivatives that are not designated as hedges. These foreign exchange contracts have been designated as hedges in to order to apply hedge accounting.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Dividends were declared in 2020 and 2019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gridSpan w:val="2"/>
          </w:tcPr>
          <w:p>
            <w:pPr>
              <w:ind w:left="20"/>
              <w:spacing w:after="0"/>
              <w:rPr>
                <w:sz w:val="20"/>
                <w:szCs w:val="20"/>
                <w:color w:val="auto"/>
              </w:rPr>
            </w:pPr>
            <w:r>
              <w:rPr>
                <w:rFonts w:ascii="Arial" w:cs="Arial" w:eastAsia="Arial" w:hAnsi="Arial"/>
                <w:sz w:val="14"/>
                <w:szCs w:val="14"/>
                <w:b w:val="1"/>
                <w:bCs w:val="1"/>
                <w:color w:val="auto"/>
              </w:rPr>
              <w:t>Dividend per share</w:t>
            </w:r>
          </w:p>
        </w:tc>
        <w:tc>
          <w:tcPr>
            <w:tcW w:w="2540" w:type="dxa"/>
            <w:vAlign w:val="bottom"/>
          </w:tcPr>
          <w:p>
            <w:pPr>
              <w:ind w:left="840"/>
              <w:spacing w:after="0"/>
              <w:rPr>
                <w:sz w:val="20"/>
                <w:szCs w:val="20"/>
                <w:color w:val="auto"/>
              </w:rPr>
            </w:pPr>
            <w:r>
              <w:rPr>
                <w:rFonts w:ascii="Arial" w:cs="Arial" w:eastAsia="Arial" w:hAnsi="Arial"/>
                <w:sz w:val="14"/>
                <w:szCs w:val="14"/>
                <w:b w:val="1"/>
                <w:bCs w:val="1"/>
                <w:color w:val="auto"/>
              </w:rPr>
              <w:t>Date declared</w:t>
            </w:r>
          </w:p>
        </w:tc>
        <w:tc>
          <w:tcPr>
            <w:tcW w:w="340" w:type="dxa"/>
            <w:vAlign w:val="bottom"/>
          </w:tcPr>
          <w:p>
            <w:pPr>
              <w:spacing w:after="0"/>
              <w:rPr>
                <w:sz w:val="16"/>
                <w:szCs w:val="16"/>
                <w:color w:val="auto"/>
              </w:rPr>
            </w:pPr>
          </w:p>
        </w:tc>
        <w:tc>
          <w:tcPr>
            <w:tcW w:w="2900" w:type="dxa"/>
            <w:vAlign w:val="bottom"/>
            <w:gridSpan w:val="2"/>
          </w:tcPr>
          <w:p>
            <w:pPr>
              <w:ind w:left="840"/>
              <w:spacing w:after="0"/>
              <w:rPr>
                <w:sz w:val="20"/>
                <w:szCs w:val="20"/>
                <w:color w:val="auto"/>
              </w:rPr>
            </w:pPr>
            <w:r>
              <w:rPr>
                <w:rFonts w:ascii="Arial" w:cs="Arial" w:eastAsia="Arial" w:hAnsi="Arial"/>
                <w:sz w:val="14"/>
                <w:szCs w:val="14"/>
                <w:b w:val="1"/>
                <w:bCs w:val="1"/>
                <w:color w:val="auto"/>
              </w:rPr>
              <w:t>Date of record</w:t>
            </w:r>
          </w:p>
        </w:tc>
        <w:tc>
          <w:tcPr>
            <w:tcW w:w="2600" w:type="dxa"/>
            <w:vAlign w:val="bottom"/>
            <w:gridSpan w:val="2"/>
          </w:tcPr>
          <w:p>
            <w:pPr>
              <w:ind w:left="860"/>
              <w:spacing w:after="0"/>
              <w:rPr>
                <w:sz w:val="20"/>
                <w:szCs w:val="20"/>
                <w:color w:val="auto"/>
              </w:rPr>
            </w:pPr>
            <w:r>
              <w:rPr>
                <w:rFonts w:ascii="Arial" w:cs="Arial" w:eastAsia="Arial" w:hAnsi="Arial"/>
                <w:sz w:val="14"/>
                <w:szCs w:val="14"/>
                <w:b w:val="1"/>
                <w:bCs w:val="1"/>
                <w:color w:val="auto"/>
              </w:rPr>
              <w:t>Payment date</w:t>
            </w:r>
          </w:p>
        </w:tc>
      </w:tr>
      <w:tr>
        <w:trPr>
          <w:trHeight w:val="229"/>
        </w:trPr>
        <w:tc>
          <w:tcPr>
            <w:tcW w:w="2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$0.0425</w:t>
            </w:r>
          </w:p>
        </w:tc>
        <w:tc>
          <w:tcPr>
            <w:tcW w:w="340" w:type="dxa"/>
            <w:vAlign w:val="bottom"/>
            <w:tcBorders>
              <w:top w:val="single" w:sz="8" w:color="CCEEFF"/>
            </w:tcBorders>
            <w:shd w:val="clear" w:color="auto" w:fill="CCEEFF"/>
          </w:tcPr>
          <w:p>
            <w:pPr>
              <w:spacing w:after="0"/>
              <w:rPr>
                <w:sz w:val="19"/>
                <w:szCs w:val="19"/>
                <w:color w:val="auto"/>
              </w:rPr>
            </w:pPr>
          </w:p>
        </w:tc>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12, 2019</w:t>
            </w:r>
          </w:p>
        </w:tc>
        <w:tc>
          <w:tcPr>
            <w:tcW w:w="340" w:type="dxa"/>
            <w:vAlign w:val="bottom"/>
            <w:tcBorders>
              <w:top w:val="single" w:sz="8" w:color="CCEEFF"/>
            </w:tcBorders>
            <w:shd w:val="clear" w:color="auto" w:fill="CCEEFF"/>
          </w:tcPr>
          <w:p>
            <w:pPr>
              <w:spacing w:after="0"/>
              <w:rPr>
                <w:sz w:val="19"/>
                <w:szCs w:val="19"/>
                <w:color w:val="auto"/>
              </w:rPr>
            </w:pPr>
          </w:p>
        </w:tc>
        <w:tc>
          <w:tcPr>
            <w:tcW w:w="2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 1, 2019</w:t>
            </w:r>
          </w:p>
        </w:tc>
        <w:tc>
          <w:tcPr>
            <w:tcW w:w="340" w:type="dxa"/>
            <w:vAlign w:val="bottom"/>
            <w:tcBorders>
              <w:top w:val="single" w:sz="8" w:color="CCEEFF"/>
            </w:tcBorders>
            <w:shd w:val="clear" w:color="auto" w:fill="CCEEFF"/>
          </w:tcPr>
          <w:p>
            <w:pPr>
              <w:spacing w:after="0"/>
              <w:rPr>
                <w:sz w:val="19"/>
                <w:szCs w:val="19"/>
                <w:color w:val="auto"/>
              </w:rPr>
            </w:pPr>
          </w:p>
        </w:tc>
        <w:tc>
          <w:tcPr>
            <w:tcW w:w="2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 15, 2019</w:t>
            </w:r>
          </w:p>
        </w:tc>
        <w:tc>
          <w:tcPr>
            <w:tcW w:w="40" w:type="dxa"/>
            <w:vAlign w:val="bottom"/>
          </w:tcPr>
          <w:p>
            <w:pPr>
              <w:spacing w:after="0"/>
              <w:rPr>
                <w:sz w:val="19"/>
                <w:szCs w:val="19"/>
                <w:color w:val="auto"/>
              </w:rPr>
            </w:pP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$0.0425</w:t>
            </w:r>
          </w:p>
        </w:tc>
        <w:tc>
          <w:tcPr>
            <w:tcW w:w="34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June 27, 2019</w:t>
            </w:r>
          </w:p>
        </w:tc>
        <w:tc>
          <w:tcPr>
            <w:tcW w:w="34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August 1, 2019</w:t>
            </w:r>
          </w:p>
        </w:tc>
        <w:tc>
          <w:tcPr>
            <w:tcW w:w="2560" w:type="dxa"/>
            <w:vAlign w:val="bottom"/>
          </w:tcPr>
          <w:p>
            <w:pPr>
              <w:ind w:left="20"/>
              <w:spacing w:after="0"/>
              <w:rPr>
                <w:sz w:val="20"/>
                <w:szCs w:val="20"/>
                <w:color w:val="auto"/>
              </w:rPr>
            </w:pPr>
            <w:r>
              <w:rPr>
                <w:rFonts w:ascii="Arial" w:cs="Arial" w:eastAsia="Arial" w:hAnsi="Arial"/>
                <w:sz w:val="18"/>
                <w:szCs w:val="18"/>
                <w:color w:val="auto"/>
              </w:rPr>
              <w:t>August 15, 2019</w:t>
            </w:r>
          </w:p>
        </w:tc>
        <w:tc>
          <w:tcPr>
            <w:tcW w:w="40" w:type="dxa"/>
            <w:vAlign w:val="bottom"/>
          </w:tcPr>
          <w:p>
            <w:pPr>
              <w:spacing w:after="0"/>
              <w:rPr>
                <w:sz w:val="19"/>
                <w:szCs w:val="19"/>
                <w:color w:val="auto"/>
              </w:rPr>
            </w:pP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$0.0425</w:t>
            </w:r>
          </w:p>
        </w:tc>
        <w:tc>
          <w:tcPr>
            <w:tcW w:w="340" w:type="dxa"/>
            <w:vAlign w:val="bottom"/>
            <w:shd w:val="clear" w:color="auto" w:fill="CCEEFF"/>
          </w:tcPr>
          <w:p>
            <w:pPr>
              <w:spacing w:after="0"/>
              <w:rPr>
                <w:sz w:val="19"/>
                <w:szCs w:val="19"/>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August 6, 2019</w:t>
            </w:r>
          </w:p>
        </w:tc>
        <w:tc>
          <w:tcPr>
            <w:tcW w:w="34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1, 2019</w:t>
            </w:r>
          </w:p>
        </w:tc>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November 15, 2019</w:t>
            </w:r>
          </w:p>
        </w:tc>
        <w:tc>
          <w:tcPr>
            <w:tcW w:w="40" w:type="dxa"/>
            <w:vAlign w:val="bottom"/>
          </w:tcPr>
          <w:p>
            <w:pPr>
              <w:spacing w:after="0"/>
              <w:rPr>
                <w:sz w:val="19"/>
                <w:szCs w:val="19"/>
                <w:color w:val="auto"/>
              </w:rPr>
            </w:pP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$0.0425</w:t>
            </w:r>
          </w:p>
        </w:tc>
        <w:tc>
          <w:tcPr>
            <w:tcW w:w="34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November 7, 2019</w:t>
            </w:r>
          </w:p>
        </w:tc>
        <w:tc>
          <w:tcPr>
            <w:tcW w:w="34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January 31, 2020</w:t>
            </w:r>
          </w:p>
        </w:tc>
        <w:tc>
          <w:tcPr>
            <w:tcW w:w="2560" w:type="dxa"/>
            <w:vAlign w:val="bottom"/>
          </w:tcPr>
          <w:p>
            <w:pPr>
              <w:ind w:left="20"/>
              <w:spacing w:after="0"/>
              <w:rPr>
                <w:sz w:val="20"/>
                <w:szCs w:val="20"/>
                <w:color w:val="auto"/>
              </w:rPr>
            </w:pPr>
            <w:r>
              <w:rPr>
                <w:rFonts w:ascii="Arial" w:cs="Arial" w:eastAsia="Arial" w:hAnsi="Arial"/>
                <w:sz w:val="18"/>
                <w:szCs w:val="18"/>
                <w:color w:val="auto"/>
              </w:rPr>
              <w:t>February 14, 2020</w:t>
            </w:r>
          </w:p>
        </w:tc>
        <w:tc>
          <w:tcPr>
            <w:tcW w:w="40" w:type="dxa"/>
            <w:vAlign w:val="bottom"/>
          </w:tcPr>
          <w:p>
            <w:pPr>
              <w:spacing w:after="0"/>
              <w:rPr>
                <w:sz w:val="19"/>
                <w:szCs w:val="19"/>
                <w:color w:val="auto"/>
              </w:rPr>
            </w:pPr>
          </w:p>
        </w:tc>
      </w:tr>
      <w:tr>
        <w:trPr>
          <w:trHeight w:val="229"/>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$0.0425</w:t>
            </w:r>
          </w:p>
        </w:tc>
        <w:tc>
          <w:tcPr>
            <w:tcW w:w="340" w:type="dxa"/>
            <w:vAlign w:val="bottom"/>
            <w:shd w:val="clear" w:color="auto" w:fill="CCEEFF"/>
          </w:tcPr>
          <w:p>
            <w:pPr>
              <w:spacing w:after="0"/>
              <w:rPr>
                <w:sz w:val="19"/>
                <w:szCs w:val="19"/>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10, 2020</w:t>
            </w:r>
          </w:p>
        </w:tc>
        <w:tc>
          <w:tcPr>
            <w:tcW w:w="34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16, 2020</w:t>
            </w:r>
          </w:p>
        </w:tc>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16, 2020</w:t>
            </w:r>
          </w:p>
        </w:tc>
        <w:tc>
          <w:tcPr>
            <w:tcW w:w="40" w:type="dxa"/>
            <w:vAlign w:val="bottom"/>
          </w:tcPr>
          <w:p>
            <w:pPr>
              <w:spacing w:after="0"/>
              <w:rPr>
                <w:sz w:val="19"/>
                <w:szCs w:val="19"/>
                <w:color w:val="auto"/>
              </w:rPr>
            </w:pP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$0.0425</w:t>
            </w:r>
          </w:p>
        </w:tc>
        <w:tc>
          <w:tcPr>
            <w:tcW w:w="34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June 25, 2020</w:t>
            </w:r>
          </w:p>
        </w:tc>
        <w:tc>
          <w:tcPr>
            <w:tcW w:w="34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August 3, 2020</w:t>
            </w:r>
          </w:p>
        </w:tc>
        <w:tc>
          <w:tcPr>
            <w:tcW w:w="2560" w:type="dxa"/>
            <w:vAlign w:val="bottom"/>
          </w:tcPr>
          <w:p>
            <w:pPr>
              <w:ind w:left="20"/>
              <w:spacing w:after="0"/>
              <w:rPr>
                <w:sz w:val="20"/>
                <w:szCs w:val="20"/>
                <w:color w:val="auto"/>
              </w:rPr>
            </w:pPr>
            <w:r>
              <w:rPr>
                <w:rFonts w:ascii="Arial" w:cs="Arial" w:eastAsia="Arial" w:hAnsi="Arial"/>
                <w:sz w:val="18"/>
                <w:szCs w:val="18"/>
                <w:color w:val="auto"/>
              </w:rPr>
              <w:t>August 17, 2020</w:t>
            </w:r>
          </w:p>
        </w:tc>
        <w:tc>
          <w:tcPr>
            <w:tcW w:w="40" w:type="dxa"/>
            <w:vAlign w:val="bottom"/>
          </w:tcPr>
          <w:p>
            <w:pPr>
              <w:spacing w:after="0"/>
              <w:rPr>
                <w:sz w:val="19"/>
                <w:szCs w:val="19"/>
                <w:color w:val="auto"/>
              </w:rPr>
            </w:pPr>
          </w:p>
        </w:tc>
      </w:tr>
      <w:tr>
        <w:trPr>
          <w:trHeight w:val="229"/>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$0.0425</w:t>
            </w:r>
          </w:p>
        </w:tc>
        <w:tc>
          <w:tcPr>
            <w:tcW w:w="340" w:type="dxa"/>
            <w:vAlign w:val="bottom"/>
            <w:shd w:val="clear" w:color="auto" w:fill="CCEEFF"/>
          </w:tcPr>
          <w:p>
            <w:pPr>
              <w:spacing w:after="0"/>
              <w:rPr>
                <w:sz w:val="19"/>
                <w:szCs w:val="19"/>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August 4, 2020</w:t>
            </w:r>
          </w:p>
        </w:tc>
        <w:tc>
          <w:tcPr>
            <w:tcW w:w="34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2, 2020</w:t>
            </w:r>
          </w:p>
        </w:tc>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November 16, 2020</w:t>
            </w:r>
          </w:p>
        </w:tc>
        <w:tc>
          <w:tcPr>
            <w:tcW w:w="40" w:type="dxa"/>
            <w:vAlign w:val="bottom"/>
          </w:tcPr>
          <w:p>
            <w:pPr>
              <w:spacing w:after="0"/>
              <w:rPr>
                <w:sz w:val="19"/>
                <w:szCs w:val="19"/>
                <w:color w:val="auto"/>
              </w:rPr>
            </w:pP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$0.0425</w:t>
            </w:r>
          </w:p>
        </w:tc>
        <w:tc>
          <w:tcPr>
            <w:tcW w:w="340" w:type="dxa"/>
            <w:vAlign w:val="bottom"/>
          </w:tcPr>
          <w:p>
            <w:pPr>
              <w:spacing w:after="0"/>
              <w:rPr>
                <w:sz w:val="20"/>
                <w:szCs w:val="20"/>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November 3, 2020</w:t>
            </w:r>
          </w:p>
        </w:tc>
        <w:tc>
          <w:tcPr>
            <w:tcW w:w="340" w:type="dxa"/>
            <w:vAlign w:val="bottom"/>
          </w:tcPr>
          <w:p>
            <w:pPr>
              <w:spacing w:after="0"/>
              <w:rPr>
                <w:sz w:val="20"/>
                <w:szCs w:val="20"/>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January 29, 2021</w:t>
            </w:r>
          </w:p>
        </w:tc>
        <w:tc>
          <w:tcPr>
            <w:tcW w:w="2560" w:type="dxa"/>
            <w:vAlign w:val="bottom"/>
          </w:tcPr>
          <w:p>
            <w:pPr>
              <w:ind w:left="20"/>
              <w:spacing w:after="0"/>
              <w:rPr>
                <w:sz w:val="20"/>
                <w:szCs w:val="20"/>
                <w:color w:val="auto"/>
              </w:rPr>
            </w:pPr>
            <w:r>
              <w:rPr>
                <w:rFonts w:ascii="Arial" w:cs="Arial" w:eastAsia="Arial" w:hAnsi="Arial"/>
                <w:sz w:val="18"/>
                <w:szCs w:val="18"/>
                <w:color w:val="auto"/>
              </w:rPr>
              <w:t>February 12, 2021</w:t>
            </w:r>
          </w:p>
        </w:tc>
        <w:tc>
          <w:tcPr>
            <w:tcW w:w="40" w:type="dxa"/>
            <w:vAlign w:val="bottom"/>
          </w:tcPr>
          <w:p>
            <w:pPr>
              <w:spacing w:after="0"/>
              <w:rPr>
                <w:sz w:val="20"/>
                <w:szCs w:val="20"/>
                <w:color w:val="auto"/>
              </w:rPr>
            </w:pPr>
          </w:p>
        </w:tc>
      </w:tr>
      <w:tr>
        <w:trPr>
          <w:trHeight w:val="647"/>
        </w:trPr>
        <w:tc>
          <w:tcPr>
            <w:tcW w:w="2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49</w:t>
            </w:r>
          </w:p>
        </w:tc>
        <w:tc>
          <w:tcPr>
            <w:tcW w:w="2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5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March 9, 2021, the Board of Directors declared a quarterly dividend of $0.0425 per share payable on May 17, 2021 to shareholders of record on May 3, 2021.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provided by operating activities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provided by operating activities was $44.8 million in 2020, compared to $29.9 million in 2019 and $19.2 million in 2018. The increase from 2020 compared to 2019 was attributable to an increase in net income, most significantly before goodwill impairment, partially offset by an increase in working capital primarily attributable to the timing of collections related to accounts receivables. The change from 2019 compared to 2018 was primarily attributable to timing of collections related to accounts receivables.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used in investing activities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used in investing activities was $2.1 million in 2020, compared to $9.2 million in 2019 and $224.2 million in 2018. The change in 2020 as compared to the corresponding 2019 period was primarily attributable to higher capital expenditures in the 2019 period resulting from the Company's U.K. reorganization and warehouse consolidation efforts. The 2018 investing activity includes the cash consideration paid for the acquisition of Filament and capital expenditures related to the Company’s relocation of its west coast distribution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(used in) provided by financing activities</w:t>
      </w:r>
    </w:p>
    <w:p>
      <w:pPr>
        <w:spacing w:after="0" w:line="121"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Net cash (used in) provided by financing activities was $(18.2) million in 2020 compared to $(16.9) million in 2019 and $205.3 million in 2018. During 2020 and 2019, the Company utilized cash generated to repay a portion of its outstanding debt related to its Term Loan and credit facility. In 2018, the change in financing activities was attributable to the new Debt Agreements entered into in order to finance the acquisition of Filament in 2018.</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Company’s contractual obligations were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Payment due by period</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020" w:type="dxa"/>
            <w:vAlign w:val="bottom"/>
          </w:tcPr>
          <w:p>
            <w:pPr>
              <w:jc w:val="right"/>
              <w:ind w:right="234"/>
              <w:spacing w:after="0" w:line="135" w:lineRule="exact"/>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1-3 years</w:t>
            </w:r>
          </w:p>
        </w:tc>
        <w:tc>
          <w:tcPr>
            <w:tcW w:w="240" w:type="dxa"/>
            <w:vAlign w:val="bottom"/>
          </w:tcPr>
          <w:p>
            <w:pPr>
              <w:spacing w:after="0"/>
              <w:rPr>
                <w:sz w:val="11"/>
                <w:szCs w:val="11"/>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3-5 years</w:t>
            </w:r>
          </w:p>
        </w:tc>
        <w:tc>
          <w:tcPr>
            <w:tcW w:w="200" w:type="dxa"/>
            <w:vAlign w:val="bottom"/>
          </w:tcPr>
          <w:p>
            <w:pPr>
              <w:spacing w:after="0"/>
              <w:rPr>
                <w:sz w:val="11"/>
                <w:szCs w:val="11"/>
                <w:color w:val="auto"/>
              </w:rPr>
            </w:pPr>
          </w:p>
        </w:tc>
        <w:tc>
          <w:tcPr>
            <w:tcW w:w="1040" w:type="dxa"/>
            <w:vAlign w:val="bottom"/>
          </w:tcPr>
          <w:p>
            <w:pPr>
              <w:jc w:val="right"/>
              <w:ind w:right="214"/>
              <w:spacing w:after="0" w:line="135"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8"/>
        </w:trPr>
        <w:tc>
          <w:tcPr>
            <w:tcW w:w="4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3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24"/>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146,290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36,375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56,115</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270,787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243,485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debt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Minimum royalty payments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26,771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Post-retirement benefits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510,010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61,618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100,039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281,244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67,109</w:t>
            </w: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Market risk represents the risk of loss that may impact the consolidated financial position, results of operations or cash flows of the Company. The Company is exposed to market risk associated with changes in interest rates and foreign currency exchange rates. The Company believes it has moderate exposure to these risks. The Company assesses market risk based on changes in interest rates and foreign currency exchange rates utilizing a sensitivity analysis that measures the potential loss in earnings and cash flows based on a hypothetical 10% or 100 basis point change in these rates.</w:t>
      </w:r>
    </w:p>
    <w:p>
      <w:pPr>
        <w:spacing w:after="0" w:line="15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Company’s functional currency is the U.S. dollar. The Company has foreign operations through its acquisitions, investments and strategic alliances in the U.K., Mexico, Canada, Hong Kong and China; therefore, the Company is subject to increases and decreases in its investments resulting from the impact of fluctuations in foreign currency exchange rates. Additional transactions exposing the Company to exchange rate risk include sales, certain inventory purchases and operating expenses. Through its subsidiaries, portions of the Company’s cash, trade accounts receivable and trade accounts payable are denominated in foreign currencies. For the year ended December 31, 2020, approximately 10% of the Company’s net sales revenue was in foreign currencies, compared to 11% for the year ended December 31, 2019. These sales were primarily denominated in U.K. pounds, Euros and Canadian dollars. The Company makes most of its inventory purchases from Asia and uses the U.S. dollar for such purchases. In the Company’s consolidated statements of operations, foreign exchange gains and losses are recognized in SG&amp;A expense. A hypothetical 10% change in exchange rates, with the U.S. dollar as the functional and reporting currency, would result in an approximately $1.6 million increase in SG&amp;A expenses.</w:t>
      </w:r>
    </w:p>
    <w:p>
      <w:pPr>
        <w:spacing w:after="0" w:line="166"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The Company is a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short-term (i.e., 12 months or less) foreign currency forward contracts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 The Company's foreign exchange contracts, that had been designed as hedges in order to apply hedge accounting, matured in April 2020. At December 31, 2020, the Company had no outstanding foreign exchange contracts. The aggregate gross notional values of foreign exchange contracts at December 31, 2019 was $7.3 million.</w:t>
      </w:r>
    </w:p>
    <w:p>
      <w:pPr>
        <w:spacing w:after="0" w:line="32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ABL Agreement and Term Loan bear interest at variable rates. The Credit Agreement provides for interest rates linked to one of the LIBOR, the Prime Rate or the Federal Funds Rate; therefore, the Company is subject to increases and decreases in interest expense resulting from fluctuations in interest rates. The Company entered into interest rate swap agreement in April 2018 to manage interest rate exposure in connection with its variable interest rate borrowings with an aggregate notional value of $75.0 million at December 31, 2020. In June 2019, the Company entered into additional interest rate swap agreements, with an aggregate notional value of $25.0 million at December 31, 2020. As of December 31, 2020, approximately $189.9 million of the Company’s debt carries a variable rate of interest, as compared to $178.0 million at December 31, 2019. The remainder of the debt at December 31, 2020 (approximately $100.0 million) carries a fixed rate of interest through the use of interest rate swaps. A hypothetical and instantaneous 100 basis point increase in the Company’s variable interest rates would increase interest expense by approximately $2.8 million over a</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twelve month period. The sensitivity analysis above assumes interest rate changes are instantaneous and parallel shifts in the yield curve occur.</w:t>
      </w:r>
    </w:p>
    <w:p>
      <w:pPr>
        <w:spacing w:after="0" w:line="23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Interest rate swaps expose the Company to counterparty credit risk for nonperformance. The Company manages its exposure to counterparty credit risk by dealing with counterparties who are international financial institutions with investment grade credit ratings. Although the Company’s credit risk is the replacement cost at the estimated fair value of these instruments, the Company believes that the risk of incurring credit risk losses as a result of counterparty nonperformance is remote.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enter into derivative financial instruments for trading purposes.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Company’s consolidated financial statements as of and for the year ended December 31, 2020 in Item 15 commencing on page F-1 are incorporated herein by reference.</w:t>
      </w:r>
    </w:p>
    <w:p>
      <w:pPr>
        <w:spacing w:after="0" w:line="17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following tables set forth certain unaudited consolidated quarterly statement of operations data for the eight quarters ended December 31, 2020. This information is unaudited, but in the opinion of management, it has been prepared substantially on the same basis as the audited consolidated financial statements appearing elsewhere in this Annual Report on Form 10-K and all necessary adjustments, consisting only of normal recurring adjustments, have been included in the amounts stated below to present fairly the unaudited consolidated quarterly results of operations. The consolidated quarterly data should be read in conjunction with the Company’s audited consolidated financial statements and the Notes to such statements appearing elsewhere in this Annual Report. The results of operations for any quarter are not necessarily indicative of the results of operations for any future period:</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center"/>
              <w:ind w:right="155"/>
              <w:spacing w:after="0"/>
              <w:rPr>
                <w:sz w:val="20"/>
                <w:szCs w:val="20"/>
                <w:color w:val="auto"/>
              </w:rPr>
            </w:pPr>
            <w:r>
              <w:rPr>
                <w:rFonts w:ascii="Arial" w:cs="Arial" w:eastAsia="Arial" w:hAnsi="Arial"/>
                <w:sz w:val="14"/>
                <w:szCs w:val="14"/>
                <w:b w:val="1"/>
                <w:bCs w:val="1"/>
                <w:color w:val="auto"/>
                <w:w w:val="91"/>
              </w:rPr>
              <w:t>Year ended December 31, 2020</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34"/>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center"/>
              <w:ind w:right="235"/>
              <w:spacing w:after="0" w:line="135" w:lineRule="exact"/>
              <w:rPr>
                <w:sz w:val="20"/>
                <w:szCs w:val="20"/>
                <w:color w:val="auto"/>
              </w:rPr>
            </w:pPr>
            <w:r>
              <w:rPr>
                <w:rFonts w:ascii="Arial" w:cs="Arial" w:eastAsia="Arial" w:hAnsi="Arial"/>
                <w:sz w:val="14"/>
                <w:szCs w:val="14"/>
                <w:b w:val="1"/>
                <w:bCs w:val="1"/>
                <w:color w:val="auto"/>
                <w:w w:val="98"/>
              </w:rPr>
              <w:t>First</w:t>
            </w:r>
          </w:p>
        </w:tc>
        <w:tc>
          <w:tcPr>
            <w:tcW w:w="240" w:type="dxa"/>
            <w:vAlign w:val="bottom"/>
          </w:tcPr>
          <w:p>
            <w:pPr>
              <w:spacing w:after="0"/>
              <w:rPr>
                <w:sz w:val="11"/>
                <w:szCs w:val="11"/>
                <w:color w:val="auto"/>
              </w:rPr>
            </w:pPr>
          </w:p>
        </w:tc>
        <w:tc>
          <w:tcPr>
            <w:tcW w:w="1120" w:type="dxa"/>
            <w:vAlign w:val="bottom"/>
          </w:tcPr>
          <w:p>
            <w:pPr>
              <w:ind w:left="220"/>
              <w:spacing w:after="0" w:line="135" w:lineRule="exact"/>
              <w:rPr>
                <w:sz w:val="20"/>
                <w:szCs w:val="20"/>
                <w:color w:val="auto"/>
              </w:rPr>
            </w:pPr>
            <w:r>
              <w:rPr>
                <w:rFonts w:ascii="Arial" w:cs="Arial" w:eastAsia="Arial" w:hAnsi="Arial"/>
                <w:sz w:val="14"/>
                <w:szCs w:val="14"/>
                <w:b w:val="1"/>
                <w:bCs w:val="1"/>
                <w:color w:val="auto"/>
              </w:rPr>
              <w:t>Second</w:t>
            </w:r>
          </w:p>
        </w:tc>
        <w:tc>
          <w:tcPr>
            <w:tcW w:w="320" w:type="dxa"/>
            <w:vAlign w:val="bottom"/>
          </w:tcPr>
          <w:p>
            <w:pPr>
              <w:spacing w:after="0"/>
              <w:rPr>
                <w:sz w:val="11"/>
                <w:szCs w:val="11"/>
                <w:color w:val="auto"/>
              </w:rPr>
            </w:pPr>
          </w:p>
        </w:tc>
        <w:tc>
          <w:tcPr>
            <w:tcW w:w="1040" w:type="dxa"/>
            <w:vAlign w:val="bottom"/>
          </w:tcPr>
          <w:p>
            <w:pPr>
              <w:jc w:val="center"/>
              <w:ind w:right="235"/>
              <w:spacing w:after="0" w:line="135" w:lineRule="exact"/>
              <w:rPr>
                <w:sz w:val="20"/>
                <w:szCs w:val="20"/>
                <w:color w:val="auto"/>
              </w:rPr>
            </w:pPr>
            <w:r>
              <w:rPr>
                <w:rFonts w:ascii="Arial" w:cs="Arial" w:eastAsia="Arial" w:hAnsi="Arial"/>
                <w:sz w:val="14"/>
                <w:szCs w:val="14"/>
                <w:b w:val="1"/>
                <w:bCs w:val="1"/>
                <w:color w:val="auto"/>
              </w:rPr>
              <w:t>Third</w:t>
            </w:r>
          </w:p>
        </w:tc>
        <w:tc>
          <w:tcPr>
            <w:tcW w:w="320" w:type="dxa"/>
            <w:vAlign w:val="bottom"/>
          </w:tcPr>
          <w:p>
            <w:pPr>
              <w:spacing w:after="0"/>
              <w:rPr>
                <w:sz w:val="11"/>
                <w:szCs w:val="11"/>
                <w:color w:val="auto"/>
              </w:rPr>
            </w:pPr>
          </w:p>
        </w:tc>
        <w:tc>
          <w:tcPr>
            <w:tcW w:w="1000" w:type="dxa"/>
            <w:vAlign w:val="bottom"/>
          </w:tcPr>
          <w:p>
            <w:pPr>
              <w:ind w:left="140"/>
              <w:spacing w:after="0" w:line="135" w:lineRule="exact"/>
              <w:rPr>
                <w:sz w:val="20"/>
                <w:szCs w:val="20"/>
                <w:color w:val="auto"/>
              </w:rPr>
            </w:pPr>
            <w:r>
              <w:rPr>
                <w:rFonts w:ascii="Arial" w:cs="Arial" w:eastAsia="Arial" w:hAnsi="Arial"/>
                <w:sz w:val="14"/>
                <w:szCs w:val="14"/>
                <w:b w:val="1"/>
                <w:bCs w:val="1"/>
                <w:color w:val="auto"/>
              </w:rPr>
              <w:t>Fourth</w:t>
            </w:r>
          </w:p>
        </w:tc>
      </w:tr>
      <w:tr>
        <w:trPr>
          <w:trHeight w:val="188"/>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9"/>
              </w:rPr>
              <w:t>quarter</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quarter</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99"/>
              </w:rPr>
              <w:t>quarter</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quarter</w:t>
            </w:r>
          </w:p>
        </w:tc>
      </w:tr>
      <w:tr>
        <w:trPr>
          <w:trHeight w:val="180"/>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80" w:type="dxa"/>
            <w:vAlign w:val="bottom"/>
            <w:gridSpan w:val="3"/>
          </w:tcPr>
          <w:p>
            <w:pPr>
              <w:jc w:val="center"/>
              <w:ind w:right="155"/>
              <w:spacing w:after="0"/>
              <w:rPr>
                <w:sz w:val="20"/>
                <w:szCs w:val="20"/>
                <w:color w:val="auto"/>
              </w:rPr>
            </w:pPr>
            <w:r>
              <w:rPr>
                <w:rFonts w:ascii="Arial" w:cs="Arial" w:eastAsia="Arial" w:hAnsi="Arial"/>
                <w:sz w:val="14"/>
                <w:szCs w:val="14"/>
                <w:color w:val="auto"/>
                <w:w w:val="91"/>
              </w:rPr>
              <w:t>(in thousands, except per share data)</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3"/>
        </w:trPr>
        <w:tc>
          <w:tcPr>
            <w:tcW w:w="20" w:type="dxa"/>
            <w:vAlign w:val="bottom"/>
            <w:shd w:val="clear" w:color="auto" w:fill="CCEEFF"/>
          </w:tcPr>
          <w:p>
            <w:pPr>
              <w:spacing w:after="0"/>
              <w:rPr>
                <w:sz w:val="20"/>
                <w:szCs w:val="20"/>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145,070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150,140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224,750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249,209</w:t>
            </w:r>
          </w:p>
        </w:tc>
      </w:tr>
      <w:tr>
        <w:trPr>
          <w:trHeight w:val="230"/>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Gross margin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52,934</w:t>
            </w:r>
          </w:p>
        </w:tc>
        <w:tc>
          <w:tcPr>
            <w:tcW w:w="24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54,168</w:t>
            </w:r>
          </w:p>
        </w:tc>
        <w:tc>
          <w:tcPr>
            <w:tcW w:w="3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78,792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88,104</w:t>
            </w:r>
          </w:p>
        </w:tc>
      </w:tr>
      <w:tr>
        <w:trPr>
          <w:trHeight w:val="230"/>
        </w:trPr>
        <w:tc>
          <w:tcPr>
            <w:tcW w:w="20" w:type="dxa"/>
            <w:vAlign w:val="bottom"/>
            <w:shd w:val="clear" w:color="auto" w:fill="CCEEFF"/>
          </w:tcPr>
          <w:p>
            <w:pPr>
              <w:spacing w:after="0"/>
              <w:rPr>
                <w:sz w:val="19"/>
                <w:szCs w:val="19"/>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(25,245)</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4,296</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21,506</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24,413</w:t>
            </w:r>
          </w:p>
        </w:tc>
      </w:tr>
      <w:tr>
        <w:trPr>
          <w:trHeight w:val="229"/>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(loss) income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(28,164)</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(3,977)</w:t>
            </w:r>
          </w:p>
        </w:tc>
        <w:tc>
          <w:tcPr>
            <w:tcW w:w="3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13,913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15,221</w:t>
            </w:r>
          </w:p>
        </w:tc>
      </w:tr>
      <w:tr>
        <w:trPr>
          <w:trHeight w:val="230"/>
        </w:trPr>
        <w:tc>
          <w:tcPr>
            <w:tcW w:w="20" w:type="dxa"/>
            <w:vAlign w:val="bottom"/>
            <w:shd w:val="clear" w:color="auto" w:fill="CCEEFF"/>
          </w:tcPr>
          <w:p>
            <w:pPr>
              <w:spacing w:after="0"/>
              <w:rPr>
                <w:sz w:val="19"/>
                <w:szCs w:val="19"/>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Basic (loss) income per common share</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0.66</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r>
      <w:tr>
        <w:trPr>
          <w:trHeight w:val="230"/>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Diluted (loss) income per common share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(0.19)</w:t>
            </w:r>
          </w:p>
        </w:tc>
        <w:tc>
          <w:tcPr>
            <w:tcW w:w="32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0.65</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0.70</w:t>
            </w:r>
          </w:p>
        </w:tc>
      </w:tr>
      <w:tr>
        <w:trPr>
          <w:trHeight w:val="560"/>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center"/>
              <w:ind w:right="135"/>
              <w:spacing w:after="0"/>
              <w:rPr>
                <w:sz w:val="20"/>
                <w:szCs w:val="20"/>
                <w:color w:val="auto"/>
              </w:rPr>
            </w:pPr>
            <w:r>
              <w:rPr>
                <w:rFonts w:ascii="Arial" w:cs="Arial" w:eastAsia="Arial" w:hAnsi="Arial"/>
                <w:sz w:val="14"/>
                <w:szCs w:val="14"/>
                <w:b w:val="1"/>
                <w:bCs w:val="1"/>
                <w:color w:val="auto"/>
                <w:w w:val="92"/>
              </w:rPr>
              <w:t>Year ended December 31, 2019</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center"/>
              <w:ind w:right="195"/>
              <w:spacing w:after="0" w:line="135" w:lineRule="exact"/>
              <w:rPr>
                <w:sz w:val="20"/>
                <w:szCs w:val="20"/>
                <w:color w:val="auto"/>
              </w:rPr>
            </w:pPr>
            <w:r>
              <w:rPr>
                <w:rFonts w:ascii="Arial" w:cs="Arial" w:eastAsia="Arial" w:hAnsi="Arial"/>
                <w:sz w:val="14"/>
                <w:szCs w:val="14"/>
                <w:b w:val="1"/>
                <w:bCs w:val="1"/>
                <w:color w:val="auto"/>
                <w:w w:val="98"/>
              </w:rPr>
              <w:t>First</w:t>
            </w:r>
          </w:p>
        </w:tc>
        <w:tc>
          <w:tcPr>
            <w:tcW w:w="240" w:type="dxa"/>
            <w:vAlign w:val="bottom"/>
          </w:tcPr>
          <w:p>
            <w:pPr>
              <w:spacing w:after="0"/>
              <w:rPr>
                <w:sz w:val="11"/>
                <w:szCs w:val="11"/>
                <w:color w:val="auto"/>
              </w:rPr>
            </w:pPr>
          </w:p>
        </w:tc>
        <w:tc>
          <w:tcPr>
            <w:tcW w:w="1120" w:type="dxa"/>
            <w:vAlign w:val="bottom"/>
          </w:tcPr>
          <w:p>
            <w:pPr>
              <w:ind w:left="240"/>
              <w:spacing w:after="0" w:line="135" w:lineRule="exact"/>
              <w:rPr>
                <w:sz w:val="20"/>
                <w:szCs w:val="20"/>
                <w:color w:val="auto"/>
              </w:rPr>
            </w:pPr>
            <w:r>
              <w:rPr>
                <w:rFonts w:ascii="Arial" w:cs="Arial" w:eastAsia="Arial" w:hAnsi="Arial"/>
                <w:sz w:val="14"/>
                <w:szCs w:val="14"/>
                <w:b w:val="1"/>
                <w:bCs w:val="1"/>
                <w:color w:val="auto"/>
              </w:rPr>
              <w:t>Second</w:t>
            </w:r>
          </w:p>
        </w:tc>
        <w:tc>
          <w:tcPr>
            <w:tcW w:w="320" w:type="dxa"/>
            <w:vAlign w:val="bottom"/>
          </w:tcPr>
          <w:p>
            <w:pPr>
              <w:spacing w:after="0"/>
              <w:rPr>
                <w:sz w:val="11"/>
                <w:szCs w:val="11"/>
                <w:color w:val="auto"/>
              </w:rPr>
            </w:pPr>
          </w:p>
        </w:tc>
        <w:tc>
          <w:tcPr>
            <w:tcW w:w="1040" w:type="dxa"/>
            <w:vAlign w:val="bottom"/>
          </w:tcPr>
          <w:p>
            <w:pPr>
              <w:jc w:val="center"/>
              <w:ind w:right="195"/>
              <w:spacing w:after="0" w:line="135" w:lineRule="exact"/>
              <w:rPr>
                <w:sz w:val="20"/>
                <w:szCs w:val="20"/>
                <w:color w:val="auto"/>
              </w:rPr>
            </w:pPr>
            <w:r>
              <w:rPr>
                <w:rFonts w:ascii="Arial" w:cs="Arial" w:eastAsia="Arial" w:hAnsi="Arial"/>
                <w:sz w:val="14"/>
                <w:szCs w:val="14"/>
                <w:b w:val="1"/>
                <w:bCs w:val="1"/>
                <w:color w:val="auto"/>
              </w:rPr>
              <w:t>Third</w:t>
            </w:r>
          </w:p>
        </w:tc>
        <w:tc>
          <w:tcPr>
            <w:tcW w:w="320" w:type="dxa"/>
            <w:vAlign w:val="bottom"/>
          </w:tcPr>
          <w:p>
            <w:pPr>
              <w:spacing w:after="0"/>
              <w:rPr>
                <w:sz w:val="11"/>
                <w:szCs w:val="11"/>
                <w:color w:val="auto"/>
              </w:rPr>
            </w:pPr>
          </w:p>
        </w:tc>
        <w:tc>
          <w:tcPr>
            <w:tcW w:w="1000" w:type="dxa"/>
            <w:vAlign w:val="bottom"/>
          </w:tcPr>
          <w:p>
            <w:pPr>
              <w:ind w:left="160"/>
              <w:spacing w:after="0" w:line="135" w:lineRule="exact"/>
              <w:rPr>
                <w:sz w:val="20"/>
                <w:szCs w:val="20"/>
                <w:color w:val="auto"/>
              </w:rPr>
            </w:pPr>
            <w:r>
              <w:rPr>
                <w:rFonts w:ascii="Arial" w:cs="Arial" w:eastAsia="Arial" w:hAnsi="Arial"/>
                <w:sz w:val="14"/>
                <w:szCs w:val="14"/>
                <w:b w:val="1"/>
                <w:bCs w:val="1"/>
                <w:color w:val="auto"/>
              </w:rPr>
              <w:t>Fourth</w:t>
            </w:r>
          </w:p>
        </w:tc>
      </w:tr>
      <w:tr>
        <w:trPr>
          <w:trHeight w:val="188"/>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5"/>
              </w:rPr>
              <w:t>quarter</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quarter</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9"/>
              </w:rPr>
              <w:t>quarter</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quarter</w:t>
            </w:r>
          </w:p>
        </w:tc>
      </w:tr>
      <w:tr>
        <w:trPr>
          <w:trHeight w:val="181"/>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80" w:type="dxa"/>
            <w:vAlign w:val="bottom"/>
            <w:gridSpan w:val="3"/>
          </w:tcPr>
          <w:p>
            <w:pPr>
              <w:jc w:val="center"/>
              <w:ind w:right="135"/>
              <w:spacing w:after="0"/>
              <w:rPr>
                <w:sz w:val="20"/>
                <w:szCs w:val="20"/>
                <w:color w:val="auto"/>
              </w:rPr>
            </w:pPr>
            <w:r>
              <w:rPr>
                <w:rFonts w:ascii="Arial" w:cs="Arial" w:eastAsia="Arial" w:hAnsi="Arial"/>
                <w:sz w:val="14"/>
                <w:szCs w:val="14"/>
                <w:color w:val="auto"/>
                <w:w w:val="90"/>
              </w:rPr>
              <w:t>(in thousands, except per share data)</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3"/>
        </w:trPr>
        <w:tc>
          <w:tcPr>
            <w:tcW w:w="20" w:type="dxa"/>
            <w:vAlign w:val="bottom"/>
          </w:tcPr>
          <w:p>
            <w:pPr>
              <w:spacing w:after="0"/>
              <w:rPr>
                <w:sz w:val="20"/>
                <w:szCs w:val="20"/>
                <w:color w:val="auto"/>
              </w:rPr>
            </w:pPr>
          </w:p>
        </w:tc>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149,926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142,536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215,502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226,938</w:t>
            </w:r>
          </w:p>
        </w:tc>
      </w:tr>
      <w:tr>
        <w:trPr>
          <w:trHeight w:val="230"/>
        </w:trPr>
        <w:tc>
          <w:tcPr>
            <w:tcW w:w="20" w:type="dxa"/>
            <w:vAlign w:val="bottom"/>
          </w:tcPr>
          <w:p>
            <w:pPr>
              <w:spacing w:after="0"/>
              <w:rPr>
                <w:sz w:val="19"/>
                <w:szCs w:val="19"/>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54,321</w:t>
            </w:r>
          </w:p>
        </w:tc>
        <w:tc>
          <w:tcPr>
            <w:tcW w:w="24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44,019</w:t>
            </w:r>
          </w:p>
        </w:tc>
        <w:tc>
          <w:tcPr>
            <w:tcW w:w="3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72,941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83,910</w:t>
            </w:r>
          </w:p>
        </w:tc>
      </w:tr>
      <w:tr>
        <w:trPr>
          <w:trHeight w:val="230"/>
        </w:trPr>
        <w:tc>
          <w:tcPr>
            <w:tcW w:w="20" w:type="dxa"/>
            <w:vAlign w:val="bottom"/>
          </w:tcPr>
          <w:p>
            <w:pPr>
              <w:spacing w:after="0"/>
              <w:rPr>
                <w:sz w:val="19"/>
                <w:szCs w:val="19"/>
                <w:color w:val="auto"/>
              </w:rPr>
            </w:pPr>
          </w:p>
        </w:tc>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(12,545)</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6,929</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(15,492)</w:t>
            </w:r>
          </w:p>
        </w:tc>
      </w:tr>
      <w:tr>
        <w:trPr>
          <w:trHeight w:val="229"/>
        </w:trPr>
        <w:tc>
          <w:tcPr>
            <w:tcW w:w="20" w:type="dxa"/>
            <w:vAlign w:val="bottom"/>
          </w:tcPr>
          <w:p>
            <w:pPr>
              <w:spacing w:after="0"/>
              <w:rPr>
                <w:sz w:val="19"/>
                <w:szCs w:val="19"/>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(4,867)</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(11,513)</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(13,519)</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(14,516)</w:t>
            </w:r>
          </w:p>
        </w:tc>
      </w:tr>
      <w:tr>
        <w:trPr>
          <w:trHeight w:val="230"/>
        </w:trPr>
        <w:tc>
          <w:tcPr>
            <w:tcW w:w="20" w:type="dxa"/>
            <w:vAlign w:val="bottom"/>
          </w:tcPr>
          <w:p>
            <w:pPr>
              <w:spacing w:after="0"/>
              <w:rPr>
                <w:sz w:val="19"/>
                <w:szCs w:val="19"/>
                <w:color w:val="auto"/>
              </w:rPr>
            </w:pPr>
          </w:p>
        </w:tc>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loss per common share</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r>
      <w:tr>
        <w:trPr>
          <w:trHeight w:val="230"/>
        </w:trPr>
        <w:tc>
          <w:tcPr>
            <w:tcW w:w="2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Diluted loss per common share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(0.24)</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(0.56)</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(0.66)</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(0.70)</w:t>
            </w: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Chief Executive Officer and the Chief Financial Officer of the Company (its principal executive officer and principal financial officer, respectively) have concluded, based on their evaluation as of December 31, 2020, that the Company’s controls and procedures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color w:val="auto"/>
        </w:rPr>
        <w:t>are effective to ensure that information required to be disclosed by the Company in the reports filed by it under the Securities Exchange Act of 1934, as amended, is recorded, processed, summarized and reported within the time periods specified in the SEC’s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4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There were no changes in the Company’s internal control over financial reporting that occurred during the Company’s most recent fiscal quarter that has materially affected, or is reasonably likely to materially affect, the Company’s internal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Management of the Company is responsible for establishing and maintaining effective internal control over financial reporting and for performing an assessment of the effectiveness of internal control over financial reporting as of December 31, 2020. Internal control over financial reporting is defined in Rule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U.S. generally accepted accounting principles.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Internal control over financial reporting includes those policies and procedures that:</w:t>
      </w:r>
    </w:p>
    <w:p>
      <w:pPr>
        <w:spacing w:after="0" w:line="239" w:lineRule="exact"/>
        <w:rPr>
          <w:sz w:val="20"/>
          <w:szCs w:val="20"/>
          <w:color w:val="auto"/>
        </w:rPr>
      </w:pPr>
    </w:p>
    <w:p>
      <w:pPr>
        <w:ind w:left="660" w:right="60" w:hanging="4"/>
        <w:spacing w:after="0" w:line="261" w:lineRule="auto"/>
        <w:tabs>
          <w:tab w:leader="none" w:pos="768"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acquisitions and dispositions of the assets of the Company;</w:t>
      </w:r>
    </w:p>
    <w:p>
      <w:pPr>
        <w:spacing w:after="0" w:line="197" w:lineRule="exact"/>
        <w:rPr>
          <w:rFonts w:ascii="Arial" w:cs="Arial" w:eastAsia="Arial" w:hAnsi="Arial"/>
          <w:sz w:val="18"/>
          <w:szCs w:val="18"/>
          <w:color w:val="auto"/>
        </w:rPr>
      </w:pPr>
    </w:p>
    <w:p>
      <w:pPr>
        <w:ind w:left="660" w:right="280" w:hanging="4"/>
        <w:spacing w:after="0" w:line="248" w:lineRule="auto"/>
        <w:tabs>
          <w:tab w:leader="none" w:pos="768"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the preparation of financial statements in accordance with U.S. generally accepted accounting principles and that receipts and expenditures of the Company are being made only in accordance with authorizations of management and directors of the Company; and</w:t>
      </w:r>
    </w:p>
    <w:p>
      <w:pPr>
        <w:spacing w:after="0" w:line="208" w:lineRule="exact"/>
        <w:rPr>
          <w:rFonts w:ascii="Arial" w:cs="Arial" w:eastAsia="Arial" w:hAnsi="Arial"/>
          <w:sz w:val="18"/>
          <w:szCs w:val="18"/>
          <w:color w:val="auto"/>
        </w:rPr>
      </w:pPr>
    </w:p>
    <w:p>
      <w:pPr>
        <w:ind w:left="660" w:right="160" w:hanging="4"/>
        <w:spacing w:after="0" w:line="261" w:lineRule="auto"/>
        <w:tabs>
          <w:tab w:leader="none" w:pos="768"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98"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All internal control systems, no matter how well designed, have inherent limitations. Because of the inherent limitations, internal control over financial reporting may not prevent or detect misstatements. Projections of any evaluation of effectiveness to future periods are subject to the risk that controls may become inadequate because of changes in conditions or the degree of compliance with the policies or procedures may deteriorate. Accordingly, even those systems determined to be effective can provide only reasonable assurance with respect to financial statement preparation and presentation.</w:t>
      </w:r>
    </w:p>
    <w:p>
      <w:pPr>
        <w:spacing w:after="0" w:line="182" w:lineRule="exact"/>
        <w:rPr>
          <w:sz w:val="20"/>
          <w:szCs w:val="20"/>
          <w:color w:val="auto"/>
        </w:rPr>
      </w:pPr>
    </w:p>
    <w:p>
      <w:pPr>
        <w:jc w:val="both"/>
        <w:ind w:right="60"/>
        <w:spacing w:after="0" w:line="243" w:lineRule="auto"/>
        <w:rPr>
          <w:sz w:val="20"/>
          <w:szCs w:val="20"/>
          <w:color w:val="auto"/>
        </w:rPr>
      </w:pPr>
      <w:r>
        <w:rPr>
          <w:rFonts w:ascii="Arial" w:cs="Arial" w:eastAsia="Arial" w:hAnsi="Arial"/>
          <w:sz w:val="18"/>
          <w:szCs w:val="18"/>
          <w:color w:val="auto"/>
        </w:rPr>
        <w:t>Management performed an assessment of the effectiveness of the Company’s internal control over financial reporting as of December 31, 2020 using the criteria set forth in the Internal Control-Integrated Framework issued by the Committee of Sponsoring Organizations of the Treadway Commission (2013 framework). Based on this assessment, management has determined that the Company’s internal control over financial reporting as of December 31, 2020 was effective.</w:t>
      </w:r>
    </w:p>
    <w:p>
      <w:pPr>
        <w:spacing w:after="0" w:line="215"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effectiveness of the Company’s internal control over financial reporting as of December 31, 2020 has been audited by Ernst &amp; Young LLP, an independent registered public accounting firm, as stated in their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Lifetime Brands, Inc.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43"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We have audited Lifetime Brands, Inc.’s and subsidiaries internal control over financial reporting as of December 31, 2020, based on criteria established in Internal Control—Integrated Framework issued by the Committee of Sponsoring Organizations of the Treadway Commission (2013 framework) (the COSO criteria). In our opinion, Lifetime Brands, Inc. and subsidiaries (the Company) maintained, in all material respects, effective internal control over financial reporting as of December 31, 2020, based on the COSO criteria.</w:t>
      </w:r>
    </w:p>
    <w:p>
      <w:pPr>
        <w:spacing w:after="0" w:line="215" w:lineRule="exact"/>
        <w:rPr>
          <w:sz w:val="20"/>
          <w:szCs w:val="20"/>
          <w:color w:val="auto"/>
        </w:rPr>
      </w:pPr>
    </w:p>
    <w:p>
      <w:pPr>
        <w:ind w:right="780"/>
        <w:spacing w:after="0" w:line="291"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2020 consolidated financial statements of the Company and our report dated March 10, 2021 expressed an unqualified opinion thereon.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8" w:lineRule="exact"/>
        <w:rPr>
          <w:sz w:val="20"/>
          <w:szCs w:val="20"/>
          <w:color w:val="auto"/>
        </w:rPr>
      </w:pPr>
    </w:p>
    <w:p>
      <w:pPr>
        <w:jc w:val="both"/>
        <w:ind w:right="280"/>
        <w:spacing w:after="0" w:line="270"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rPr>
          <w:sz w:val="20"/>
          <w:szCs w:val="20"/>
          <w:color w:val="auto"/>
        </w:rPr>
      </w:pPr>
      <w:r>
        <w:rPr>
          <w:rFonts w:ascii="Arial" w:cs="Arial" w:eastAsia="Arial" w:hAnsi="Arial"/>
          <w:sz w:val="18"/>
          <w:szCs w:val="18"/>
          <w:color w:val="auto"/>
        </w:rPr>
        <w:t>March 10, 2021</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11, 12, 13 and 14</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information required under these items is contained in the Company’s 2021 Proxy Statement, which will be filed with the SEC within 120 days after the close of the Company’s fiscal year covered by this Annual Report on Form 10-K and is incorporated herein by reference.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 Financial Statements and Financial Statement Schedule on page F-1.</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Exhibits: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0" w:type="dxa"/>
            <w:vAlign w:val="bottom"/>
          </w:tcPr>
          <w:p>
            <w:pPr>
              <w:spacing w:after="0"/>
              <w:rPr>
                <w:sz w:val="20"/>
                <w:szCs w:val="20"/>
                <w:color w:val="auto"/>
              </w:rPr>
            </w:pPr>
            <w:r>
              <w:rPr>
                <w:rFonts w:ascii="Arial" w:cs="Arial" w:eastAsia="Arial" w:hAnsi="Arial"/>
                <w:sz w:val="14"/>
                <w:szCs w:val="14"/>
                <w:b w:val="1"/>
                <w:bCs w:val="1"/>
                <w:color w:val="auto"/>
                <w:w w:val="88"/>
              </w:rPr>
              <w:t>No.</w:t>
            </w:r>
          </w:p>
        </w:tc>
        <w:tc>
          <w:tcPr>
            <w:tcW w:w="8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260" w:type="dxa"/>
            <w:vAlign w:val="bottom"/>
            <w:gridSpan w:val="9"/>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color w:val="auto"/>
              </w:rPr>
              <w:t>2.1</w:t>
            </w:r>
          </w:p>
        </w:tc>
        <w:tc>
          <w:tcPr>
            <w:tcW w:w="9860" w:type="dxa"/>
            <w:vAlign w:val="bottom"/>
            <w:gridSpan w:val="11"/>
          </w:tcPr>
          <w:p>
            <w:pPr>
              <w:spacing w:after="0"/>
              <w:rPr>
                <w:rFonts w:ascii="Arial" w:cs="Arial" w:eastAsia="Arial" w:hAnsi="Arial"/>
                <w:sz w:val="18"/>
                <w:szCs w:val="18"/>
                <w:color w:val="0000FF"/>
                <w:w w:val="91"/>
              </w:rPr>
            </w:pPr>
            <w:hyperlink r:id="rId74">
              <w:r>
                <w:rPr>
                  <w:rFonts w:ascii="Arial" w:cs="Arial" w:eastAsia="Arial" w:hAnsi="Arial"/>
                  <w:sz w:val="18"/>
                  <w:szCs w:val="18"/>
                  <w:color w:val="0000FF"/>
                  <w:w w:val="91"/>
                </w:rPr>
                <w:t>Agreement and Plan of Merger, dated as of December 22, 2017, by and among the Company, TPP Acquisition I Corp., TPP Acquisition</w:t>
              </w:r>
            </w:hyperlink>
          </w:p>
        </w:tc>
      </w:tr>
      <w:tr>
        <w:trPr>
          <w:trHeight w:val="155"/>
        </w:trPr>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0" w:type="dxa"/>
            <w:vAlign w:val="bottom"/>
            <w:tcBorders>
              <w:top w:val="single" w:sz="8" w:color="0000FF"/>
            </w:tcBorders>
            <w:gridSpan w:val="10"/>
          </w:tcPr>
          <w:p>
            <w:pPr>
              <w:spacing w:after="0" w:line="156" w:lineRule="exact"/>
              <w:rPr>
                <w:rFonts w:ascii="Arial" w:cs="Arial" w:eastAsia="Arial" w:hAnsi="Arial"/>
                <w:sz w:val="18"/>
                <w:szCs w:val="18"/>
                <w:color w:val="0000FF"/>
                <w:w w:val="93"/>
              </w:rPr>
            </w:pPr>
            <w:hyperlink r:id="rId74">
              <w:r>
                <w:rPr>
                  <w:rFonts w:ascii="Arial" w:cs="Arial" w:eastAsia="Arial" w:hAnsi="Arial"/>
                  <w:sz w:val="18"/>
                  <w:szCs w:val="18"/>
                  <w:color w:val="0000FF"/>
                  <w:w w:val="93"/>
                </w:rPr>
                <w:t>II LLC, Taylor Parent, LLC, Taylor Holdco, LLC, and CP Taylor GP, LLC. (incorporated by reference to Exhibit 2.1 to the Company’s</w:t>
              </w:r>
            </w:hyperlink>
          </w:p>
        </w:tc>
        <w:tc>
          <w:tcPr>
            <w:tcW w:w="60" w:type="dxa"/>
            <w:vAlign w:val="bottom"/>
          </w:tcPr>
          <w:p>
            <w:pPr>
              <w:spacing w:after="0"/>
              <w:rPr>
                <w:sz w:val="13"/>
                <w:szCs w:val="13"/>
                <w:color w:val="auto"/>
              </w:rPr>
            </w:pPr>
          </w:p>
        </w:tc>
      </w:tr>
      <w:tr>
        <w:trPr>
          <w:trHeight w:val="156"/>
        </w:trPr>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7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Current Report on Form 8-K filed on December 29, 2017) Holdco, LLC, and CP Taylor GP, LLC. (incorporated by reference to Exhibit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56"/>
        </w:trPr>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780" w:type="dxa"/>
            <w:vAlign w:val="bottom"/>
            <w:tcBorders>
              <w:bottom w:val="single" w:sz="8" w:color="0000FF"/>
            </w:tcBorders>
            <w:gridSpan w:val="5"/>
          </w:tcPr>
          <w:p>
            <w:pPr>
              <w:spacing w:after="0" w:line="15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2.</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the Company’s Current Report on Form 8-K filed on December 29, 2017)</w:t>
              </w:r>
            </w:hyperlink>
          </w:p>
        </w:tc>
        <w:tc>
          <w:tcPr>
            <w:tcW w:w="400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90"/>
        </w:trPr>
        <w:tc>
          <w:tcPr>
            <w:tcW w:w="1040" w:type="dxa"/>
            <w:vAlign w:val="bottom"/>
            <w:gridSpan w:val="2"/>
          </w:tcPr>
          <w:p>
            <w:pPr>
              <w:spacing w:after="0"/>
              <w:rPr>
                <w:sz w:val="20"/>
                <w:szCs w:val="20"/>
                <w:color w:val="auto"/>
              </w:rPr>
            </w:pPr>
            <w:r>
              <w:rPr>
                <w:rFonts w:ascii="Arial" w:cs="Arial" w:eastAsia="Arial" w:hAnsi="Arial"/>
                <w:sz w:val="18"/>
                <w:szCs w:val="18"/>
                <w:color w:val="242424"/>
              </w:rPr>
              <w:t>3.1</w:t>
            </w:r>
          </w:p>
        </w:tc>
        <w:tc>
          <w:tcPr>
            <w:tcW w:w="9860" w:type="dxa"/>
            <w:vAlign w:val="bottom"/>
            <w:gridSpan w:val="11"/>
          </w:tcPr>
          <w:p>
            <w:pPr>
              <w:spacing w:after="0"/>
              <w:rPr>
                <w:rFonts w:ascii="Arial" w:cs="Arial" w:eastAsia="Arial" w:hAnsi="Arial"/>
                <w:sz w:val="18"/>
                <w:szCs w:val="18"/>
                <w:color w:val="auto"/>
                <w:w w:val="91"/>
              </w:rPr>
            </w:pPr>
            <w:hyperlink r:id="rId75">
              <w:r>
                <w:rPr>
                  <w:rFonts w:ascii="Arial" w:cs="Arial" w:eastAsia="Arial" w:hAnsi="Arial"/>
                  <w:sz w:val="18"/>
                  <w:szCs w:val="18"/>
                  <w:color w:val="auto"/>
                  <w:w w:val="91"/>
                </w:rPr>
                <w:t>Second Restated Certificate of Incorporation of the Company (incorporated by reference to Exhibit 3.2 to the Company’s Annual Report</w:t>
              </w:r>
            </w:hyperlink>
          </w:p>
        </w:tc>
      </w:tr>
      <w:tr>
        <w:trPr>
          <w:trHeight w:val="230"/>
        </w:trPr>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60" w:type="dxa"/>
            <w:vAlign w:val="bottom"/>
            <w:gridSpan w:val="11"/>
          </w:tcPr>
          <w:p>
            <w:pPr>
              <w:spacing w:after="0"/>
              <w:rPr>
                <w:rFonts w:ascii="Arial" w:cs="Arial" w:eastAsia="Arial" w:hAnsi="Arial"/>
                <w:sz w:val="18"/>
                <w:szCs w:val="18"/>
                <w:color w:val="auto"/>
              </w:rPr>
            </w:pPr>
            <w:hyperlink r:id="rId75">
              <w:r>
                <w:rPr>
                  <w:rFonts w:ascii="Arial" w:cs="Arial" w:eastAsia="Arial" w:hAnsi="Arial"/>
                  <w:sz w:val="18"/>
                  <w:szCs w:val="18"/>
                  <w:color w:val="auto"/>
                </w:rPr>
                <w:t>on Form 10-K for the year ended December 31, 2005)</w:t>
              </w:r>
            </w:hyperlink>
          </w:p>
        </w:tc>
      </w:tr>
      <w:tr>
        <w:trPr>
          <w:trHeight w:val="270"/>
        </w:trPr>
        <w:tc>
          <w:tcPr>
            <w:tcW w:w="1040" w:type="dxa"/>
            <w:vAlign w:val="bottom"/>
            <w:gridSpan w:val="2"/>
          </w:tcPr>
          <w:p>
            <w:pPr>
              <w:spacing w:after="0"/>
              <w:rPr>
                <w:sz w:val="20"/>
                <w:szCs w:val="20"/>
                <w:color w:val="auto"/>
              </w:rPr>
            </w:pPr>
            <w:r>
              <w:rPr>
                <w:rFonts w:ascii="Arial" w:cs="Arial" w:eastAsia="Arial" w:hAnsi="Arial"/>
                <w:sz w:val="18"/>
                <w:szCs w:val="18"/>
                <w:color w:val="242424"/>
              </w:rPr>
              <w:t>3.2</w:t>
            </w:r>
          </w:p>
        </w:tc>
        <w:tc>
          <w:tcPr>
            <w:tcW w:w="9860" w:type="dxa"/>
            <w:vAlign w:val="bottom"/>
            <w:gridSpan w:val="11"/>
          </w:tcPr>
          <w:p>
            <w:pPr>
              <w:spacing w:after="0"/>
              <w:rPr>
                <w:rFonts w:ascii="Arial" w:cs="Arial" w:eastAsia="Arial" w:hAnsi="Arial"/>
                <w:sz w:val="18"/>
                <w:szCs w:val="18"/>
                <w:color w:val="3051F2"/>
                <w:w w:val="92"/>
              </w:rPr>
            </w:pPr>
            <w:hyperlink r:id="rId75">
              <w:r>
                <w:rPr>
                  <w:rFonts w:ascii="Arial" w:cs="Arial" w:eastAsia="Arial" w:hAnsi="Arial"/>
                  <w:sz w:val="18"/>
                  <w:szCs w:val="18"/>
                  <w:color w:val="3051F2"/>
                  <w:w w:val="92"/>
                </w:rPr>
                <w:t>Certificate of Amendment of Second Restated Certificate of Incorporation of the Company (incorporated by reference to Exhibit 3.1 to</w:t>
              </w:r>
            </w:hyperlink>
          </w:p>
        </w:tc>
      </w:tr>
      <w:tr>
        <w:trPr>
          <w:trHeight w:val="183"/>
        </w:trPr>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740" w:type="dxa"/>
            <w:vAlign w:val="bottom"/>
            <w:tcBorders>
              <w:top w:val="single" w:sz="8" w:color="3051F2"/>
            </w:tcBorders>
            <w:gridSpan w:val="7"/>
          </w:tcPr>
          <w:p>
            <w:pPr>
              <w:spacing w:after="0" w:line="182" w:lineRule="exact"/>
              <w:rPr>
                <w:rFonts w:ascii="Arial" w:cs="Arial" w:eastAsia="Arial" w:hAnsi="Arial"/>
                <w:sz w:val="18"/>
                <w:szCs w:val="18"/>
                <w:color w:val="3051F2"/>
              </w:rPr>
            </w:pPr>
            <w:hyperlink r:id="rId75">
              <w:r>
                <w:rPr>
                  <w:rFonts w:ascii="Arial" w:cs="Arial" w:eastAsia="Arial" w:hAnsi="Arial"/>
                  <w:sz w:val="18"/>
                  <w:szCs w:val="18"/>
                  <w:color w:val="3051F2"/>
                </w:rPr>
                <w:t>the Company’s Current Report on Form 8-K filed June 10, 2016)</w:t>
              </w:r>
            </w:hyperlink>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r>
      <w:tr>
        <w:trPr>
          <w:trHeight w:val="20"/>
        </w:trPr>
        <w:tc>
          <w:tcPr>
            <w:tcW w:w="1040" w:type="dxa"/>
            <w:vAlign w:val="bottom"/>
            <w:gridSpan w:val="2"/>
          </w:tcPr>
          <w:p>
            <w:pPr>
              <w:spacing w:after="0" w:line="20" w:lineRule="exact"/>
              <w:rPr>
                <w:sz w:val="1"/>
                <w:szCs w:val="1"/>
                <w:color w:val="auto"/>
              </w:rPr>
            </w:pPr>
          </w:p>
        </w:tc>
        <w:tc>
          <w:tcPr>
            <w:tcW w:w="2160" w:type="dxa"/>
            <w:vAlign w:val="bottom"/>
            <w:shd w:val="clear" w:color="auto" w:fill="3051F2"/>
          </w:tcPr>
          <w:p>
            <w:pPr>
              <w:spacing w:after="0" w:line="20" w:lineRule="exact"/>
              <w:rPr>
                <w:sz w:val="1"/>
                <w:szCs w:val="1"/>
                <w:color w:val="auto"/>
              </w:rPr>
            </w:pPr>
          </w:p>
        </w:tc>
        <w:tc>
          <w:tcPr>
            <w:tcW w:w="2520" w:type="dxa"/>
            <w:vAlign w:val="bottom"/>
            <w:gridSpan w:val="2"/>
            <w:shd w:val="clear" w:color="auto" w:fill="3051F2"/>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77"/>
        </w:trPr>
        <w:tc>
          <w:tcPr>
            <w:tcW w:w="1040" w:type="dxa"/>
            <w:vAlign w:val="bottom"/>
            <w:gridSpan w:val="2"/>
          </w:tcPr>
          <w:p>
            <w:pPr>
              <w:spacing w:after="0"/>
              <w:rPr>
                <w:sz w:val="20"/>
                <w:szCs w:val="20"/>
                <w:color w:val="auto"/>
              </w:rPr>
            </w:pPr>
            <w:r>
              <w:rPr>
                <w:rFonts w:ascii="Arial" w:cs="Arial" w:eastAsia="Arial" w:hAnsi="Arial"/>
                <w:sz w:val="18"/>
                <w:szCs w:val="18"/>
                <w:color w:val="auto"/>
              </w:rPr>
              <w:t>3.3</w:t>
            </w:r>
          </w:p>
        </w:tc>
        <w:tc>
          <w:tcPr>
            <w:tcW w:w="9860" w:type="dxa"/>
            <w:vAlign w:val="bottom"/>
            <w:tcBorders>
              <w:bottom w:val="single" w:sz="8" w:color="0000FF"/>
            </w:tcBorders>
            <w:gridSpan w:val="11"/>
          </w:tcPr>
          <w:p>
            <w:pPr>
              <w:spacing w:after="0"/>
              <w:rPr>
                <w:rFonts w:ascii="Arial" w:cs="Arial" w:eastAsia="Arial" w:hAnsi="Arial"/>
                <w:sz w:val="18"/>
                <w:szCs w:val="18"/>
                <w:color w:val="0000FF"/>
                <w:w w:val="90"/>
              </w:rPr>
            </w:pPr>
            <w:hyperlink r:id="rId76">
              <w:r>
                <w:rPr>
                  <w:rFonts w:ascii="Arial" w:cs="Arial" w:eastAsia="Arial" w:hAnsi="Arial"/>
                  <w:sz w:val="18"/>
                  <w:szCs w:val="18"/>
                  <w:color w:val="0000FF"/>
                  <w:w w:val="90"/>
                </w:rPr>
                <w:t>Amended and Restated By-Laws of the Company (incorporated by reference to Exhibit 3.1 to the Company’s Current Report on Form 8-</w:t>
              </w:r>
            </w:hyperlink>
          </w:p>
        </w:tc>
      </w:tr>
      <w:tr>
        <w:trPr>
          <w:trHeight w:val="155"/>
        </w:trPr>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60" w:type="dxa"/>
            <w:vAlign w:val="bottom"/>
            <w:gridSpan w:val="11"/>
          </w:tcPr>
          <w:p>
            <w:pPr>
              <w:spacing w:after="0" w:line="156" w:lineRule="exact"/>
              <w:rPr>
                <w:rFonts w:ascii="Arial" w:cs="Arial" w:eastAsia="Arial" w:hAnsi="Arial"/>
                <w:sz w:val="18"/>
                <w:szCs w:val="18"/>
                <w:color w:val="0000FF"/>
              </w:rPr>
            </w:pPr>
            <w:hyperlink r:id="rId76">
              <w:r>
                <w:rPr>
                  <w:rFonts w:ascii="Arial" w:cs="Arial" w:eastAsia="Arial" w:hAnsi="Arial"/>
                  <w:sz w:val="18"/>
                  <w:szCs w:val="18"/>
                  <w:color w:val="0000FF"/>
                </w:rPr>
                <w:t>K filed on December 8, 2016)</w:t>
              </w:r>
            </w:hyperlink>
          </w:p>
        </w:tc>
      </w:tr>
      <w:tr>
        <w:trPr>
          <w:trHeight w:val="20"/>
        </w:trPr>
        <w:tc>
          <w:tcPr>
            <w:tcW w:w="1040" w:type="dxa"/>
            <w:vAlign w:val="bottom"/>
            <w:gridSpan w:val="2"/>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760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color w:val="auto"/>
              </w:rPr>
              <w:t>4.1</w:t>
            </w:r>
          </w:p>
        </w:tc>
        <w:tc>
          <w:tcPr>
            <w:tcW w:w="9860" w:type="dxa"/>
            <w:vAlign w:val="bottom"/>
            <w:gridSpan w:val="11"/>
          </w:tcPr>
          <w:p>
            <w:pPr>
              <w:spacing w:after="0"/>
              <w:rPr>
                <w:rFonts w:ascii="Arial" w:cs="Arial" w:eastAsia="Arial" w:hAnsi="Arial"/>
                <w:sz w:val="18"/>
                <w:szCs w:val="18"/>
                <w:color w:val="auto"/>
                <w:w w:val="91"/>
              </w:rPr>
            </w:pPr>
            <w:hyperlink r:id="rId77">
              <w:r>
                <w:rPr>
                  <w:rFonts w:ascii="Arial" w:cs="Arial" w:eastAsia="Arial" w:hAnsi="Arial"/>
                  <w:sz w:val="18"/>
                  <w:szCs w:val="18"/>
                  <w:color w:val="auto"/>
                  <w:w w:val="91"/>
                </w:rPr>
                <w:t>Description of the Company’s securities registered under Section 12 of the Securities Exchange Act of 1934, as amended (incorporated</w:t>
              </w:r>
            </w:hyperlink>
          </w:p>
        </w:tc>
      </w:tr>
      <w:tr>
        <w:trPr>
          <w:trHeight w:val="224"/>
        </w:trPr>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760" w:type="dxa"/>
            <w:vAlign w:val="bottom"/>
            <w:tcBorders>
              <w:top w:val="single" w:sz="8" w:color="auto"/>
            </w:tcBorders>
            <w:gridSpan w:val="8"/>
          </w:tcPr>
          <w:p>
            <w:pPr>
              <w:spacing w:after="0"/>
              <w:rPr>
                <w:rFonts w:ascii="Arial" w:cs="Arial" w:eastAsia="Arial" w:hAnsi="Arial"/>
                <w:sz w:val="18"/>
                <w:szCs w:val="18"/>
                <w:u w:val="single" w:color="auto"/>
                <w:color w:val="auto"/>
              </w:rPr>
            </w:pPr>
            <w:hyperlink r:id="rId77">
              <w:r>
                <w:rPr>
                  <w:rFonts w:ascii="Arial" w:cs="Arial" w:eastAsia="Arial" w:hAnsi="Arial"/>
                  <w:sz w:val="18"/>
                  <w:szCs w:val="18"/>
                  <w:u w:val="single" w:color="auto"/>
                  <w:color w:val="auto"/>
                </w:rPr>
                <w:t>by reference to Exhibit 4.1 to the Company's Annual Report on Form 10-K for the year ended December 31, 2019)</w:t>
              </w:r>
            </w:hyperlink>
          </w:p>
        </w:tc>
        <w:tc>
          <w:tcPr>
            <w:tcW w:w="100" w:type="dxa"/>
            <w:vAlign w:val="bottom"/>
            <w:gridSpan w:val="3"/>
          </w:tcPr>
          <w:p>
            <w:pPr>
              <w:spacing w:after="0"/>
              <w:rPr>
                <w:sz w:val="19"/>
                <w:szCs w:val="19"/>
                <w:color w:val="auto"/>
              </w:rPr>
            </w:pPr>
          </w:p>
        </w:tc>
      </w:tr>
      <w:tr>
        <w:trPr>
          <w:trHeight w:val="269"/>
        </w:trPr>
        <w:tc>
          <w:tcPr>
            <w:tcW w:w="1040" w:type="dxa"/>
            <w:vAlign w:val="bottom"/>
            <w:gridSpan w:val="2"/>
          </w:tcPr>
          <w:p>
            <w:pPr>
              <w:spacing w:after="0"/>
              <w:rPr>
                <w:sz w:val="20"/>
                <w:szCs w:val="20"/>
                <w:color w:val="auto"/>
              </w:rPr>
            </w:pPr>
            <w:r>
              <w:rPr>
                <w:rFonts w:ascii="Arial" w:cs="Arial" w:eastAsia="Arial" w:hAnsi="Arial"/>
                <w:sz w:val="18"/>
                <w:szCs w:val="18"/>
                <w:color w:val="auto"/>
              </w:rPr>
              <w:t>10.1</w:t>
            </w:r>
          </w:p>
        </w:tc>
        <w:tc>
          <w:tcPr>
            <w:tcW w:w="9860" w:type="dxa"/>
            <w:vAlign w:val="bottom"/>
            <w:gridSpan w:val="11"/>
          </w:tcPr>
          <w:p>
            <w:pPr>
              <w:spacing w:after="0"/>
              <w:rPr>
                <w:sz w:val="20"/>
                <w:szCs w:val="20"/>
                <w:color w:val="auto"/>
              </w:rPr>
            </w:pPr>
            <w:r>
              <w:rPr>
                <w:rFonts w:ascii="Arial" w:cs="Arial" w:eastAsia="Arial" w:hAnsi="Arial"/>
                <w:sz w:val="18"/>
                <w:szCs w:val="18"/>
                <w:color w:val="auto"/>
                <w:w w:val="90"/>
              </w:rPr>
              <w:t>License Agreement dated December 14, 1989 between the Company and Farberware, Inc. (incorporated by reference to the Company’s</w:t>
            </w:r>
          </w:p>
        </w:tc>
      </w:tr>
      <w:tr>
        <w:trPr>
          <w:trHeight w:val="230"/>
        </w:trPr>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60" w:type="dxa"/>
            <w:vAlign w:val="bottom"/>
            <w:gridSpan w:val="11"/>
          </w:tcPr>
          <w:p>
            <w:pPr>
              <w:spacing w:after="0"/>
              <w:rPr>
                <w:sz w:val="20"/>
                <w:szCs w:val="20"/>
                <w:color w:val="auto"/>
              </w:rPr>
            </w:pPr>
            <w:r>
              <w:rPr>
                <w:rFonts w:ascii="Arial" w:cs="Arial" w:eastAsia="Arial" w:hAnsi="Arial"/>
                <w:sz w:val="18"/>
                <w:szCs w:val="18"/>
                <w:color w:val="auto"/>
              </w:rPr>
              <w:t>registration statement No. 33-40154 on Form S-1)(P)</w:t>
            </w:r>
          </w:p>
        </w:tc>
      </w:tr>
    </w:tbl>
    <w:p>
      <w:pPr>
        <w:spacing w:after="0" w:line="52" w:lineRule="exact"/>
        <w:rPr>
          <w:sz w:val="20"/>
          <w:szCs w:val="20"/>
          <w:color w:val="auto"/>
        </w:rPr>
      </w:pPr>
    </w:p>
    <w:p>
      <w:pPr>
        <w:sectPr>
          <w:pgSz w:w="11900" w:h="16838" w:orient="portrait"/>
          <w:cols w:equalWidth="0" w:num="1">
            <w:col w:w="11020"/>
          </w:cols>
          <w:pgMar w:left="320" w:top="125" w:right="559" w:bottom="1440" w:gutter="0" w:footer="0" w:header="0"/>
        </w:sectPr>
      </w:pPr>
    </w:p>
    <w:p>
      <w:pPr>
        <w:ind w:left="20"/>
        <w:spacing w:after="0"/>
        <w:rPr>
          <w:sz w:val="20"/>
          <w:szCs w:val="20"/>
          <w:color w:val="auto"/>
        </w:rPr>
      </w:pPr>
      <w:r>
        <w:rPr>
          <w:rFonts w:ascii="Arial" w:cs="Arial" w:eastAsia="Arial" w:hAnsi="Arial"/>
          <w:sz w:val="16"/>
          <w:szCs w:val="16"/>
          <w:color w:val="auto"/>
        </w:rPr>
        <w:t>10.2</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10.3</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br w:type="column"/>
      </w:r>
    </w:p>
    <w:p>
      <w:pPr>
        <w:ind w:right="980"/>
        <w:spacing w:after="0" w:line="291" w:lineRule="auto"/>
        <w:rPr>
          <w:rFonts w:ascii="Arial" w:cs="Arial" w:eastAsia="Arial" w:hAnsi="Arial"/>
          <w:sz w:val="17"/>
          <w:szCs w:val="17"/>
          <w:u w:val="single" w:color="auto"/>
          <w:color w:val="0000FF"/>
        </w:rPr>
      </w:pPr>
      <w:hyperlink r:id="rId78">
        <w:r>
          <w:rPr>
            <w:rFonts w:ascii="Arial" w:cs="Arial" w:eastAsia="Arial" w:hAnsi="Arial"/>
            <w:sz w:val="17"/>
            <w:szCs w:val="17"/>
            <w:u w:val="single" w:color="auto"/>
            <w:color w:val="0000FF"/>
          </w:rPr>
          <w:t>Fourth Amended and Restated Employment Agreement, dated as of June 27, 2019, between the Company and Jeffrey Siegel</w:t>
        </w:r>
      </w:hyperlink>
      <w:r>
        <w:rPr>
          <w:rFonts w:ascii="Arial" w:cs="Arial" w:eastAsia="Arial" w:hAnsi="Arial"/>
          <w:sz w:val="17"/>
          <w:szCs w:val="17"/>
          <w:u w:val="single" w:color="auto"/>
          <w:color w:val="0000FF"/>
        </w:rPr>
        <w:t xml:space="preserve"> </w:t>
      </w:r>
      <w:hyperlink r:id="rId78">
        <w:r>
          <w:rPr>
            <w:rFonts w:ascii="Arial" w:cs="Arial" w:eastAsia="Arial" w:hAnsi="Arial"/>
            <w:sz w:val="17"/>
            <w:szCs w:val="17"/>
            <w:u w:val="single" w:color="auto"/>
            <w:color w:val="0000FF"/>
          </w:rPr>
          <w:t>(incorporated by reference to Exhibit 10.1 to the Company’s Current Report on Form 8-K filed June 28, 2019)*</w:t>
        </w:r>
      </w:hyperlink>
    </w:p>
    <w:p>
      <w:pPr>
        <w:spacing w:after="0" w:line="39" w:lineRule="exact"/>
        <w:rPr>
          <w:sz w:val="20"/>
          <w:szCs w:val="20"/>
          <w:color w:val="auto"/>
        </w:rPr>
      </w:pPr>
    </w:p>
    <w:p>
      <w:pPr>
        <w:ind w:right="320"/>
        <w:spacing w:after="0" w:line="324" w:lineRule="auto"/>
        <w:rPr>
          <w:rFonts w:ascii="Arial" w:cs="Arial" w:eastAsia="Arial" w:hAnsi="Arial"/>
          <w:sz w:val="16"/>
          <w:szCs w:val="16"/>
          <w:u w:val="single" w:color="auto"/>
          <w:color w:val="0000FF"/>
        </w:rPr>
      </w:pPr>
      <w:hyperlink r:id="rId79">
        <w:r>
          <w:rPr>
            <w:rFonts w:ascii="Arial" w:cs="Arial" w:eastAsia="Arial" w:hAnsi="Arial"/>
            <w:sz w:val="16"/>
            <w:szCs w:val="16"/>
            <w:u w:val="single" w:color="auto"/>
            <w:color w:val="0000FF"/>
          </w:rPr>
          <w:t>First Amendment to the Fourth Amended and Restated Employment Agreement, dated as of October 11, 2019, between the Company</w:t>
        </w:r>
      </w:hyperlink>
      <w:r>
        <w:rPr>
          <w:rFonts w:ascii="Arial" w:cs="Arial" w:eastAsia="Arial" w:hAnsi="Arial"/>
          <w:sz w:val="16"/>
          <w:szCs w:val="16"/>
          <w:u w:val="single" w:color="auto"/>
          <w:color w:val="0000FF"/>
        </w:rPr>
        <w:t xml:space="preserve"> </w:t>
      </w:r>
      <w:hyperlink r:id="rId79">
        <w:r>
          <w:rPr>
            <w:rFonts w:ascii="Arial" w:cs="Arial" w:eastAsia="Arial" w:hAnsi="Arial"/>
            <w:sz w:val="16"/>
            <w:szCs w:val="16"/>
            <w:u w:val="single" w:color="auto"/>
            <w:color w:val="0000FF"/>
          </w:rPr>
          <w:t>and Jeffrey Siegel (incorporated by reference to Exhibit 10.6 to the Company’s Current Report on Form 8-K filed October 15, 2019)*</w:t>
        </w:r>
      </w:hyperlink>
    </w:p>
    <w:p>
      <w:pPr>
        <w:spacing w:after="0" w:line="3" w:lineRule="exact"/>
        <w:rPr>
          <w:sz w:val="20"/>
          <w:szCs w:val="20"/>
          <w:color w:val="auto"/>
        </w:rPr>
      </w:pPr>
    </w:p>
    <w:p>
      <w:pPr>
        <w:ind w:right="120"/>
        <w:spacing w:after="0" w:line="224" w:lineRule="auto"/>
        <w:rPr>
          <w:rFonts w:ascii="Arial" w:cs="Arial" w:eastAsia="Arial" w:hAnsi="Arial"/>
          <w:sz w:val="18"/>
          <w:szCs w:val="18"/>
          <w:color w:val="0000FF"/>
        </w:rPr>
      </w:pPr>
      <w:hyperlink r:id="rId80">
        <w:r>
          <w:rPr>
            <w:rFonts w:ascii="Arial" w:cs="Arial" w:eastAsia="Arial" w:hAnsi="Arial"/>
            <w:sz w:val="18"/>
            <w:szCs w:val="18"/>
            <w:u w:val="single" w:color="auto"/>
            <w:color w:val="0000FF"/>
          </w:rPr>
          <w:t>Letter Agreement Amending and Supplementing Employment Agreement between Lifetime Brands, Inc. and Daniel Siegel, effective</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April 13, 2020</w:t>
        </w:r>
        <w:r>
          <w:rPr>
            <w:rFonts w:ascii="Arial" w:cs="Arial" w:eastAsia="Arial" w:hAnsi="Arial"/>
            <w:sz w:val="18"/>
            <w:szCs w:val="18"/>
            <w:color w:val="0000FF"/>
          </w:rPr>
          <w:t xml:space="preserve"> </w:t>
        </w:r>
        <w:r>
          <w:rPr>
            <w:rFonts w:ascii="Arial" w:cs="Arial" w:eastAsia="Arial" w:hAnsi="Arial"/>
            <w:sz w:val="18"/>
            <w:szCs w:val="18"/>
            <w:color w:val="000000"/>
          </w:rPr>
          <w:t xml:space="preserve">(incorporated by reference to Exhibit 10.2 to the Company's Quarterly Report on Form 10-Q for the quarter ended </w:t>
        </w:r>
      </w:hyperlink>
      <w:r>
        <w:rPr>
          <w:rFonts w:ascii="Arial" w:cs="Arial" w:eastAsia="Arial" w:hAnsi="Arial"/>
          <w:sz w:val="18"/>
          <w:szCs w:val="18"/>
          <w:color w:val="0000FF"/>
        </w:rPr>
        <w:t xml:space="preserve">March </w:t>
      </w:r>
      <w:r>
        <w:rPr>
          <w:rFonts w:ascii="Arial" w:cs="Arial" w:eastAsia="Arial" w:hAnsi="Arial"/>
          <w:sz w:val="18"/>
          <w:szCs w:val="18"/>
          <w:color w:val="000000"/>
        </w:rPr>
        <w:t>31, 2020)</w:t>
      </w:r>
    </w:p>
    <w:p>
      <w:pPr>
        <w:spacing w:after="0" w:line="95" w:lineRule="exact"/>
        <w:rPr>
          <w:sz w:val="20"/>
          <w:szCs w:val="20"/>
          <w:color w:val="auto"/>
        </w:rPr>
      </w:pPr>
    </w:p>
    <w:p>
      <w:pPr>
        <w:sectPr>
          <w:pgSz w:w="11900" w:h="16838" w:orient="portrait"/>
          <w:cols w:equalWidth="0" w:num="2">
            <w:col w:w="340" w:space="720"/>
            <w:col w:w="9960"/>
          </w:cols>
          <w:pgMar w:left="320" w:top="125" w:right="559" w:bottom="1440" w:gutter="0" w:footer="0" w:header="0"/>
          <w:type w:val="continuous"/>
        </w:sectPr>
      </w:pPr>
    </w:p>
    <w:p>
      <w:pPr>
        <w:ind w:left="1060" w:right="220" w:hanging="1038"/>
        <w:spacing w:after="0" w:line="248" w:lineRule="auto"/>
        <w:tabs>
          <w:tab w:leader="none" w:pos="1040" w:val="left"/>
        </w:tabs>
        <w:rPr>
          <w:rFonts w:ascii="Arial" w:cs="Arial" w:eastAsia="Arial" w:hAnsi="Arial"/>
          <w:sz w:val="18"/>
          <w:szCs w:val="18"/>
          <w:u w:val="single" w:color="auto"/>
          <w:color w:val="auto"/>
        </w:rPr>
      </w:pPr>
      <w:r>
        <w:rPr>
          <w:rFonts w:ascii="Arial" w:cs="Arial" w:eastAsia="Arial" w:hAnsi="Arial"/>
          <w:sz w:val="18"/>
          <w:szCs w:val="18"/>
          <w:color w:val="auto"/>
        </w:rPr>
        <w:t>10.5</w:t>
      </w:r>
      <w:r>
        <w:rPr>
          <w:sz w:val="20"/>
          <w:szCs w:val="20"/>
          <w:color w:val="auto"/>
        </w:rPr>
        <w:tab/>
      </w:r>
      <w:hyperlink r:id="rId81">
        <w:r>
          <w:rPr>
            <w:rFonts w:ascii="Arial" w:cs="Arial" w:eastAsia="Arial" w:hAnsi="Arial"/>
            <w:sz w:val="18"/>
            <w:szCs w:val="18"/>
            <w:u w:val="single" w:color="auto"/>
            <w:color w:val="auto"/>
          </w:rPr>
          <w:t>Lease Agreement, dated as of May 10, 2006, between AG Metropolitan Endo, L.L.C and the Company for the property located at 1000</w:t>
        </w:r>
      </w:hyperlink>
      <w:r>
        <w:rPr>
          <w:rFonts w:ascii="Arial" w:cs="Arial" w:eastAsia="Arial" w:hAnsi="Arial"/>
          <w:sz w:val="18"/>
          <w:szCs w:val="18"/>
          <w:u w:val="single" w:color="auto"/>
          <w:color w:val="auto"/>
        </w:rPr>
        <w:t xml:space="preserve"> </w:t>
      </w:r>
      <w:hyperlink r:id="rId81">
        <w:r>
          <w:rPr>
            <w:rFonts w:ascii="Arial" w:cs="Arial" w:eastAsia="Arial" w:hAnsi="Arial"/>
            <w:sz w:val="18"/>
            <w:szCs w:val="18"/>
            <w:u w:val="single" w:color="auto"/>
            <w:color w:val="auto"/>
          </w:rPr>
          <w:t>Stewart Avenue in Garden City, New York (incorporated by reference to Exhibit 99.1 to the Company’s Current Report on Form 8-K</w:t>
        </w:r>
      </w:hyperlink>
      <w:r>
        <w:rPr>
          <w:rFonts w:ascii="Arial" w:cs="Arial" w:eastAsia="Arial" w:hAnsi="Arial"/>
          <w:sz w:val="18"/>
          <w:szCs w:val="18"/>
          <w:u w:val="single" w:color="auto"/>
          <w:color w:val="auto"/>
        </w:rPr>
        <w:t xml:space="preserve"> </w:t>
      </w:r>
      <w:hyperlink r:id="rId81">
        <w:r>
          <w:rPr>
            <w:rFonts w:ascii="Arial" w:cs="Arial" w:eastAsia="Arial" w:hAnsi="Arial"/>
            <w:sz w:val="18"/>
            <w:szCs w:val="18"/>
            <w:u w:val="single" w:color="auto"/>
            <w:color w:val="auto"/>
          </w:rPr>
          <w:t>filed May 15, 2006)</w:t>
        </w:r>
      </w:hyperlink>
    </w:p>
    <w:p>
      <w:pPr>
        <w:spacing w:after="0" w:line="200" w:lineRule="exact"/>
        <w:rPr>
          <w:rFonts w:ascii="Arial" w:cs="Arial" w:eastAsia="Arial" w:hAnsi="Arial"/>
          <w:sz w:val="18"/>
          <w:szCs w:val="18"/>
          <w:u w:val="single" w:color="auto"/>
          <w:color w:val="auto"/>
        </w:rPr>
      </w:pPr>
    </w:p>
    <w:p>
      <w:pPr>
        <w:spacing w:after="0" w:line="400" w:lineRule="exact"/>
        <w:rPr>
          <w:rFonts w:ascii="Arial" w:cs="Arial" w:eastAsia="Arial" w:hAnsi="Arial"/>
          <w:sz w:val="18"/>
          <w:szCs w:val="18"/>
          <w:u w:val="single" w:color="auto"/>
          <w:color w:val="auto"/>
        </w:rPr>
      </w:pPr>
    </w:p>
    <w:p>
      <w:pPr>
        <w:jc w:val="center"/>
        <w:ind w:right="-219"/>
        <w:spacing w:after="0"/>
        <w:rPr>
          <w:sz w:val="20"/>
          <w:szCs w:val="20"/>
          <w:color w:val="auto"/>
        </w:rPr>
      </w:pPr>
      <w:r>
        <w:rPr>
          <w:rFonts w:ascii="Arial" w:cs="Arial" w:eastAsia="Arial" w:hAnsi="Arial"/>
          <w:sz w:val="18"/>
          <w:szCs w:val="18"/>
          <w:color w:val="auto"/>
        </w:rPr>
        <w:t>55</w:t>
      </w:r>
    </w:p>
    <w:p>
      <w:pPr>
        <w:spacing w:after="0" w:line="20" w:lineRule="exact"/>
        <w:rPr>
          <w:rFonts w:ascii="Arial" w:cs="Arial" w:eastAsia="Arial" w:hAnsi="Arial"/>
          <w:sz w:val="18"/>
          <w:szCs w:val="18"/>
          <w:u w:val="single" w:color="auto"/>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ind w:left="20"/>
              <w:spacing w:after="0"/>
              <w:rPr>
                <w:sz w:val="20"/>
                <w:szCs w:val="20"/>
                <w:color w:val="auto"/>
              </w:rPr>
            </w:pPr>
            <w:r>
              <w:rPr>
                <w:rFonts w:ascii="Arial" w:cs="Arial" w:eastAsia="Arial" w:hAnsi="Arial"/>
                <w:sz w:val="18"/>
                <w:szCs w:val="18"/>
                <w:color w:val="auto"/>
              </w:rPr>
              <w:t>10.6</w:t>
            </w:r>
          </w:p>
        </w:tc>
        <w:tc>
          <w:tcPr>
            <w:tcW w:w="10180" w:type="dxa"/>
            <w:vAlign w:val="bottom"/>
            <w:gridSpan w:val="34"/>
          </w:tcPr>
          <w:p>
            <w:pPr>
              <w:spacing w:after="0"/>
              <w:rPr>
                <w:rFonts w:ascii="Arial" w:cs="Arial" w:eastAsia="Arial" w:hAnsi="Arial"/>
                <w:sz w:val="18"/>
                <w:szCs w:val="18"/>
                <w:color w:val="0000FF"/>
                <w:w w:val="93"/>
              </w:rPr>
            </w:pPr>
            <w:hyperlink r:id="rId83">
              <w:r>
                <w:rPr>
                  <w:rFonts w:ascii="Arial" w:cs="Arial" w:eastAsia="Arial" w:hAnsi="Arial"/>
                  <w:sz w:val="18"/>
                  <w:szCs w:val="18"/>
                  <w:color w:val="0000FF"/>
                  <w:w w:val="93"/>
                </w:rPr>
                <w:t>First Amendment to the Lease Agreement, dated as of September 26, 2006, between AG Metropolitan Endo, L.L.C and the Company for</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9940" w:type="dxa"/>
            <w:vAlign w:val="bottom"/>
            <w:tcBorders>
              <w:top w:val="single" w:sz="8" w:color="0000FF"/>
            </w:tcBorders>
            <w:gridSpan w:val="32"/>
          </w:tcPr>
          <w:p>
            <w:pPr>
              <w:spacing w:after="0" w:line="156" w:lineRule="exact"/>
              <w:rPr>
                <w:rFonts w:ascii="Arial" w:cs="Arial" w:eastAsia="Arial" w:hAnsi="Arial"/>
                <w:sz w:val="18"/>
                <w:szCs w:val="18"/>
                <w:color w:val="0000FF"/>
                <w:w w:val="94"/>
              </w:rPr>
            </w:pPr>
            <w:hyperlink r:id="rId83">
              <w:r>
                <w:rPr>
                  <w:rFonts w:ascii="Arial" w:cs="Arial" w:eastAsia="Arial" w:hAnsi="Arial"/>
                  <w:sz w:val="18"/>
                  <w:szCs w:val="18"/>
                  <w:color w:val="0000FF"/>
                  <w:w w:val="94"/>
                </w:rPr>
                <w:t>the property located at 1000 Stewart Avenue in Garden City, New York (incorporated by reference to Exhibit 10.1 to the Company’s</w:t>
              </w:r>
            </w:hyperlink>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95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83">
              <w:r>
                <w:rPr>
                  <w:rFonts w:ascii="Arial" w:cs="Arial" w:eastAsia="Arial" w:hAnsi="Arial"/>
                  <w:sz w:val="18"/>
                  <w:szCs w:val="18"/>
                  <w:color w:val="0000FF"/>
                </w:rPr>
                <w:t>Quarterly Report on Form 10-Q for the quarter ended September 30, 2006)</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60" w:type="dxa"/>
            <w:vAlign w:val="bottom"/>
          </w:tcPr>
          <w:p>
            <w:pPr>
              <w:ind w:left="20"/>
              <w:spacing w:after="0"/>
              <w:rPr>
                <w:sz w:val="20"/>
                <w:szCs w:val="20"/>
                <w:color w:val="auto"/>
              </w:rPr>
            </w:pPr>
            <w:r>
              <w:rPr>
                <w:rFonts w:ascii="Arial" w:cs="Arial" w:eastAsia="Arial" w:hAnsi="Arial"/>
                <w:sz w:val="18"/>
                <w:szCs w:val="18"/>
                <w:color w:val="auto"/>
              </w:rPr>
              <w:t>10.7</w:t>
            </w:r>
          </w:p>
        </w:tc>
        <w:tc>
          <w:tcPr>
            <w:tcW w:w="10180" w:type="dxa"/>
            <w:vAlign w:val="bottom"/>
            <w:gridSpan w:val="34"/>
          </w:tcPr>
          <w:p>
            <w:pPr>
              <w:spacing w:after="0"/>
              <w:rPr>
                <w:rFonts w:ascii="Arial" w:cs="Arial" w:eastAsia="Arial" w:hAnsi="Arial"/>
                <w:sz w:val="18"/>
                <w:szCs w:val="18"/>
                <w:color w:val="0000FF"/>
              </w:rPr>
            </w:pPr>
            <w:hyperlink r:id="rId84">
              <w:r>
                <w:rPr>
                  <w:rFonts w:ascii="Arial" w:cs="Arial" w:eastAsia="Arial" w:hAnsi="Arial"/>
                  <w:sz w:val="18"/>
                  <w:szCs w:val="18"/>
                  <w:color w:val="0000FF"/>
                </w:rPr>
                <w:t>Amended and Restated 2000 Long-Term Incentive Plan, dated June 28, 2018 (incorporated by reference to Exhibit 10.1 to the</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5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84">
              <w:r>
                <w:rPr>
                  <w:rFonts w:ascii="Arial" w:cs="Arial" w:eastAsia="Arial" w:hAnsi="Arial"/>
                  <w:sz w:val="18"/>
                  <w:szCs w:val="18"/>
                  <w:color w:val="0000FF"/>
                  <w:w w:val="91"/>
                </w:rPr>
                <w:t>Company’s Current Report on Form 8-K filed June 29, 2018)*</w:t>
              </w:r>
            </w:hyperlink>
          </w:p>
        </w:tc>
        <w:tc>
          <w:tcPr>
            <w:tcW w:w="4560" w:type="dxa"/>
            <w:vAlign w:val="bottom"/>
            <w:tcBorders>
              <w:top w:val="single" w:sz="8" w:color="0000FF"/>
            </w:tcBorders>
            <w:gridSpan w:val="7"/>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60" w:type="dxa"/>
            <w:vAlign w:val="bottom"/>
          </w:tcPr>
          <w:p>
            <w:pPr>
              <w:ind w:left="20"/>
              <w:spacing w:after="0"/>
              <w:rPr>
                <w:sz w:val="20"/>
                <w:szCs w:val="20"/>
                <w:color w:val="auto"/>
              </w:rPr>
            </w:pPr>
            <w:r>
              <w:rPr>
                <w:rFonts w:ascii="Arial" w:cs="Arial" w:eastAsia="Arial" w:hAnsi="Arial"/>
                <w:sz w:val="18"/>
                <w:szCs w:val="18"/>
                <w:color w:val="auto"/>
              </w:rPr>
              <w:t>10.8</w:t>
            </w:r>
          </w:p>
        </w:tc>
        <w:tc>
          <w:tcPr>
            <w:tcW w:w="10180" w:type="dxa"/>
            <w:vAlign w:val="bottom"/>
            <w:gridSpan w:val="34"/>
          </w:tcPr>
          <w:p>
            <w:pPr>
              <w:spacing w:after="0"/>
              <w:rPr>
                <w:rFonts w:ascii="Arial" w:cs="Arial" w:eastAsia="Arial" w:hAnsi="Arial"/>
                <w:sz w:val="18"/>
                <w:szCs w:val="18"/>
                <w:color w:val="0000FF"/>
                <w:w w:val="93"/>
              </w:rPr>
            </w:pPr>
            <w:hyperlink r:id="rId85">
              <w:r>
                <w:rPr>
                  <w:rFonts w:ascii="Arial" w:cs="Arial" w:eastAsia="Arial" w:hAnsi="Arial"/>
                  <w:sz w:val="18"/>
                  <w:szCs w:val="18"/>
                  <w:color w:val="0000FF"/>
                  <w:w w:val="93"/>
                </w:rPr>
                <w:t>Form of Restricted Stock Award Agreement under the Amended and Restated 2000 Long-term Incentive Plan (incorporated by reference</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9900" w:type="dxa"/>
            <w:vAlign w:val="bottom"/>
            <w:tcBorders>
              <w:top w:val="single" w:sz="8" w:color="0000FF"/>
            </w:tcBorders>
            <w:gridSpan w:val="30"/>
          </w:tcPr>
          <w:p>
            <w:pPr>
              <w:spacing w:after="0" w:line="182" w:lineRule="exact"/>
              <w:rPr>
                <w:rFonts w:ascii="Arial" w:cs="Arial" w:eastAsia="Arial" w:hAnsi="Arial"/>
                <w:sz w:val="18"/>
                <w:szCs w:val="18"/>
                <w:color w:val="0000FF"/>
              </w:rPr>
            </w:pPr>
            <w:hyperlink r:id="rId85">
              <w:r>
                <w:rPr>
                  <w:rFonts w:ascii="Arial" w:cs="Arial" w:eastAsia="Arial" w:hAnsi="Arial"/>
                  <w:sz w:val="18"/>
                  <w:szCs w:val="18"/>
                  <w:color w:val="0000FF"/>
                </w:rPr>
                <w:t>to Exhibit 10.1 to the Company’s Quarterly Report on Form 10-Q filed August 10, 2015)*</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Arial" w:cs="Arial" w:eastAsia="Arial" w:hAnsi="Arial"/>
                <w:sz w:val="18"/>
                <w:szCs w:val="18"/>
                <w:color w:val="auto"/>
              </w:rPr>
              <w:t>10.9</w:t>
            </w: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60" w:type="dxa"/>
            <w:vAlign w:val="bottom"/>
            <w:vMerge w:val="continue"/>
          </w:tcPr>
          <w:p>
            <w:pPr>
              <w:spacing w:after="0"/>
              <w:rPr>
                <w:sz w:val="24"/>
                <w:szCs w:val="24"/>
                <w:color w:val="auto"/>
              </w:rPr>
            </w:pPr>
          </w:p>
        </w:tc>
        <w:tc>
          <w:tcPr>
            <w:tcW w:w="10180" w:type="dxa"/>
            <w:vAlign w:val="bottom"/>
            <w:gridSpan w:val="34"/>
          </w:tcPr>
          <w:p>
            <w:pPr>
              <w:spacing w:after="0"/>
              <w:rPr>
                <w:rFonts w:ascii="Arial" w:cs="Arial" w:eastAsia="Arial" w:hAnsi="Arial"/>
                <w:sz w:val="18"/>
                <w:szCs w:val="18"/>
                <w:color w:val="0000FF"/>
                <w:w w:val="96"/>
              </w:rPr>
            </w:pPr>
            <w:hyperlink r:id="rId86">
              <w:r>
                <w:rPr>
                  <w:rFonts w:ascii="Arial" w:cs="Arial" w:eastAsia="Arial" w:hAnsi="Arial"/>
                  <w:sz w:val="18"/>
                  <w:szCs w:val="18"/>
                  <w:color w:val="0000FF"/>
                  <w:w w:val="96"/>
                </w:rPr>
                <w:t>Form of Deferred Stock (Performance-Vesting) Award Agreement under the Amended and Restated 2000 Long-term Incentive Plan</w:t>
              </w:r>
            </w:hyperlink>
          </w:p>
        </w:tc>
        <w:tc>
          <w:tcPr>
            <w:tcW w:w="0" w:type="dxa"/>
            <w:vAlign w:val="bottom"/>
          </w:tcPr>
          <w:p>
            <w:pPr>
              <w:spacing w:after="0"/>
              <w:rPr>
                <w:sz w:val="1"/>
                <w:szCs w:val="1"/>
                <w:color w:val="auto"/>
              </w:rPr>
            </w:pPr>
          </w:p>
        </w:tc>
      </w:tr>
      <w:tr>
        <w:trPr>
          <w:trHeight w:val="224"/>
        </w:trPr>
        <w:tc>
          <w:tcPr>
            <w:tcW w:w="1060" w:type="dxa"/>
            <w:vAlign w:val="bottom"/>
          </w:tcPr>
          <w:p>
            <w:pPr>
              <w:spacing w:after="0"/>
              <w:rPr>
                <w:sz w:val="19"/>
                <w:szCs w:val="19"/>
                <w:color w:val="auto"/>
              </w:rPr>
            </w:pPr>
          </w:p>
        </w:tc>
        <w:tc>
          <w:tcPr>
            <w:tcW w:w="9500" w:type="dxa"/>
            <w:vAlign w:val="bottom"/>
            <w:tcBorders>
              <w:top w:val="single" w:sz="8" w:color="0000FF"/>
            </w:tcBorders>
            <w:gridSpan w:val="15"/>
          </w:tcPr>
          <w:p>
            <w:pPr>
              <w:spacing w:after="0"/>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(incorporated by reference to Exhibit 10.2 to the Company’s Quarterly Report on Form 10-Q filed August 10, 2015)*</w:t>
              </w:r>
            </w:hyperlink>
          </w:p>
        </w:tc>
        <w:tc>
          <w:tcPr>
            <w:tcW w:w="1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060" w:type="dxa"/>
            <w:vAlign w:val="bottom"/>
          </w:tcPr>
          <w:p>
            <w:pPr>
              <w:ind w:left="20"/>
              <w:spacing w:after="0"/>
              <w:rPr>
                <w:sz w:val="20"/>
                <w:szCs w:val="20"/>
                <w:color w:val="auto"/>
              </w:rPr>
            </w:pPr>
            <w:r>
              <w:rPr>
                <w:rFonts w:ascii="Arial" w:cs="Arial" w:eastAsia="Arial" w:hAnsi="Arial"/>
                <w:sz w:val="18"/>
                <w:szCs w:val="18"/>
                <w:color w:val="auto"/>
              </w:rPr>
              <w:t>10.10</w:t>
            </w:r>
          </w:p>
        </w:tc>
        <w:tc>
          <w:tcPr>
            <w:tcW w:w="10180" w:type="dxa"/>
            <w:vAlign w:val="bottom"/>
            <w:gridSpan w:val="34"/>
          </w:tcPr>
          <w:p>
            <w:pPr>
              <w:spacing w:after="0"/>
              <w:rPr>
                <w:rFonts w:ascii="Arial" w:cs="Arial" w:eastAsia="Arial" w:hAnsi="Arial"/>
                <w:sz w:val="18"/>
                <w:szCs w:val="18"/>
                <w:color w:val="0000FF"/>
                <w:w w:val="95"/>
              </w:rPr>
            </w:pPr>
            <w:hyperlink r:id="rId87">
              <w:r>
                <w:rPr>
                  <w:rFonts w:ascii="Arial" w:cs="Arial" w:eastAsia="Arial" w:hAnsi="Arial"/>
                  <w:sz w:val="18"/>
                  <w:szCs w:val="18"/>
                  <w:color w:val="0000FF"/>
                  <w:w w:val="95"/>
                </w:rPr>
                <w:t>Amended and Restated 2000 Incentive Bonus Compensation Plan, effective as of June 22, 2017 (incorporated by reference to Exhibit</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62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r:id="rId87">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Company’s Current Report on Form 8-K filed June 23, 2017)*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Arial" w:cs="Arial" w:eastAsia="Arial" w:hAnsi="Arial"/>
                <w:sz w:val="18"/>
                <w:szCs w:val="18"/>
                <w:color w:val="auto"/>
              </w:rPr>
              <w:t>10.11</w:t>
            </w: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60" w:type="dxa"/>
            <w:vAlign w:val="bottom"/>
            <w:vMerge w:val="continue"/>
          </w:tcPr>
          <w:p>
            <w:pPr>
              <w:spacing w:after="0"/>
              <w:rPr>
                <w:sz w:val="24"/>
                <w:szCs w:val="24"/>
                <w:color w:val="auto"/>
              </w:rPr>
            </w:pPr>
          </w:p>
        </w:tc>
        <w:tc>
          <w:tcPr>
            <w:tcW w:w="10180" w:type="dxa"/>
            <w:vAlign w:val="bottom"/>
            <w:gridSpan w:val="34"/>
          </w:tcPr>
          <w:p>
            <w:pPr>
              <w:spacing w:after="0"/>
              <w:rPr>
                <w:rFonts w:ascii="Arial" w:cs="Arial" w:eastAsia="Arial" w:hAnsi="Arial"/>
                <w:sz w:val="18"/>
                <w:szCs w:val="18"/>
                <w:color w:val="0000FF"/>
                <w:w w:val="93"/>
              </w:rPr>
            </w:pPr>
            <w:hyperlink r:id="rId88">
              <w:r>
                <w:rPr>
                  <w:rFonts w:ascii="Arial" w:cs="Arial" w:eastAsia="Arial" w:hAnsi="Arial"/>
                  <w:sz w:val="18"/>
                  <w:szCs w:val="18"/>
                  <w:color w:val="0000FF"/>
                  <w:w w:val="93"/>
                </w:rPr>
                <w:t>Amended and Restated 2000 Incentive Bonus Compensation Plan, effective as of June 25, 2020 (filed as Appendix B to the Registrant's</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776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1"/>
              </w:rPr>
            </w:pPr>
            <w:hyperlink r:id="rId88">
              <w:r>
                <w:rPr>
                  <w:rFonts w:ascii="Arial" w:cs="Arial" w:eastAsia="Arial" w:hAnsi="Arial"/>
                  <w:sz w:val="18"/>
                  <w:szCs w:val="18"/>
                  <w:color w:val="0000FF"/>
                  <w:w w:val="91"/>
                </w:rPr>
                <w:t>Definitive Proxy Statement on Schedule 14A, filed on April 29, 2020 and incorporated by reference herein)</w:t>
              </w:r>
            </w:hyperlink>
          </w:p>
        </w:tc>
        <w:tc>
          <w:tcPr>
            <w:tcW w:w="2040" w:type="dxa"/>
            <w:vAlign w:val="bottom"/>
            <w:tcBorders>
              <w:top w:val="single" w:sz="8" w:color="0000FF"/>
            </w:tcBorders>
            <w:gridSpan w:val="1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8"/>
                <w:szCs w:val="18"/>
                <w:color w:val="auto"/>
              </w:rPr>
              <w:t>10.12</w:t>
            </w:r>
          </w:p>
        </w:tc>
        <w:tc>
          <w:tcPr>
            <w:tcW w:w="10180" w:type="dxa"/>
            <w:vAlign w:val="bottom"/>
            <w:gridSpan w:val="34"/>
          </w:tcPr>
          <w:p>
            <w:pPr>
              <w:spacing w:after="0"/>
              <w:rPr>
                <w:rFonts w:ascii="Arial" w:cs="Arial" w:eastAsia="Arial" w:hAnsi="Arial"/>
                <w:sz w:val="18"/>
                <w:szCs w:val="18"/>
                <w:color w:val="0000FF"/>
                <w:w w:val="92"/>
              </w:rPr>
            </w:pPr>
            <w:hyperlink r:id="rId89">
              <w:r>
                <w:rPr>
                  <w:rFonts w:ascii="Arial" w:cs="Arial" w:eastAsia="Arial" w:hAnsi="Arial"/>
                  <w:sz w:val="18"/>
                  <w:szCs w:val="18"/>
                  <w:color w:val="0000FF"/>
                  <w:w w:val="92"/>
                </w:rPr>
                <w:t>Amended and Restated Employment Agreement, dated September 10, 2015, between the Company and Laurence Winoker (incorporated</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9880" w:type="dxa"/>
            <w:vAlign w:val="bottom"/>
            <w:tcBorders>
              <w:top w:val="single" w:sz="8" w:color="0000FF"/>
            </w:tcBorders>
            <w:gridSpan w:val="29"/>
          </w:tcPr>
          <w:p>
            <w:pPr>
              <w:spacing w:after="0" w:line="182" w:lineRule="exact"/>
              <w:rPr>
                <w:rFonts w:ascii="Arial" w:cs="Arial" w:eastAsia="Arial" w:hAnsi="Arial"/>
                <w:sz w:val="18"/>
                <w:szCs w:val="18"/>
                <w:color w:val="0000FF"/>
              </w:rPr>
            </w:pPr>
            <w:hyperlink r:id="rId89">
              <w:r>
                <w:rPr>
                  <w:rFonts w:ascii="Arial" w:cs="Arial" w:eastAsia="Arial" w:hAnsi="Arial"/>
                  <w:sz w:val="18"/>
                  <w:szCs w:val="18"/>
                  <w:color w:val="0000FF"/>
                </w:rPr>
                <w:t>by reference to Exhibit 10.1 to the Company’s Current Report on Form 8-K filed September 16, 2015)*</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680" w:type="dxa"/>
            <w:vAlign w:val="bottom"/>
            <w:gridSpan w:val="4"/>
            <w:shd w:val="clear" w:color="auto" w:fill="0000FF"/>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Arial" w:cs="Arial" w:eastAsia="Arial" w:hAnsi="Arial"/>
                <w:sz w:val="18"/>
                <w:szCs w:val="18"/>
                <w:color w:val="auto"/>
              </w:rPr>
              <w:t>10.13</w:t>
            </w:r>
          </w:p>
        </w:tc>
        <w:tc>
          <w:tcPr>
            <w:tcW w:w="10180" w:type="dxa"/>
            <w:vAlign w:val="bottom"/>
            <w:gridSpan w:val="34"/>
          </w:tcPr>
          <w:p>
            <w:pPr>
              <w:spacing w:after="0"/>
              <w:rPr>
                <w:rFonts w:ascii="Arial" w:cs="Arial" w:eastAsia="Arial" w:hAnsi="Arial"/>
                <w:sz w:val="18"/>
                <w:szCs w:val="18"/>
                <w:color w:val="0000FF"/>
                <w:w w:val="96"/>
              </w:rPr>
            </w:pPr>
            <w:hyperlink r:id="rId90">
              <w:r>
                <w:rPr>
                  <w:rFonts w:ascii="Arial" w:cs="Arial" w:eastAsia="Arial" w:hAnsi="Arial"/>
                  <w:sz w:val="18"/>
                  <w:szCs w:val="18"/>
                  <w:color w:val="0000FF"/>
                  <w:w w:val="96"/>
                </w:rPr>
                <w:t>Amendment to the Amended and Restated Employment Agreement, dated November 8, 2017, between the Company and Laurence</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520" w:type="dxa"/>
            <w:vAlign w:val="bottom"/>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10180" w:type="dxa"/>
            <w:vAlign w:val="bottom"/>
            <w:gridSpan w:val="34"/>
          </w:tcPr>
          <w:p>
            <w:pPr>
              <w:spacing w:after="0" w:line="169" w:lineRule="exact"/>
              <w:rPr>
                <w:rFonts w:ascii="Arial" w:cs="Arial" w:eastAsia="Arial" w:hAnsi="Arial"/>
                <w:sz w:val="18"/>
                <w:szCs w:val="18"/>
                <w:color w:val="0000FF"/>
                <w:w w:val="95"/>
              </w:rPr>
            </w:pPr>
            <w:hyperlink r:id="rId90">
              <w:r>
                <w:rPr>
                  <w:rFonts w:ascii="Arial" w:cs="Arial" w:eastAsia="Arial" w:hAnsi="Arial"/>
                  <w:sz w:val="18"/>
                  <w:szCs w:val="18"/>
                  <w:color w:val="0000FF"/>
                  <w:w w:val="95"/>
                </w:rPr>
                <w:t>Winoker (incorporated by reference to Exhibit 10.3 to the Company’s Quarterly Report on Form 10-Q for the quarter ended September</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78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1"/>
              </w:rPr>
            </w:pPr>
            <w:hyperlink r:id="rId90">
              <w:r>
                <w:rPr>
                  <w:rFonts w:ascii="Arial" w:cs="Arial" w:eastAsia="Arial" w:hAnsi="Arial"/>
                  <w:sz w:val="18"/>
                  <w:szCs w:val="18"/>
                  <w:color w:val="0000FF"/>
                  <w:w w:val="91"/>
                </w:rPr>
                <w:t>30, 2017)*</w:t>
              </w:r>
            </w:hyperlink>
          </w:p>
        </w:tc>
        <w:tc>
          <w:tcPr>
            <w:tcW w:w="28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27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10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60" w:type="dxa"/>
            <w:vAlign w:val="bottom"/>
          </w:tcPr>
          <w:p>
            <w:pPr>
              <w:ind w:left="20"/>
              <w:spacing w:after="0"/>
              <w:rPr>
                <w:sz w:val="20"/>
                <w:szCs w:val="20"/>
                <w:color w:val="auto"/>
              </w:rPr>
            </w:pPr>
            <w:r>
              <w:rPr>
                <w:rFonts w:ascii="Arial" w:cs="Arial" w:eastAsia="Arial" w:hAnsi="Arial"/>
                <w:sz w:val="18"/>
                <w:szCs w:val="18"/>
                <w:color w:val="auto"/>
              </w:rPr>
              <w:t>10.14</w:t>
            </w:r>
          </w:p>
        </w:tc>
        <w:tc>
          <w:tcPr>
            <w:tcW w:w="9300" w:type="dxa"/>
            <w:vAlign w:val="bottom"/>
            <w:tcBorders>
              <w:bottom w:val="single" w:sz="8" w:color="0000FF"/>
            </w:tcBorders>
            <w:gridSpan w:val="13"/>
          </w:tcPr>
          <w:p>
            <w:pPr>
              <w:spacing w:after="0"/>
              <w:rPr>
                <w:rFonts w:ascii="Arial" w:cs="Arial" w:eastAsia="Arial" w:hAnsi="Arial"/>
                <w:sz w:val="18"/>
                <w:szCs w:val="18"/>
                <w:color w:val="0000FF"/>
                <w:w w:val="91"/>
              </w:rPr>
            </w:pPr>
            <w:hyperlink r:id="rId91">
              <w:r>
                <w:rPr>
                  <w:rFonts w:ascii="Arial" w:cs="Arial" w:eastAsia="Arial" w:hAnsi="Arial"/>
                  <w:sz w:val="18"/>
                  <w:szCs w:val="18"/>
                  <w:color w:val="0000FF"/>
                  <w:w w:val="91"/>
                </w:rPr>
                <w:t>Letter Agreement Amending and Supplementing Employment Agreement between Lifetime Brands, Inc. and Laurence Winoker,</w:t>
              </w:r>
            </w:hyperlink>
          </w:p>
        </w:tc>
        <w:tc>
          <w:tcPr>
            <w:tcW w:w="88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180" w:type="dxa"/>
            <w:vAlign w:val="bottom"/>
            <w:gridSpan w:val="34"/>
          </w:tcPr>
          <w:p>
            <w:pPr>
              <w:spacing w:after="0" w:line="156" w:lineRule="exact"/>
              <w:rPr>
                <w:rFonts w:ascii="Arial" w:cs="Arial" w:eastAsia="Arial" w:hAnsi="Arial"/>
                <w:sz w:val="18"/>
                <w:szCs w:val="18"/>
                <w:color w:val="0000FF"/>
                <w:w w:val="98"/>
              </w:rPr>
            </w:pPr>
            <w:hyperlink r:id="rId91">
              <w:r>
                <w:rPr>
                  <w:rFonts w:ascii="Arial" w:cs="Arial" w:eastAsia="Arial" w:hAnsi="Arial"/>
                  <w:sz w:val="18"/>
                  <w:szCs w:val="18"/>
                  <w:color w:val="0000FF"/>
                  <w:w w:val="98"/>
                </w:rPr>
                <w:t xml:space="preserve">effective April 13, 2020 </w:t>
              </w:r>
              <w:r>
                <w:rPr>
                  <w:rFonts w:ascii="Arial" w:cs="Arial" w:eastAsia="Arial" w:hAnsi="Arial"/>
                  <w:sz w:val="18"/>
                  <w:szCs w:val="18"/>
                  <w:color w:val="000000"/>
                  <w:w w:val="98"/>
                </w:rPr>
                <w:t xml:space="preserve">(incorporated by reference to Exhibit 10.4 to the Company's Quarterly Report on Form 10-Q for the </w:t>
              </w:r>
            </w:hyperlink>
            <w:r>
              <w:rPr>
                <w:rFonts w:ascii="Arial" w:cs="Arial" w:eastAsia="Arial" w:hAnsi="Arial"/>
                <w:sz w:val="18"/>
                <w:szCs w:val="18"/>
                <w:color w:val="0000FF"/>
                <w:w w:val="98"/>
              </w:rPr>
              <w:t>quarter</w:t>
            </w:r>
          </w:p>
        </w:tc>
        <w:tc>
          <w:tcPr>
            <w:tcW w:w="0" w:type="dxa"/>
            <w:vAlign w:val="bottom"/>
          </w:tcPr>
          <w:p>
            <w:pPr>
              <w:spacing w:after="0"/>
              <w:rPr>
                <w:sz w:val="1"/>
                <w:szCs w:val="1"/>
                <w:color w:val="auto"/>
              </w:rPr>
            </w:pPr>
          </w:p>
        </w:tc>
      </w:tr>
      <w:tr>
        <w:trPr>
          <w:trHeight w:val="224"/>
        </w:trPr>
        <w:tc>
          <w:tcPr>
            <w:tcW w:w="1060" w:type="dxa"/>
            <w:vAlign w:val="bottom"/>
          </w:tcPr>
          <w:p>
            <w:pPr>
              <w:spacing w:after="0"/>
              <w:rPr>
                <w:sz w:val="19"/>
                <w:szCs w:val="19"/>
                <w:color w:val="auto"/>
              </w:rPr>
            </w:pPr>
          </w:p>
        </w:tc>
        <w:tc>
          <w:tcPr>
            <w:tcW w:w="174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w w:val="92"/>
              </w:rPr>
              <w:t>ended March 31, 2020)</w:t>
            </w:r>
          </w:p>
        </w:tc>
        <w:tc>
          <w:tcPr>
            <w:tcW w:w="270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4860" w:type="dxa"/>
            <w:vAlign w:val="bottom"/>
            <w:gridSpan w:val="1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060" w:type="dxa"/>
            <w:vAlign w:val="bottom"/>
          </w:tcPr>
          <w:p>
            <w:pPr>
              <w:ind w:left="20"/>
              <w:spacing w:after="0"/>
              <w:rPr>
                <w:sz w:val="20"/>
                <w:szCs w:val="20"/>
                <w:color w:val="auto"/>
              </w:rPr>
            </w:pPr>
            <w:r>
              <w:rPr>
                <w:rFonts w:ascii="Arial" w:cs="Arial" w:eastAsia="Arial" w:hAnsi="Arial"/>
                <w:sz w:val="18"/>
                <w:szCs w:val="18"/>
                <w:color w:val="auto"/>
              </w:rPr>
              <w:t>10.15</w:t>
            </w:r>
          </w:p>
        </w:tc>
        <w:tc>
          <w:tcPr>
            <w:tcW w:w="9660" w:type="dxa"/>
            <w:vAlign w:val="bottom"/>
            <w:tcBorders>
              <w:bottom w:val="single" w:sz="8" w:color="0000FF"/>
            </w:tcBorders>
            <w:gridSpan w:val="19"/>
          </w:tcPr>
          <w:p>
            <w:pPr>
              <w:spacing w:after="0"/>
              <w:rPr>
                <w:rFonts w:ascii="Arial" w:cs="Arial" w:eastAsia="Arial" w:hAnsi="Arial"/>
                <w:sz w:val="18"/>
                <w:szCs w:val="18"/>
                <w:color w:val="0000FF"/>
                <w:w w:val="90"/>
              </w:rPr>
            </w:pPr>
            <w:hyperlink r:id="rId92">
              <w:r>
                <w:rPr>
                  <w:rFonts w:ascii="Arial" w:cs="Arial" w:eastAsia="Arial" w:hAnsi="Arial"/>
                  <w:sz w:val="18"/>
                  <w:szCs w:val="18"/>
                  <w:color w:val="0000FF"/>
                  <w:w w:val="90"/>
                </w:rPr>
                <w:t>Amendment No. 1 dated September 5, 2007 to the Shares Subscription Agreement by and among the Company, Ekco, S.A.B. and Mr.</w:t>
              </w:r>
            </w:hyperlink>
          </w:p>
        </w:tc>
        <w:tc>
          <w:tcPr>
            <w:tcW w:w="5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180" w:type="dxa"/>
            <w:vAlign w:val="bottom"/>
            <w:gridSpan w:val="34"/>
          </w:tcPr>
          <w:p>
            <w:pPr>
              <w:spacing w:after="0" w:line="182" w:lineRule="exact"/>
              <w:rPr>
                <w:rFonts w:ascii="Arial" w:cs="Arial" w:eastAsia="Arial" w:hAnsi="Arial"/>
                <w:sz w:val="18"/>
                <w:szCs w:val="18"/>
                <w:color w:val="0000FF"/>
                <w:w w:val="94"/>
              </w:rPr>
            </w:pPr>
            <w:hyperlink r:id="rId92">
              <w:r>
                <w:rPr>
                  <w:rFonts w:ascii="Arial" w:cs="Arial" w:eastAsia="Arial" w:hAnsi="Arial"/>
                  <w:sz w:val="18"/>
                  <w:szCs w:val="18"/>
                  <w:color w:val="0000FF"/>
                  <w:w w:val="94"/>
                </w:rPr>
                <w:t>José Ramón Elizondo Anaya and Mr. Miguel Ángel Huerta Pando (incorporated by reference to Exhibit 10.17 to the Company’s Annual</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444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0"/>
              </w:rPr>
            </w:pPr>
            <w:hyperlink r:id="rId92">
              <w:r>
                <w:rPr>
                  <w:rFonts w:ascii="Arial" w:cs="Arial" w:eastAsia="Arial" w:hAnsi="Arial"/>
                  <w:sz w:val="18"/>
                  <w:szCs w:val="18"/>
                  <w:color w:val="0000FF"/>
                  <w:w w:val="90"/>
                </w:rPr>
                <w:t>Report on Form 10-K for the year ended December 31, 2008)</w:t>
              </w:r>
            </w:hyperlink>
          </w:p>
        </w:tc>
        <w:tc>
          <w:tcPr>
            <w:tcW w:w="5400" w:type="dxa"/>
            <w:vAlign w:val="bottom"/>
            <w:tcBorders>
              <w:top w:val="single" w:sz="8" w:color="0000FF"/>
            </w:tcBorders>
            <w:gridSpan w:val="2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060" w:type="dxa"/>
            <w:vAlign w:val="bottom"/>
          </w:tcPr>
          <w:p>
            <w:pPr>
              <w:ind w:left="20"/>
              <w:spacing w:after="0"/>
              <w:rPr>
                <w:sz w:val="20"/>
                <w:szCs w:val="20"/>
                <w:color w:val="auto"/>
              </w:rPr>
            </w:pPr>
            <w:r>
              <w:rPr>
                <w:rFonts w:ascii="Arial" w:cs="Arial" w:eastAsia="Arial" w:hAnsi="Arial"/>
                <w:sz w:val="18"/>
                <w:szCs w:val="18"/>
                <w:color w:val="auto"/>
              </w:rPr>
              <w:t>10.16</w:t>
            </w:r>
          </w:p>
        </w:tc>
        <w:tc>
          <w:tcPr>
            <w:tcW w:w="10180" w:type="dxa"/>
            <w:vAlign w:val="bottom"/>
            <w:gridSpan w:val="34"/>
          </w:tcPr>
          <w:p>
            <w:pPr>
              <w:spacing w:after="0"/>
              <w:rPr>
                <w:rFonts w:ascii="Arial" w:cs="Arial" w:eastAsia="Arial" w:hAnsi="Arial"/>
                <w:sz w:val="18"/>
                <w:szCs w:val="18"/>
                <w:color w:val="0000FF"/>
                <w:w w:val="94"/>
              </w:rPr>
            </w:pPr>
            <w:hyperlink r:id="rId93">
              <w:r>
                <w:rPr>
                  <w:rFonts w:ascii="Arial" w:cs="Arial" w:eastAsia="Arial" w:hAnsi="Arial"/>
                  <w:sz w:val="18"/>
                  <w:szCs w:val="18"/>
                  <w:color w:val="0000FF"/>
                  <w:w w:val="94"/>
                </w:rPr>
                <w:t>Shares Subscription Agreement by and among the Company, Ekco, S.A.B. and Mr. José Ramón Elizondo Anaya and Mr. Miguel Ángel</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780" w:type="dxa"/>
            <w:vAlign w:val="bottom"/>
            <w:tcBorders>
              <w:top w:val="single" w:sz="8" w:color="0000FF"/>
            </w:tcBorders>
            <w:gridSpan w:val="24"/>
          </w:tcPr>
          <w:p>
            <w:pPr>
              <w:spacing w:after="0" w:line="169" w:lineRule="exact"/>
              <w:rPr>
                <w:rFonts w:ascii="Arial" w:cs="Arial" w:eastAsia="Arial" w:hAnsi="Arial"/>
                <w:sz w:val="18"/>
                <w:szCs w:val="18"/>
                <w:color w:val="0000FF"/>
                <w:w w:val="91"/>
              </w:rPr>
            </w:pPr>
            <w:hyperlink r:id="rId93">
              <w:r>
                <w:rPr>
                  <w:rFonts w:ascii="Arial" w:cs="Arial" w:eastAsia="Arial" w:hAnsi="Arial"/>
                  <w:sz w:val="18"/>
                  <w:szCs w:val="18"/>
                  <w:color w:val="0000FF"/>
                  <w:w w:val="91"/>
                </w:rPr>
                <w:t>Huerta Pando, dated as of June 8, 2007 (incorporated by reference to Exhibit 99.1 to the Company’s Current Report on Form 8-K filed</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70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r:id="rId93">
              <w:r>
                <w:rPr>
                  <w:rFonts w:ascii="Arial" w:cs="Arial" w:eastAsia="Arial" w:hAnsi="Arial"/>
                  <w:sz w:val="18"/>
                  <w:szCs w:val="18"/>
                  <w:color w:val="0000FF"/>
                </w:rPr>
                <w:t>June 11, 2007)</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Arial" w:cs="Arial" w:eastAsia="Arial" w:hAnsi="Arial"/>
                <w:sz w:val="18"/>
                <w:szCs w:val="18"/>
                <w:color w:val="auto"/>
              </w:rPr>
              <w:t>10.17</w:t>
            </w:r>
          </w:p>
        </w:tc>
        <w:tc>
          <w:tcPr>
            <w:tcW w:w="1060" w:type="dxa"/>
            <w:vAlign w:val="bottom"/>
            <w:gridSpan w:val="2"/>
            <w:shd w:val="clear" w:color="auto" w:fill="0000FF"/>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4860" w:type="dxa"/>
            <w:vAlign w:val="bottom"/>
            <w:gridSpan w:val="1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60" w:type="dxa"/>
            <w:vAlign w:val="bottom"/>
            <w:vMerge w:val="continue"/>
          </w:tcPr>
          <w:p>
            <w:pPr>
              <w:spacing w:after="0"/>
              <w:rPr>
                <w:sz w:val="24"/>
                <w:szCs w:val="24"/>
                <w:color w:val="auto"/>
              </w:rPr>
            </w:pPr>
          </w:p>
        </w:tc>
        <w:tc>
          <w:tcPr>
            <w:tcW w:w="9660" w:type="dxa"/>
            <w:vAlign w:val="bottom"/>
            <w:tcBorders>
              <w:bottom w:val="single" w:sz="8" w:color="0000FF"/>
            </w:tcBorders>
            <w:gridSpan w:val="19"/>
          </w:tcPr>
          <w:p>
            <w:pPr>
              <w:spacing w:after="0"/>
              <w:rPr>
                <w:rFonts w:ascii="Arial" w:cs="Arial" w:eastAsia="Arial" w:hAnsi="Arial"/>
                <w:sz w:val="18"/>
                <w:szCs w:val="18"/>
                <w:color w:val="0000FF"/>
                <w:w w:val="90"/>
              </w:rPr>
            </w:pPr>
            <w:hyperlink r:id="rId94">
              <w:r>
                <w:rPr>
                  <w:rFonts w:ascii="Arial" w:cs="Arial" w:eastAsia="Arial" w:hAnsi="Arial"/>
                  <w:sz w:val="18"/>
                  <w:szCs w:val="18"/>
                  <w:color w:val="0000FF"/>
                  <w:w w:val="90"/>
                </w:rPr>
                <w:t>Amendment No. 1 dated September 5, 2007 to the Shares Subscription Agreement by and among the Company, Ekco, S.A.B. and Mr.</w:t>
              </w:r>
            </w:hyperlink>
          </w:p>
        </w:tc>
        <w:tc>
          <w:tcPr>
            <w:tcW w:w="5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180" w:type="dxa"/>
            <w:vAlign w:val="bottom"/>
            <w:gridSpan w:val="34"/>
          </w:tcPr>
          <w:p>
            <w:pPr>
              <w:spacing w:after="0" w:line="182" w:lineRule="exact"/>
              <w:rPr>
                <w:rFonts w:ascii="Arial" w:cs="Arial" w:eastAsia="Arial" w:hAnsi="Arial"/>
                <w:sz w:val="18"/>
                <w:szCs w:val="18"/>
                <w:color w:val="0000FF"/>
                <w:w w:val="94"/>
              </w:rPr>
            </w:pPr>
            <w:hyperlink r:id="rId94">
              <w:r>
                <w:rPr>
                  <w:rFonts w:ascii="Arial" w:cs="Arial" w:eastAsia="Arial" w:hAnsi="Arial"/>
                  <w:sz w:val="18"/>
                  <w:szCs w:val="18"/>
                  <w:color w:val="0000FF"/>
                  <w:w w:val="94"/>
                </w:rPr>
                <w:t>José Ramón Elizondo Anaya and Mr. Miguel Ángel Huerta Pando (incorporated by reference to Exhibit 10.17 to the Company’s Annual</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444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0"/>
              </w:rPr>
            </w:pPr>
            <w:hyperlink r:id="rId94">
              <w:r>
                <w:rPr>
                  <w:rFonts w:ascii="Arial" w:cs="Arial" w:eastAsia="Arial" w:hAnsi="Arial"/>
                  <w:sz w:val="18"/>
                  <w:szCs w:val="18"/>
                  <w:color w:val="0000FF"/>
                  <w:w w:val="90"/>
                </w:rPr>
                <w:t>Report on Form 10-K for the year ended December 31, 2008)</w:t>
              </w:r>
            </w:hyperlink>
          </w:p>
        </w:tc>
        <w:tc>
          <w:tcPr>
            <w:tcW w:w="5400" w:type="dxa"/>
            <w:vAlign w:val="bottom"/>
            <w:tcBorders>
              <w:top w:val="single" w:sz="8" w:color="0000FF"/>
            </w:tcBorders>
            <w:gridSpan w:val="2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8"/>
                <w:szCs w:val="18"/>
                <w:color w:val="auto"/>
              </w:rPr>
              <w:t>10.18</w:t>
            </w:r>
          </w:p>
        </w:tc>
        <w:tc>
          <w:tcPr>
            <w:tcW w:w="10180" w:type="dxa"/>
            <w:vAlign w:val="bottom"/>
            <w:gridSpan w:val="34"/>
          </w:tcPr>
          <w:p>
            <w:pPr>
              <w:spacing w:after="0"/>
              <w:rPr>
                <w:rFonts w:ascii="Arial" w:cs="Arial" w:eastAsia="Arial" w:hAnsi="Arial"/>
                <w:sz w:val="18"/>
                <w:szCs w:val="18"/>
                <w:color w:val="0000FF"/>
                <w:w w:val="94"/>
              </w:rPr>
            </w:pPr>
            <w:hyperlink r:id="rId95">
              <w:r>
                <w:rPr>
                  <w:rFonts w:ascii="Arial" w:cs="Arial" w:eastAsia="Arial" w:hAnsi="Arial"/>
                  <w:sz w:val="18"/>
                  <w:szCs w:val="18"/>
                  <w:color w:val="0000FF"/>
                  <w:w w:val="94"/>
                </w:rPr>
                <w:t>Amendment No. 2 dated September 25, 2008 to the Shares Subscription Agreement by and among the Company, Ekco, S.A.B. and Mr.</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9760" w:type="dxa"/>
            <w:vAlign w:val="bottom"/>
            <w:tcBorders>
              <w:top w:val="single" w:sz="8" w:color="0000FF"/>
            </w:tcBorders>
            <w:gridSpan w:val="23"/>
          </w:tcPr>
          <w:p>
            <w:pPr>
              <w:spacing w:after="0" w:line="182" w:lineRule="exact"/>
              <w:rPr>
                <w:rFonts w:ascii="Arial" w:cs="Arial" w:eastAsia="Arial" w:hAnsi="Arial"/>
                <w:sz w:val="18"/>
                <w:szCs w:val="18"/>
                <w:color w:val="0000FF"/>
                <w:w w:val="90"/>
              </w:rPr>
            </w:pPr>
            <w:hyperlink r:id="rId95">
              <w:r>
                <w:rPr>
                  <w:rFonts w:ascii="Arial" w:cs="Arial" w:eastAsia="Arial" w:hAnsi="Arial"/>
                  <w:sz w:val="18"/>
                  <w:szCs w:val="18"/>
                  <w:color w:val="0000FF"/>
                  <w:w w:val="90"/>
                </w:rPr>
                <w:t>José Ramón Elizondo Anaya and Mr. Miguel Ángel Huerta Pando (incorporated by reference to Exhibit 10.21 to the Company’s Annual</w:t>
              </w:r>
            </w:hyperlink>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444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0"/>
              </w:rPr>
            </w:pPr>
            <w:hyperlink r:id="rId95">
              <w:r>
                <w:rPr>
                  <w:rFonts w:ascii="Arial" w:cs="Arial" w:eastAsia="Arial" w:hAnsi="Arial"/>
                  <w:sz w:val="18"/>
                  <w:szCs w:val="18"/>
                  <w:color w:val="0000FF"/>
                  <w:w w:val="90"/>
                </w:rPr>
                <w:t>Report on Form 10-K for the year ended December 31, 2008)</w:t>
              </w:r>
            </w:hyperlink>
          </w:p>
        </w:tc>
        <w:tc>
          <w:tcPr>
            <w:tcW w:w="5400" w:type="dxa"/>
            <w:vAlign w:val="bottom"/>
            <w:tcBorders>
              <w:top w:val="single" w:sz="8" w:color="0000FF"/>
            </w:tcBorders>
            <w:gridSpan w:val="2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60" w:type="dxa"/>
            <w:vAlign w:val="bottom"/>
          </w:tcPr>
          <w:p>
            <w:pPr>
              <w:ind w:left="20"/>
              <w:spacing w:after="0"/>
              <w:rPr>
                <w:sz w:val="20"/>
                <w:szCs w:val="20"/>
                <w:color w:val="auto"/>
              </w:rPr>
            </w:pPr>
            <w:r>
              <w:rPr>
                <w:rFonts w:ascii="Arial" w:cs="Arial" w:eastAsia="Arial" w:hAnsi="Arial"/>
                <w:sz w:val="18"/>
                <w:szCs w:val="18"/>
                <w:color w:val="auto"/>
              </w:rPr>
              <w:t>10.19</w:t>
            </w:r>
          </w:p>
        </w:tc>
        <w:tc>
          <w:tcPr>
            <w:tcW w:w="10180" w:type="dxa"/>
            <w:vAlign w:val="bottom"/>
            <w:gridSpan w:val="34"/>
          </w:tcPr>
          <w:p>
            <w:pPr>
              <w:spacing w:after="0"/>
              <w:rPr>
                <w:rFonts w:ascii="Arial" w:cs="Arial" w:eastAsia="Arial" w:hAnsi="Arial"/>
                <w:sz w:val="18"/>
                <w:szCs w:val="18"/>
                <w:color w:val="0000FF"/>
                <w:w w:val="93"/>
              </w:rPr>
            </w:pPr>
            <w:hyperlink r:id="rId96">
              <w:r>
                <w:rPr>
                  <w:rFonts w:ascii="Arial" w:cs="Arial" w:eastAsia="Arial" w:hAnsi="Arial"/>
                  <w:sz w:val="18"/>
                  <w:szCs w:val="18"/>
                  <w:color w:val="0000FF"/>
                  <w:w w:val="93"/>
                </w:rPr>
                <w:t>Asset Purchase Agreement between Mikasa, Inc. and the Company, dated as of June 6, 2008 (incorporated by reference to Exhibit 99.1</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974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96">
              <w:r>
                <w:rPr>
                  <w:rFonts w:ascii="Arial" w:cs="Arial" w:eastAsia="Arial" w:hAnsi="Arial"/>
                  <w:sz w:val="18"/>
                  <w:szCs w:val="18"/>
                  <w:color w:val="0000FF"/>
                </w:rPr>
                <w:t>to the Company’s Form 10-Q for the quarter ended June 30, 2008)</w:t>
              </w:r>
            </w:hyperlink>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Arial" w:cs="Arial" w:eastAsia="Arial" w:hAnsi="Arial"/>
                <w:sz w:val="18"/>
                <w:szCs w:val="18"/>
                <w:color w:val="auto"/>
              </w:rPr>
              <w:t>10.20</w:t>
            </w:r>
          </w:p>
        </w:tc>
        <w:tc>
          <w:tcPr>
            <w:tcW w:w="4780" w:type="dxa"/>
            <w:vAlign w:val="bottom"/>
            <w:gridSpan w:val="6"/>
            <w:shd w:val="clear" w:color="auto" w:fill="0000FF"/>
          </w:tcPr>
          <w:p>
            <w:pPr>
              <w:spacing w:after="0" w:line="20" w:lineRule="exact"/>
              <w:rPr>
                <w:sz w:val="1"/>
                <w:szCs w:val="1"/>
                <w:color w:val="auto"/>
              </w:rPr>
            </w:pPr>
          </w:p>
        </w:tc>
        <w:tc>
          <w:tcPr>
            <w:tcW w:w="4860" w:type="dxa"/>
            <w:vAlign w:val="bottom"/>
            <w:gridSpan w:val="12"/>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60" w:type="dxa"/>
            <w:vAlign w:val="bottom"/>
            <w:vMerge w:val="continue"/>
          </w:tcPr>
          <w:p>
            <w:pPr>
              <w:spacing w:after="0"/>
              <w:rPr>
                <w:sz w:val="24"/>
                <w:szCs w:val="24"/>
                <w:color w:val="auto"/>
              </w:rPr>
            </w:pPr>
          </w:p>
        </w:tc>
        <w:tc>
          <w:tcPr>
            <w:tcW w:w="10180" w:type="dxa"/>
            <w:vAlign w:val="bottom"/>
            <w:gridSpan w:val="34"/>
          </w:tcPr>
          <w:p>
            <w:pPr>
              <w:spacing w:after="0"/>
              <w:rPr>
                <w:rFonts w:ascii="Arial" w:cs="Arial" w:eastAsia="Arial" w:hAnsi="Arial"/>
                <w:sz w:val="18"/>
                <w:szCs w:val="18"/>
                <w:color w:val="0000FF"/>
                <w:w w:val="92"/>
              </w:rPr>
            </w:pPr>
            <w:hyperlink r:id="rId97">
              <w:r>
                <w:rPr>
                  <w:rFonts w:ascii="Arial" w:cs="Arial" w:eastAsia="Arial" w:hAnsi="Arial"/>
                  <w:sz w:val="18"/>
                  <w:szCs w:val="18"/>
                  <w:color w:val="0000FF"/>
                  <w:w w:val="92"/>
                </w:rPr>
                <w:t>Share Purchase Agreement, dated November 4, 2011, by and among the Company and Creative Tops Holding Limited and Creative Tops</w:t>
              </w:r>
            </w:hyperlink>
          </w:p>
        </w:tc>
        <w:tc>
          <w:tcPr>
            <w:tcW w:w="0" w:type="dxa"/>
            <w:vAlign w:val="bottom"/>
          </w:tcPr>
          <w:p>
            <w:pPr>
              <w:spacing w:after="0"/>
              <w:rPr>
                <w:sz w:val="1"/>
                <w:szCs w:val="1"/>
                <w:color w:val="auto"/>
              </w:rPr>
            </w:pPr>
          </w:p>
        </w:tc>
      </w:tr>
      <w:tr>
        <w:trPr>
          <w:trHeight w:val="224"/>
        </w:trPr>
        <w:tc>
          <w:tcPr>
            <w:tcW w:w="1060" w:type="dxa"/>
            <w:vAlign w:val="bottom"/>
          </w:tcPr>
          <w:p>
            <w:pPr>
              <w:spacing w:after="0"/>
              <w:rPr>
                <w:sz w:val="19"/>
                <w:szCs w:val="19"/>
                <w:color w:val="auto"/>
              </w:rPr>
            </w:pPr>
          </w:p>
        </w:tc>
        <w:tc>
          <w:tcPr>
            <w:tcW w:w="9960" w:type="dxa"/>
            <w:vAlign w:val="bottom"/>
            <w:tcBorders>
              <w:top w:val="single" w:sz="8" w:color="0000FF"/>
            </w:tcBorders>
            <w:gridSpan w:val="33"/>
          </w:tcPr>
          <w:p>
            <w:pPr>
              <w:spacing w:after="0"/>
              <w:rPr>
                <w:rFonts w:ascii="Arial" w:cs="Arial" w:eastAsia="Arial" w:hAnsi="Arial"/>
                <w:sz w:val="18"/>
                <w:szCs w:val="18"/>
                <w:u w:val="single" w:color="auto"/>
                <w:color w:val="0000FF"/>
                <w:w w:val="95"/>
              </w:rPr>
            </w:pPr>
            <w:hyperlink r:id="rId97">
              <w:r>
                <w:rPr>
                  <w:rFonts w:ascii="Arial" w:cs="Arial" w:eastAsia="Arial" w:hAnsi="Arial"/>
                  <w:sz w:val="18"/>
                  <w:szCs w:val="18"/>
                  <w:u w:val="single" w:color="auto"/>
                  <w:color w:val="0000FF"/>
                  <w:w w:val="95"/>
                </w:rPr>
                <w:t>Far East Limited (incorporated by reference to Exhibit 99.2 to the Company’s Current Report on Form 8-K filed November 8, 2011)</w:t>
              </w:r>
            </w:hyperlink>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060" w:type="dxa"/>
            <w:vAlign w:val="bottom"/>
          </w:tcPr>
          <w:p>
            <w:pPr>
              <w:ind w:left="20"/>
              <w:spacing w:after="0"/>
              <w:rPr>
                <w:sz w:val="20"/>
                <w:szCs w:val="20"/>
                <w:color w:val="auto"/>
              </w:rPr>
            </w:pPr>
            <w:r>
              <w:rPr>
                <w:rFonts w:ascii="Arial" w:cs="Arial" w:eastAsia="Arial" w:hAnsi="Arial"/>
                <w:sz w:val="18"/>
                <w:szCs w:val="18"/>
                <w:color w:val="auto"/>
              </w:rPr>
              <w:t>10.21</w:t>
            </w:r>
          </w:p>
        </w:tc>
        <w:tc>
          <w:tcPr>
            <w:tcW w:w="10180" w:type="dxa"/>
            <w:vAlign w:val="bottom"/>
            <w:gridSpan w:val="34"/>
          </w:tcPr>
          <w:p>
            <w:pPr>
              <w:spacing w:after="0"/>
              <w:rPr>
                <w:rFonts w:ascii="Arial" w:cs="Arial" w:eastAsia="Arial" w:hAnsi="Arial"/>
                <w:sz w:val="18"/>
                <w:szCs w:val="18"/>
                <w:color w:val="0000FF"/>
                <w:w w:val="94"/>
              </w:rPr>
            </w:pPr>
            <w:hyperlink r:id="rId98">
              <w:r>
                <w:rPr>
                  <w:rFonts w:ascii="Arial" w:cs="Arial" w:eastAsia="Arial" w:hAnsi="Arial"/>
                  <w:sz w:val="18"/>
                  <w:szCs w:val="18"/>
                  <w:color w:val="0000FF"/>
                  <w:w w:val="94"/>
                </w:rPr>
                <w:t>Senior Secured Credit Agreement, dated as of July 27, 2012, by and among the Company, the Subsidiary Guarantors, the Lenders and</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9640" w:type="dxa"/>
            <w:vAlign w:val="bottom"/>
            <w:gridSpan w:val="18"/>
            <w:shd w:val="clear" w:color="auto" w:fill="0000FF"/>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10180" w:type="dxa"/>
            <w:vAlign w:val="bottom"/>
            <w:gridSpan w:val="34"/>
          </w:tcPr>
          <w:p>
            <w:pPr>
              <w:spacing w:after="0" w:line="169" w:lineRule="exact"/>
              <w:rPr>
                <w:rFonts w:ascii="Arial" w:cs="Arial" w:eastAsia="Arial" w:hAnsi="Arial"/>
                <w:sz w:val="18"/>
                <w:szCs w:val="18"/>
                <w:color w:val="0000FF"/>
                <w:w w:val="94"/>
              </w:rPr>
            </w:pPr>
            <w:hyperlink r:id="rId98">
              <w:r>
                <w:rPr>
                  <w:rFonts w:ascii="Arial" w:cs="Arial" w:eastAsia="Arial" w:hAnsi="Arial"/>
                  <w:sz w:val="18"/>
                  <w:szCs w:val="18"/>
                  <w:color w:val="0000FF"/>
                  <w:w w:val="94"/>
                </w:rPr>
                <w:t>JPMorgan Chase Bank, N.A., as Administrative Agent and Collateral Agent (incorporated by reference to Exhibit 10.6 to the Company’s</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920" w:type="dxa"/>
            <w:vAlign w:val="bottom"/>
            <w:tcBorders>
              <w:top w:val="single" w:sz="8" w:color="0000FF"/>
            </w:tcBorders>
            <w:gridSpan w:val="31"/>
          </w:tcPr>
          <w:p>
            <w:pPr>
              <w:spacing w:after="0" w:line="169" w:lineRule="exact"/>
              <w:rPr>
                <w:rFonts w:ascii="Arial" w:cs="Arial" w:eastAsia="Arial" w:hAnsi="Arial"/>
                <w:sz w:val="18"/>
                <w:szCs w:val="18"/>
                <w:color w:val="0000FF"/>
              </w:rPr>
            </w:pPr>
            <w:hyperlink r:id="rId98">
              <w:r>
                <w:rPr>
                  <w:rFonts w:ascii="Arial" w:cs="Arial" w:eastAsia="Arial" w:hAnsi="Arial"/>
                  <w:sz w:val="18"/>
                  <w:szCs w:val="18"/>
                  <w:color w:val="0000FF"/>
                </w:rPr>
                <w:t>Quarterly Report on Form 10-Q for the quarter ended September 30, 2013)</w:t>
              </w:r>
            </w:hyperlink>
          </w:p>
        </w:tc>
        <w:tc>
          <w:tcPr>
            <w:tcW w:w="2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Arial" w:cs="Arial" w:eastAsia="Arial" w:hAnsi="Arial"/>
                <w:sz w:val="18"/>
                <w:szCs w:val="18"/>
                <w:color w:val="auto"/>
              </w:rPr>
              <w:t>10.22</w:t>
            </w:r>
          </w:p>
        </w:tc>
        <w:tc>
          <w:tcPr>
            <w:tcW w:w="5400" w:type="dxa"/>
            <w:vAlign w:val="bottom"/>
            <w:gridSpan w:val="8"/>
            <w:shd w:val="clear" w:color="auto" w:fill="0000FF"/>
          </w:tcPr>
          <w:p>
            <w:pPr>
              <w:spacing w:after="0" w:line="20" w:lineRule="exact"/>
              <w:rPr>
                <w:sz w:val="1"/>
                <w:szCs w:val="1"/>
                <w:color w:val="auto"/>
              </w:rPr>
            </w:pPr>
          </w:p>
        </w:tc>
        <w:tc>
          <w:tcPr>
            <w:tcW w:w="4420" w:type="dxa"/>
            <w:vAlign w:val="bottom"/>
            <w:gridSpan w:val="1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60" w:type="dxa"/>
            <w:vAlign w:val="bottom"/>
            <w:vMerge w:val="continue"/>
          </w:tcPr>
          <w:p>
            <w:pPr>
              <w:spacing w:after="0"/>
              <w:rPr>
                <w:sz w:val="24"/>
                <w:szCs w:val="24"/>
                <w:color w:val="auto"/>
              </w:rPr>
            </w:pPr>
          </w:p>
        </w:tc>
        <w:tc>
          <w:tcPr>
            <w:tcW w:w="10180" w:type="dxa"/>
            <w:vAlign w:val="bottom"/>
            <w:gridSpan w:val="34"/>
          </w:tcPr>
          <w:p>
            <w:pPr>
              <w:spacing w:after="0"/>
              <w:rPr>
                <w:rFonts w:ascii="Arial" w:cs="Arial" w:eastAsia="Arial" w:hAnsi="Arial"/>
                <w:sz w:val="18"/>
                <w:szCs w:val="18"/>
                <w:color w:val="0000FF"/>
                <w:w w:val="92"/>
              </w:rPr>
            </w:pPr>
            <w:hyperlink r:id="rId99">
              <w:r>
                <w:rPr>
                  <w:rFonts w:ascii="Arial" w:cs="Arial" w:eastAsia="Arial" w:hAnsi="Arial"/>
                  <w:sz w:val="18"/>
                  <w:szCs w:val="18"/>
                  <w:color w:val="0000FF"/>
                  <w:w w:val="92"/>
                </w:rPr>
                <w:t>Amendment No. 1 to the Senior Secured Credit Agreement, dated as of November 13, 2012, by and among the Company, the Subsidiary</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9860" w:type="dxa"/>
            <w:vAlign w:val="bottom"/>
            <w:tcBorders>
              <w:top w:val="single" w:sz="8" w:color="0000FF"/>
            </w:tcBorders>
            <w:gridSpan w:val="28"/>
          </w:tcPr>
          <w:p>
            <w:pPr>
              <w:spacing w:after="0" w:line="182" w:lineRule="exact"/>
              <w:rPr>
                <w:rFonts w:ascii="Arial" w:cs="Arial" w:eastAsia="Arial" w:hAnsi="Arial"/>
                <w:sz w:val="18"/>
                <w:szCs w:val="18"/>
                <w:color w:val="0000FF"/>
                <w:w w:val="90"/>
              </w:rPr>
            </w:pPr>
            <w:hyperlink r:id="rId99">
              <w:r>
                <w:rPr>
                  <w:rFonts w:ascii="Arial" w:cs="Arial" w:eastAsia="Arial" w:hAnsi="Arial"/>
                  <w:sz w:val="18"/>
                  <w:szCs w:val="18"/>
                  <w:color w:val="0000FF"/>
                  <w:w w:val="90"/>
                </w:rPr>
                <w:t>Guarantors party thereto, the Swap Agreement Counterparty, the financial institutions party thereto and JPMorgan Chase Bank, N.A., as</w:t>
              </w:r>
            </w:hyperlink>
          </w:p>
        </w:tc>
        <w:tc>
          <w:tcPr>
            <w:tcW w:w="3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060" w:type="dxa"/>
            <w:vAlign w:val="bottom"/>
          </w:tcPr>
          <w:p>
            <w:pPr>
              <w:spacing w:after="0"/>
              <w:rPr>
                <w:sz w:val="19"/>
                <w:szCs w:val="19"/>
                <w:color w:val="auto"/>
              </w:rPr>
            </w:pPr>
          </w:p>
        </w:tc>
        <w:tc>
          <w:tcPr>
            <w:tcW w:w="9820" w:type="dxa"/>
            <w:vAlign w:val="bottom"/>
            <w:tcBorders>
              <w:top w:val="single" w:sz="8" w:color="0000FF"/>
            </w:tcBorders>
            <w:gridSpan w:val="26"/>
          </w:tcPr>
          <w:p>
            <w:pPr>
              <w:spacing w:after="0"/>
              <w:rPr>
                <w:rFonts w:ascii="Arial" w:cs="Arial" w:eastAsia="Arial" w:hAnsi="Arial"/>
                <w:sz w:val="18"/>
                <w:szCs w:val="18"/>
                <w:u w:val="single" w:color="auto"/>
                <w:color w:val="0000FF"/>
                <w:w w:val="94"/>
              </w:rPr>
            </w:pPr>
            <w:hyperlink r:id="rId99">
              <w:r>
                <w:rPr>
                  <w:rFonts w:ascii="Arial" w:cs="Arial" w:eastAsia="Arial" w:hAnsi="Arial"/>
                  <w:sz w:val="18"/>
                  <w:szCs w:val="18"/>
                  <w:u w:val="single" w:color="auto"/>
                  <w:color w:val="0000FF"/>
                  <w:w w:val="94"/>
                </w:rPr>
                <w:t>Administrative Agent (incorporated by reference to Exhibit 99.3 to the Company’s Current Report on Form 8-K filed June 27, 2013)</w:t>
              </w:r>
            </w:hyperlink>
          </w:p>
        </w:tc>
        <w:tc>
          <w:tcPr>
            <w:tcW w:w="36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823"/>
        </w:trPr>
        <w:tc>
          <w:tcPr>
            <w:tcW w:w="1060" w:type="dxa"/>
            <w:vAlign w:val="bottom"/>
          </w:tcPr>
          <w:p>
            <w:pPr>
              <w:spacing w:after="0"/>
              <w:rPr>
                <w:sz w:val="24"/>
                <w:szCs w:val="24"/>
                <w:color w:val="auto"/>
              </w:rPr>
            </w:pPr>
          </w:p>
        </w:tc>
        <w:tc>
          <w:tcPr>
            <w:tcW w:w="4780" w:type="dxa"/>
            <w:vAlign w:val="bottom"/>
            <w:gridSpan w:val="6"/>
          </w:tcPr>
          <w:p>
            <w:pPr>
              <w:ind w:left="4480"/>
              <w:spacing w:after="0"/>
              <w:rPr>
                <w:sz w:val="20"/>
                <w:szCs w:val="20"/>
                <w:color w:val="auto"/>
              </w:rPr>
            </w:pPr>
            <w:r>
              <w:rPr>
                <w:rFonts w:ascii="Arial" w:cs="Arial" w:eastAsia="Arial" w:hAnsi="Arial"/>
                <w:sz w:val="18"/>
                <w:szCs w:val="18"/>
                <w:color w:val="auto"/>
              </w:rPr>
              <w:t>56</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jc w:val="right"/>
              <w:ind w:right="530"/>
              <w:spacing w:after="0"/>
              <w:rPr>
                <w:sz w:val="20"/>
                <w:szCs w:val="20"/>
                <w:color w:val="auto"/>
              </w:rPr>
            </w:pPr>
            <w:r>
              <w:rPr>
                <w:rFonts w:ascii="Arial" w:cs="Arial" w:eastAsia="Arial" w:hAnsi="Arial"/>
                <w:sz w:val="18"/>
                <w:szCs w:val="18"/>
                <w:color w:val="auto"/>
                <w:w w:val="93"/>
              </w:rPr>
              <w:t>10.23</w:t>
            </w:r>
          </w:p>
        </w:tc>
        <w:tc>
          <w:tcPr>
            <w:tcW w:w="9420" w:type="dxa"/>
            <w:vAlign w:val="bottom"/>
            <w:tcBorders>
              <w:bottom w:val="single" w:sz="8" w:color="0000FF"/>
            </w:tcBorders>
            <w:gridSpan w:val="20"/>
          </w:tcPr>
          <w:p>
            <w:pPr>
              <w:spacing w:after="0"/>
              <w:rPr>
                <w:rFonts w:ascii="Arial" w:cs="Arial" w:eastAsia="Arial" w:hAnsi="Arial"/>
                <w:sz w:val="18"/>
                <w:szCs w:val="18"/>
                <w:color w:val="0000FF"/>
                <w:w w:val="89"/>
              </w:rPr>
            </w:pPr>
            <w:hyperlink r:id="rId102">
              <w:r>
                <w:rPr>
                  <w:rFonts w:ascii="Arial" w:cs="Arial" w:eastAsia="Arial" w:hAnsi="Arial"/>
                  <w:sz w:val="18"/>
                  <w:szCs w:val="18"/>
                  <w:color w:val="0000FF"/>
                  <w:w w:val="89"/>
                </w:rPr>
                <w:t>Amendment No. 2 to the Senior Secured Credit Agreement, dated as of June 21, 2013, by and among the Company, the Subsidiary</w:t>
              </w:r>
            </w:hyperlink>
          </w:p>
        </w:tc>
        <w:tc>
          <w:tcPr>
            <w:tcW w:w="7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0180" w:type="dxa"/>
            <w:vAlign w:val="bottom"/>
            <w:gridSpan w:val="34"/>
          </w:tcPr>
          <w:p>
            <w:pPr>
              <w:spacing w:after="0" w:line="169" w:lineRule="exact"/>
              <w:rPr>
                <w:rFonts w:ascii="Arial" w:cs="Arial" w:eastAsia="Arial" w:hAnsi="Arial"/>
                <w:sz w:val="18"/>
                <w:szCs w:val="18"/>
                <w:color w:val="0000FF"/>
                <w:w w:val="94"/>
              </w:rPr>
            </w:pPr>
            <w:hyperlink r:id="rId102">
              <w:r>
                <w:rPr>
                  <w:rFonts w:ascii="Arial" w:cs="Arial" w:eastAsia="Arial" w:hAnsi="Arial"/>
                  <w:sz w:val="18"/>
                  <w:szCs w:val="18"/>
                  <w:color w:val="0000FF"/>
                  <w:w w:val="94"/>
                </w:rPr>
                <w:t>Guarantors party thereto, the financial institutions party thereto and JPMorgan Chase Bank, N.A., as Administrative Agent (incorporated</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694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1"/>
              </w:rPr>
            </w:pPr>
            <w:hyperlink r:id="rId102">
              <w:r>
                <w:rPr>
                  <w:rFonts w:ascii="Arial" w:cs="Arial" w:eastAsia="Arial" w:hAnsi="Arial"/>
                  <w:sz w:val="18"/>
                  <w:szCs w:val="18"/>
                  <w:color w:val="0000FF"/>
                  <w:w w:val="91"/>
                </w:rPr>
                <w:t>by reference to Exhibit 99.1 to the Company’s Current Report on Form 8-K filed June 27, 2013)</w:t>
              </w:r>
            </w:hyperlink>
          </w:p>
        </w:tc>
        <w:tc>
          <w:tcPr>
            <w:tcW w:w="2940" w:type="dxa"/>
            <w:vAlign w:val="bottom"/>
            <w:tcBorders>
              <w:top w:val="single" w:sz="8" w:color="0000FF"/>
            </w:tcBorders>
            <w:gridSpan w:val="23"/>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60" w:type="dxa"/>
            <w:vAlign w:val="bottom"/>
          </w:tcPr>
          <w:p>
            <w:pPr>
              <w:jc w:val="right"/>
              <w:ind w:right="530"/>
              <w:spacing w:after="0"/>
              <w:rPr>
                <w:sz w:val="20"/>
                <w:szCs w:val="20"/>
                <w:color w:val="auto"/>
              </w:rPr>
            </w:pPr>
            <w:r>
              <w:rPr>
                <w:rFonts w:ascii="Arial" w:cs="Arial" w:eastAsia="Arial" w:hAnsi="Arial"/>
                <w:sz w:val="18"/>
                <w:szCs w:val="18"/>
                <w:color w:val="auto"/>
                <w:w w:val="93"/>
              </w:rPr>
              <w:t>10.24</w:t>
            </w:r>
          </w:p>
        </w:tc>
        <w:tc>
          <w:tcPr>
            <w:tcW w:w="10180" w:type="dxa"/>
            <w:vAlign w:val="bottom"/>
            <w:gridSpan w:val="34"/>
          </w:tcPr>
          <w:p>
            <w:pPr>
              <w:spacing w:after="0"/>
              <w:rPr>
                <w:rFonts w:ascii="Arial" w:cs="Arial" w:eastAsia="Arial" w:hAnsi="Arial"/>
                <w:sz w:val="18"/>
                <w:szCs w:val="18"/>
                <w:color w:val="0000FF"/>
                <w:w w:val="95"/>
              </w:rPr>
            </w:pPr>
            <w:hyperlink r:id="rId103">
              <w:r>
                <w:rPr>
                  <w:rFonts w:ascii="Arial" w:cs="Arial" w:eastAsia="Arial" w:hAnsi="Arial"/>
                  <w:sz w:val="18"/>
                  <w:szCs w:val="18"/>
                  <w:color w:val="0000FF"/>
                  <w:w w:val="95"/>
                </w:rPr>
                <w:t>Share Purchase Agreement relating to Thomas Plant (Birmingham) Limited, dated January 15, 2014, by and among the Company and</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640" w:type="dxa"/>
            <w:vAlign w:val="bottom"/>
            <w:tcBorders>
              <w:top w:val="single" w:sz="8" w:color="0000FF"/>
            </w:tcBorders>
            <w:gridSpan w:val="24"/>
          </w:tcPr>
          <w:p>
            <w:pPr>
              <w:spacing w:after="0" w:line="169" w:lineRule="exact"/>
              <w:rPr>
                <w:rFonts w:ascii="Arial" w:cs="Arial" w:eastAsia="Arial" w:hAnsi="Arial"/>
                <w:sz w:val="18"/>
                <w:szCs w:val="18"/>
                <w:color w:val="0000FF"/>
                <w:w w:val="93"/>
              </w:rPr>
            </w:pPr>
            <w:hyperlink r:id="rId103">
              <w:r>
                <w:rPr>
                  <w:rFonts w:ascii="Arial" w:cs="Arial" w:eastAsia="Arial" w:hAnsi="Arial"/>
                  <w:sz w:val="18"/>
                  <w:szCs w:val="18"/>
                  <w:color w:val="0000FF"/>
                  <w:w w:val="93"/>
                </w:rPr>
                <w:t>Andrew Plant, Richard Plant, Peter Bushell, and Sally Wright (incorporated by reference to Exhibit 99.2 to the Company’s Current</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320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1"/>
              </w:rPr>
            </w:pPr>
            <w:hyperlink r:id="rId103">
              <w:r>
                <w:rPr>
                  <w:rFonts w:ascii="Arial" w:cs="Arial" w:eastAsia="Arial" w:hAnsi="Arial"/>
                  <w:sz w:val="18"/>
                  <w:szCs w:val="18"/>
                  <w:color w:val="0000FF"/>
                  <w:w w:val="91"/>
                </w:rPr>
                <w:t>Report on Form 8-K filed January 17, 2014)</w:t>
              </w:r>
            </w:hyperlink>
          </w:p>
        </w:tc>
        <w:tc>
          <w:tcPr>
            <w:tcW w:w="6220" w:type="dxa"/>
            <w:vAlign w:val="bottom"/>
            <w:tcBorders>
              <w:top w:val="single" w:sz="8" w:color="0000FF"/>
            </w:tcBorders>
            <w:gridSpan w:val="15"/>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60" w:type="dxa"/>
            <w:vAlign w:val="bottom"/>
          </w:tcPr>
          <w:p>
            <w:pPr>
              <w:jc w:val="right"/>
              <w:ind w:right="530"/>
              <w:spacing w:after="0"/>
              <w:rPr>
                <w:sz w:val="20"/>
                <w:szCs w:val="20"/>
                <w:color w:val="auto"/>
              </w:rPr>
            </w:pPr>
            <w:r>
              <w:rPr>
                <w:rFonts w:ascii="Arial" w:cs="Arial" w:eastAsia="Arial" w:hAnsi="Arial"/>
                <w:sz w:val="18"/>
                <w:szCs w:val="18"/>
                <w:color w:val="auto"/>
                <w:w w:val="93"/>
              </w:rPr>
              <w:t>10.25</w:t>
            </w:r>
          </w:p>
        </w:tc>
        <w:tc>
          <w:tcPr>
            <w:tcW w:w="10180" w:type="dxa"/>
            <w:vAlign w:val="bottom"/>
            <w:gridSpan w:val="34"/>
          </w:tcPr>
          <w:p>
            <w:pPr>
              <w:spacing w:after="0"/>
              <w:rPr>
                <w:rFonts w:ascii="Arial" w:cs="Arial" w:eastAsia="Arial" w:hAnsi="Arial"/>
                <w:sz w:val="18"/>
                <w:szCs w:val="18"/>
                <w:color w:val="0000FF"/>
                <w:w w:val="93"/>
              </w:rPr>
            </w:pPr>
            <w:hyperlink r:id="rId104">
              <w:r>
                <w:rPr>
                  <w:rFonts w:ascii="Arial" w:cs="Arial" w:eastAsia="Arial" w:hAnsi="Arial"/>
                  <w:sz w:val="18"/>
                  <w:szCs w:val="18"/>
                  <w:color w:val="0000FF"/>
                  <w:w w:val="93"/>
                </w:rPr>
                <w:t>Deed of Variation and Settlement, dated April 1, 2015, by and among the Company and Andrew Plant, Richard Plant, Peter Bushell, and</w:t>
              </w:r>
            </w:hyperlink>
          </w:p>
        </w:tc>
        <w:tc>
          <w:tcPr>
            <w:tcW w:w="0" w:type="dxa"/>
            <w:vAlign w:val="bottom"/>
          </w:tcPr>
          <w:p>
            <w:pPr>
              <w:spacing w:after="0"/>
              <w:rPr>
                <w:sz w:val="1"/>
                <w:szCs w:val="1"/>
                <w:color w:val="auto"/>
              </w:rPr>
            </w:pPr>
          </w:p>
        </w:tc>
      </w:tr>
      <w:tr>
        <w:trPr>
          <w:trHeight w:val="224"/>
        </w:trPr>
        <w:tc>
          <w:tcPr>
            <w:tcW w:w="1060" w:type="dxa"/>
            <w:vAlign w:val="bottom"/>
          </w:tcPr>
          <w:p>
            <w:pPr>
              <w:spacing w:after="0"/>
              <w:rPr>
                <w:sz w:val="19"/>
                <w:szCs w:val="19"/>
                <w:color w:val="auto"/>
              </w:rPr>
            </w:pPr>
          </w:p>
        </w:tc>
        <w:tc>
          <w:tcPr>
            <w:tcW w:w="9840" w:type="dxa"/>
            <w:vAlign w:val="bottom"/>
            <w:tcBorders>
              <w:top w:val="single" w:sz="8" w:color="0000FF"/>
            </w:tcBorders>
            <w:gridSpan w:val="31"/>
          </w:tcPr>
          <w:p>
            <w:pPr>
              <w:spacing w:after="0"/>
              <w:rPr>
                <w:rFonts w:ascii="Arial" w:cs="Arial" w:eastAsia="Arial" w:hAnsi="Arial"/>
                <w:sz w:val="18"/>
                <w:szCs w:val="18"/>
                <w:u w:val="single" w:color="auto"/>
                <w:color w:val="0000FF"/>
              </w:rPr>
            </w:pPr>
            <w:hyperlink r:id="rId104">
              <w:r>
                <w:rPr>
                  <w:rFonts w:ascii="Arial" w:cs="Arial" w:eastAsia="Arial" w:hAnsi="Arial"/>
                  <w:sz w:val="18"/>
                  <w:szCs w:val="18"/>
                  <w:u w:val="single" w:color="auto"/>
                  <w:color w:val="0000FF"/>
                </w:rPr>
                <w:t>Sally Wright (incorporated by reference to Exhibit 10.1 to the Company’s Quarterly Report on Form 10-Q filed May 8, 2015)</w:t>
              </w:r>
            </w:hyperlink>
          </w:p>
        </w:tc>
        <w:tc>
          <w:tcPr>
            <w:tcW w:w="2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060" w:type="dxa"/>
            <w:vAlign w:val="bottom"/>
          </w:tcPr>
          <w:p>
            <w:pPr>
              <w:jc w:val="right"/>
              <w:ind w:right="530"/>
              <w:spacing w:after="0"/>
              <w:rPr>
                <w:sz w:val="20"/>
                <w:szCs w:val="20"/>
                <w:color w:val="auto"/>
              </w:rPr>
            </w:pPr>
            <w:r>
              <w:rPr>
                <w:rFonts w:ascii="Arial" w:cs="Arial" w:eastAsia="Arial" w:hAnsi="Arial"/>
                <w:sz w:val="18"/>
                <w:szCs w:val="18"/>
                <w:color w:val="auto"/>
                <w:w w:val="93"/>
              </w:rPr>
              <w:t>10.26</w:t>
            </w:r>
          </w:p>
        </w:tc>
        <w:tc>
          <w:tcPr>
            <w:tcW w:w="10180" w:type="dxa"/>
            <w:vAlign w:val="bottom"/>
            <w:gridSpan w:val="34"/>
          </w:tcPr>
          <w:p>
            <w:pPr>
              <w:spacing w:after="0"/>
              <w:rPr>
                <w:rFonts w:ascii="Arial" w:cs="Arial" w:eastAsia="Arial" w:hAnsi="Arial"/>
                <w:sz w:val="18"/>
                <w:szCs w:val="18"/>
                <w:color w:val="0000FF"/>
                <w:w w:val="94"/>
              </w:rPr>
            </w:pPr>
            <w:hyperlink r:id="rId105">
              <w:r>
                <w:rPr>
                  <w:rFonts w:ascii="Arial" w:cs="Arial" w:eastAsia="Arial" w:hAnsi="Arial"/>
                  <w:sz w:val="18"/>
                  <w:szCs w:val="18"/>
                  <w:color w:val="0000FF"/>
                  <w:w w:val="94"/>
                </w:rPr>
                <w:t>Employment Agreement, dated as of November 8, 2017, between the Company and Daniel Siegel (incorporated by reference to Exhibit</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780" w:type="dxa"/>
            <w:vAlign w:val="bottom"/>
            <w:tcBorders>
              <w:top w:val="single" w:sz="8" w:color="0000FF"/>
            </w:tcBorders>
            <w:gridSpan w:val="29"/>
          </w:tcPr>
          <w:p>
            <w:pPr>
              <w:spacing w:after="0" w:line="169" w:lineRule="exact"/>
              <w:rPr>
                <w:rFonts w:ascii="Arial" w:cs="Arial" w:eastAsia="Arial" w:hAnsi="Arial"/>
                <w:sz w:val="18"/>
                <w:szCs w:val="18"/>
                <w:color w:val="0000FF"/>
              </w:rPr>
            </w:pPr>
            <w:hyperlink r:id="rId105">
              <w:r>
                <w:rPr>
                  <w:rFonts w:ascii="Arial" w:cs="Arial" w:eastAsia="Arial" w:hAnsi="Arial"/>
                  <w:sz w:val="18"/>
                  <w:szCs w:val="18"/>
                  <w:color w:val="0000FF"/>
                </w:rPr>
                <w:t>10.</w:t>
              </w:r>
              <w:r>
                <w:rPr>
                  <w:rFonts w:ascii="Arial" w:cs="Arial" w:eastAsia="Arial" w:hAnsi="Arial"/>
                  <w:sz w:val="18"/>
                  <w:szCs w:val="18"/>
                  <w:u w:val="single" w:color="auto"/>
                  <w:color w:val="0000FF"/>
                </w:rPr>
                <w:t>4</w:t>
              </w:r>
              <w:r>
                <w:rPr>
                  <w:rFonts w:ascii="Arial" w:cs="Arial" w:eastAsia="Arial" w:hAnsi="Arial"/>
                  <w:sz w:val="18"/>
                  <w:szCs w:val="18"/>
                  <w:color w:val="0000FF"/>
                </w:rPr>
                <w:t xml:space="preserve"> to the Company’s Quarterly Report on Form 10-Q for the quarter ended September 30, 2017)*</w:t>
              </w:r>
            </w:hyperlink>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3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jc w:val="right"/>
              <w:ind w:right="530"/>
              <w:spacing w:after="0"/>
              <w:rPr>
                <w:sz w:val="20"/>
                <w:szCs w:val="20"/>
                <w:color w:val="auto"/>
              </w:rPr>
            </w:pPr>
            <w:r>
              <w:rPr>
                <w:rFonts w:ascii="Arial" w:cs="Arial" w:eastAsia="Arial" w:hAnsi="Arial"/>
                <w:sz w:val="18"/>
                <w:szCs w:val="18"/>
                <w:color w:val="auto"/>
                <w:w w:val="93"/>
              </w:rPr>
              <w:t>10.27</w:t>
            </w:r>
          </w:p>
        </w:tc>
        <w:tc>
          <w:tcPr>
            <w:tcW w:w="10180" w:type="dxa"/>
            <w:vAlign w:val="bottom"/>
            <w:gridSpan w:val="34"/>
          </w:tcPr>
          <w:p>
            <w:pPr>
              <w:spacing w:after="0"/>
              <w:rPr>
                <w:rFonts w:ascii="Arial" w:cs="Arial" w:eastAsia="Arial" w:hAnsi="Arial"/>
                <w:sz w:val="18"/>
                <w:szCs w:val="18"/>
                <w:color w:val="0000FF"/>
                <w:w w:val="95"/>
              </w:rPr>
            </w:pPr>
            <w:hyperlink r:id="rId106">
              <w:r>
                <w:rPr>
                  <w:rFonts w:ascii="Arial" w:cs="Arial" w:eastAsia="Arial" w:hAnsi="Arial"/>
                  <w:sz w:val="18"/>
                  <w:szCs w:val="18"/>
                  <w:color w:val="0000FF"/>
                  <w:w w:val="95"/>
                </w:rPr>
                <w:t>Amendment to the Employment Agreement, dated as of October 11, 2019, between the Company and Daniel Siegel (incorporated by</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958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06">
              <w:r>
                <w:rPr>
                  <w:rFonts w:ascii="Arial" w:cs="Arial" w:eastAsia="Arial" w:hAnsi="Arial"/>
                  <w:sz w:val="18"/>
                  <w:szCs w:val="18"/>
                  <w:color w:val="0000FF"/>
                </w:rPr>
                <w:t>reference to Exhibit 10.5 to the Company’s Current Report on Form 8-K filed October 15, 2019)*</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3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60" w:type="dxa"/>
            <w:vAlign w:val="bottom"/>
          </w:tcPr>
          <w:p>
            <w:pPr>
              <w:jc w:val="right"/>
              <w:ind w:right="530"/>
              <w:spacing w:after="0"/>
              <w:rPr>
                <w:sz w:val="20"/>
                <w:szCs w:val="20"/>
                <w:color w:val="auto"/>
              </w:rPr>
            </w:pPr>
            <w:r>
              <w:rPr>
                <w:rFonts w:ascii="Arial" w:cs="Arial" w:eastAsia="Arial" w:hAnsi="Arial"/>
                <w:sz w:val="18"/>
                <w:szCs w:val="18"/>
                <w:color w:val="auto"/>
                <w:w w:val="93"/>
              </w:rPr>
              <w:t>10.28</w:t>
            </w:r>
          </w:p>
        </w:tc>
        <w:tc>
          <w:tcPr>
            <w:tcW w:w="9620" w:type="dxa"/>
            <w:vAlign w:val="bottom"/>
            <w:tcBorders>
              <w:bottom w:val="single" w:sz="8" w:color="0000FF"/>
            </w:tcBorders>
            <w:gridSpan w:val="23"/>
          </w:tcPr>
          <w:p>
            <w:pPr>
              <w:spacing w:after="0"/>
              <w:rPr>
                <w:rFonts w:ascii="Arial" w:cs="Arial" w:eastAsia="Arial" w:hAnsi="Arial"/>
                <w:sz w:val="18"/>
                <w:szCs w:val="18"/>
                <w:color w:val="0000FF"/>
                <w:w w:val="91"/>
              </w:rPr>
            </w:pPr>
            <w:hyperlink r:id="rId80">
              <w:r>
                <w:rPr>
                  <w:rFonts w:ascii="Arial" w:cs="Arial" w:eastAsia="Arial" w:hAnsi="Arial"/>
                  <w:sz w:val="18"/>
                  <w:szCs w:val="18"/>
                  <w:color w:val="0000FF"/>
                  <w:w w:val="91"/>
                </w:rPr>
                <w:t>Letter Agreement Amending and Supplementing Employment Agreement between Lifetime Brands, Inc. and Daniel Siegel, effective</w:t>
              </w:r>
            </w:hyperlink>
          </w:p>
        </w:tc>
        <w:tc>
          <w:tcPr>
            <w:tcW w:w="56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180" w:type="dxa"/>
            <w:vAlign w:val="bottom"/>
            <w:gridSpan w:val="34"/>
          </w:tcPr>
          <w:p>
            <w:pPr>
              <w:spacing w:after="0" w:line="156" w:lineRule="exact"/>
              <w:rPr>
                <w:rFonts w:ascii="Arial" w:cs="Arial" w:eastAsia="Arial" w:hAnsi="Arial"/>
                <w:sz w:val="18"/>
                <w:szCs w:val="18"/>
                <w:color w:val="0000FF"/>
                <w:w w:val="94"/>
              </w:rPr>
            </w:pPr>
            <w:hyperlink r:id="rId80">
              <w:r>
                <w:rPr>
                  <w:rFonts w:ascii="Arial" w:cs="Arial" w:eastAsia="Arial" w:hAnsi="Arial"/>
                  <w:sz w:val="18"/>
                  <w:szCs w:val="18"/>
                  <w:color w:val="0000FF"/>
                  <w:w w:val="94"/>
                </w:rPr>
                <w:t xml:space="preserve">April 13, 2020 </w:t>
              </w:r>
              <w:r>
                <w:rPr>
                  <w:rFonts w:ascii="Arial" w:cs="Arial" w:eastAsia="Arial" w:hAnsi="Arial"/>
                  <w:sz w:val="18"/>
                  <w:szCs w:val="18"/>
                  <w:color w:val="000000"/>
                  <w:w w:val="94"/>
                </w:rPr>
                <w:t xml:space="preserve">(incorporated by reference to Exhibit 10.2 to the Company's Quarterly Report on Form 10-Q for the quarter ended </w:t>
              </w:r>
            </w:hyperlink>
            <w:r>
              <w:rPr>
                <w:rFonts w:ascii="Arial" w:cs="Arial" w:eastAsia="Arial" w:hAnsi="Arial"/>
                <w:sz w:val="18"/>
                <w:szCs w:val="18"/>
                <w:color w:val="0000FF"/>
                <w:w w:val="94"/>
              </w:rPr>
              <w:t>March</w:t>
            </w:r>
          </w:p>
        </w:tc>
        <w:tc>
          <w:tcPr>
            <w:tcW w:w="0" w:type="dxa"/>
            <w:vAlign w:val="bottom"/>
          </w:tcPr>
          <w:p>
            <w:pPr>
              <w:spacing w:after="0"/>
              <w:rPr>
                <w:sz w:val="1"/>
                <w:szCs w:val="1"/>
                <w:color w:val="auto"/>
              </w:rPr>
            </w:pPr>
          </w:p>
        </w:tc>
      </w:tr>
      <w:tr>
        <w:trPr>
          <w:trHeight w:val="224"/>
        </w:trPr>
        <w:tc>
          <w:tcPr>
            <w:tcW w:w="1060" w:type="dxa"/>
            <w:vAlign w:val="bottom"/>
          </w:tcPr>
          <w:p>
            <w:pPr>
              <w:spacing w:after="0"/>
              <w:rPr>
                <w:sz w:val="19"/>
                <w:szCs w:val="19"/>
                <w:color w:val="auto"/>
              </w:rPr>
            </w:pPr>
          </w:p>
        </w:tc>
        <w:tc>
          <w:tcPr>
            <w:tcW w:w="10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31, 2020)</w:t>
            </w:r>
          </w:p>
        </w:tc>
        <w:tc>
          <w:tcPr>
            <w:tcW w:w="2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060" w:type="dxa"/>
            <w:vAlign w:val="bottom"/>
          </w:tcPr>
          <w:p>
            <w:pPr>
              <w:jc w:val="right"/>
              <w:ind w:right="530"/>
              <w:spacing w:after="0"/>
              <w:rPr>
                <w:sz w:val="20"/>
                <w:szCs w:val="20"/>
                <w:color w:val="auto"/>
              </w:rPr>
            </w:pPr>
            <w:r>
              <w:rPr>
                <w:rFonts w:ascii="Arial" w:cs="Arial" w:eastAsia="Arial" w:hAnsi="Arial"/>
                <w:sz w:val="18"/>
                <w:szCs w:val="18"/>
                <w:color w:val="auto"/>
                <w:w w:val="93"/>
              </w:rPr>
              <w:t>10.29</w:t>
            </w:r>
          </w:p>
        </w:tc>
        <w:tc>
          <w:tcPr>
            <w:tcW w:w="10180" w:type="dxa"/>
            <w:vAlign w:val="bottom"/>
            <w:gridSpan w:val="34"/>
          </w:tcPr>
          <w:p>
            <w:pPr>
              <w:spacing w:after="0"/>
              <w:rPr>
                <w:rFonts w:ascii="Arial" w:cs="Arial" w:eastAsia="Arial" w:hAnsi="Arial"/>
                <w:sz w:val="18"/>
                <w:szCs w:val="18"/>
                <w:color w:val="0000FF"/>
                <w:w w:val="94"/>
              </w:rPr>
            </w:pPr>
            <w:hyperlink r:id="rId107">
              <w:r>
                <w:rPr>
                  <w:rFonts w:ascii="Arial" w:cs="Arial" w:eastAsia="Arial" w:hAnsi="Arial"/>
                  <w:sz w:val="18"/>
                  <w:szCs w:val="18"/>
                  <w:u w:val="single" w:color="auto"/>
                  <w:color w:val="0000FF"/>
                  <w:w w:val="94"/>
                </w:rPr>
                <w:t>Second Amendment, dated February 1, 2021, to the Employment Agreement, dated as of November 8, 2017, by</w:t>
              </w:r>
              <w:r>
                <w:rPr>
                  <w:rFonts w:ascii="Arial" w:cs="Arial" w:eastAsia="Arial" w:hAnsi="Arial"/>
                  <w:sz w:val="18"/>
                  <w:szCs w:val="18"/>
                  <w:color w:val="0000FF"/>
                  <w:w w:val="94"/>
                </w:rPr>
                <w:t xml:space="preserve"> and between Lifetime</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80" w:type="dxa"/>
            <w:vAlign w:val="bottom"/>
            <w:tcBorders>
              <w:right w:val="single" w:sz="8" w:color="0000FF"/>
            </w:tcBorders>
            <w:gridSpan w:val="3"/>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32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60" w:type="dxa"/>
            <w:vAlign w:val="bottom"/>
          </w:tcPr>
          <w:p>
            <w:pPr>
              <w:spacing w:after="0"/>
              <w:rPr>
                <w:sz w:val="13"/>
                <w:szCs w:val="13"/>
                <w:color w:val="auto"/>
              </w:rPr>
            </w:pPr>
          </w:p>
        </w:tc>
        <w:tc>
          <w:tcPr>
            <w:tcW w:w="9700" w:type="dxa"/>
            <w:vAlign w:val="bottom"/>
            <w:tcBorders>
              <w:bottom w:val="single" w:sz="8" w:color="0000FF"/>
            </w:tcBorders>
            <w:gridSpan w:val="26"/>
          </w:tcPr>
          <w:p>
            <w:pPr>
              <w:spacing w:after="0" w:line="156" w:lineRule="exact"/>
              <w:rPr>
                <w:rFonts w:ascii="Arial" w:cs="Arial" w:eastAsia="Arial" w:hAnsi="Arial"/>
                <w:sz w:val="18"/>
                <w:szCs w:val="18"/>
                <w:color w:val="0000FF"/>
                <w:w w:val="90"/>
              </w:rPr>
            </w:pPr>
            <w:hyperlink r:id="rId107">
              <w:r>
                <w:rPr>
                  <w:rFonts w:ascii="Arial" w:cs="Arial" w:eastAsia="Arial" w:hAnsi="Arial"/>
                  <w:sz w:val="18"/>
                  <w:szCs w:val="18"/>
                  <w:color w:val="0000FF"/>
                  <w:w w:val="90"/>
                </w:rPr>
                <w:t>Brands, Inc. and Daniel Siegel (incorporated by reference to Exhibit 10.2 to the Company's Current Report on Form 8-K filed February</w:t>
              </w:r>
            </w:hyperlink>
          </w:p>
        </w:tc>
        <w:tc>
          <w:tcPr>
            <w:tcW w:w="20" w:type="dxa"/>
            <w:vAlign w:val="bottom"/>
            <w:tcBorders>
              <w:bottom w:val="single" w:sz="8" w:color="0000FF"/>
            </w:tcBorders>
            <w:vMerge w:val="continue"/>
          </w:tcPr>
          <w:p>
            <w:pPr>
              <w:spacing w:after="0"/>
              <w:rPr>
                <w:sz w:val="13"/>
                <w:szCs w:val="13"/>
                <w:color w:val="auto"/>
              </w:rPr>
            </w:pPr>
          </w:p>
        </w:tc>
        <w:tc>
          <w:tcPr>
            <w:tcW w:w="40" w:type="dxa"/>
            <w:vAlign w:val="bottom"/>
            <w:tcBorders>
              <w:bottom w:val="single" w:sz="8" w:color="0000FF"/>
            </w:tcBorders>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60" w:type="dxa"/>
            <w:vAlign w:val="bottom"/>
            <w:gridSpan w:val="2"/>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620" w:type="dxa"/>
            <w:vAlign w:val="bottom"/>
            <w:tcBorders>
              <w:bottom w:val="single" w:sz="8" w:color="0000FF"/>
            </w:tcBorders>
            <w:gridSpan w:val="3"/>
          </w:tcPr>
          <w:p>
            <w:pPr>
              <w:spacing w:after="0" w:line="156" w:lineRule="exact"/>
              <w:rPr>
                <w:rFonts w:ascii="Arial" w:cs="Arial" w:eastAsia="Arial" w:hAnsi="Arial"/>
                <w:sz w:val="18"/>
                <w:szCs w:val="18"/>
                <w:color w:val="0000FF"/>
                <w:w w:val="90"/>
              </w:rPr>
            </w:pPr>
            <w:hyperlink r:id="rId107">
              <w:r>
                <w:rPr>
                  <w:rFonts w:ascii="Arial" w:cs="Arial" w:eastAsia="Arial" w:hAnsi="Arial"/>
                  <w:sz w:val="18"/>
                  <w:szCs w:val="18"/>
                  <w:color w:val="0000FF"/>
                  <w:w w:val="90"/>
                </w:rPr>
                <w:t>1, 2021)</w:t>
              </w:r>
            </w:hyperlink>
          </w:p>
        </w:tc>
        <w:tc>
          <w:tcPr>
            <w:tcW w:w="4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60" w:type="dxa"/>
            <w:vAlign w:val="bottom"/>
          </w:tcPr>
          <w:p>
            <w:pPr>
              <w:jc w:val="right"/>
              <w:ind w:right="530"/>
              <w:spacing w:after="0"/>
              <w:rPr>
                <w:sz w:val="20"/>
                <w:szCs w:val="20"/>
                <w:color w:val="auto"/>
              </w:rPr>
            </w:pPr>
            <w:r>
              <w:rPr>
                <w:rFonts w:ascii="Arial" w:cs="Arial" w:eastAsia="Arial" w:hAnsi="Arial"/>
                <w:sz w:val="18"/>
                <w:szCs w:val="18"/>
                <w:color w:val="auto"/>
                <w:w w:val="93"/>
              </w:rPr>
              <w:t>10.30</w:t>
            </w:r>
          </w:p>
        </w:tc>
        <w:tc>
          <w:tcPr>
            <w:tcW w:w="10180" w:type="dxa"/>
            <w:vAlign w:val="bottom"/>
            <w:gridSpan w:val="34"/>
          </w:tcPr>
          <w:p>
            <w:pPr>
              <w:spacing w:after="0"/>
              <w:rPr>
                <w:rFonts w:ascii="Arial" w:cs="Arial" w:eastAsia="Arial" w:hAnsi="Arial"/>
                <w:sz w:val="18"/>
                <w:szCs w:val="18"/>
                <w:color w:val="0000FF"/>
                <w:w w:val="96"/>
              </w:rPr>
            </w:pPr>
            <w:hyperlink r:id="rId108">
              <w:r>
                <w:rPr>
                  <w:rFonts w:ascii="Arial" w:cs="Arial" w:eastAsia="Arial" w:hAnsi="Arial"/>
                  <w:sz w:val="18"/>
                  <w:szCs w:val="18"/>
                  <w:color w:val="0000FF"/>
                  <w:w w:val="96"/>
                </w:rPr>
                <w:t>Form of Amended and Restated Director’s and Officer’s Indemnification Agreement (incorporated by reference to Exhibit 10.1 to the</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08">
              <w:r>
                <w:rPr>
                  <w:rFonts w:ascii="Arial" w:cs="Arial" w:eastAsia="Arial" w:hAnsi="Arial"/>
                  <w:sz w:val="18"/>
                  <w:szCs w:val="18"/>
                  <w:color w:val="0000FF"/>
                  <w:w w:val="91"/>
                </w:rPr>
                <w:t>Company’s Current Report on Form 8-K filed January 28, 2016)</w:t>
              </w:r>
            </w:hyperlink>
          </w:p>
        </w:tc>
        <w:tc>
          <w:tcPr>
            <w:tcW w:w="496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3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60" w:type="dxa"/>
            <w:vAlign w:val="bottom"/>
          </w:tcPr>
          <w:p>
            <w:pPr>
              <w:jc w:val="right"/>
              <w:ind w:right="530"/>
              <w:spacing w:after="0"/>
              <w:rPr>
                <w:sz w:val="20"/>
                <w:szCs w:val="20"/>
                <w:color w:val="auto"/>
              </w:rPr>
            </w:pPr>
            <w:r>
              <w:rPr>
                <w:rFonts w:ascii="Arial" w:cs="Arial" w:eastAsia="Arial" w:hAnsi="Arial"/>
                <w:sz w:val="18"/>
                <w:szCs w:val="18"/>
                <w:color w:val="auto"/>
                <w:w w:val="93"/>
              </w:rPr>
              <w:t>10.31</w:t>
            </w:r>
          </w:p>
        </w:tc>
        <w:tc>
          <w:tcPr>
            <w:tcW w:w="10180" w:type="dxa"/>
            <w:vAlign w:val="bottom"/>
            <w:gridSpan w:val="34"/>
          </w:tcPr>
          <w:p>
            <w:pPr>
              <w:spacing w:after="0"/>
              <w:rPr>
                <w:rFonts w:ascii="Arial" w:cs="Arial" w:eastAsia="Arial" w:hAnsi="Arial"/>
                <w:sz w:val="18"/>
                <w:szCs w:val="18"/>
                <w:color w:val="0000FF"/>
                <w:w w:val="94"/>
              </w:rPr>
            </w:pPr>
            <w:hyperlink r:id="rId109">
              <w:r>
                <w:rPr>
                  <w:rFonts w:ascii="Arial" w:cs="Arial" w:eastAsia="Arial" w:hAnsi="Arial"/>
                  <w:sz w:val="18"/>
                  <w:szCs w:val="18"/>
                  <w:color w:val="0000FF"/>
                  <w:w w:val="94"/>
                </w:rPr>
                <w:t>Receivables Purchase Agreement, dated as of September 30, 2016 by and among the Company, as a Seller and as a Seller Agent and</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540" w:type="dxa"/>
            <w:vAlign w:val="bottom"/>
            <w:tcBorders>
              <w:top w:val="single" w:sz="8" w:color="0000FF"/>
            </w:tcBorders>
            <w:gridSpan w:val="21"/>
          </w:tcPr>
          <w:p>
            <w:pPr>
              <w:spacing w:after="0" w:line="169" w:lineRule="exact"/>
              <w:rPr>
                <w:rFonts w:ascii="Arial" w:cs="Arial" w:eastAsia="Arial" w:hAnsi="Arial"/>
                <w:sz w:val="18"/>
                <w:szCs w:val="18"/>
                <w:color w:val="0000FF"/>
                <w:w w:val="92"/>
              </w:rPr>
            </w:pPr>
            <w:hyperlink r:id="rId109">
              <w:r>
                <w:rPr>
                  <w:rFonts w:ascii="Arial" w:cs="Arial" w:eastAsia="Arial" w:hAnsi="Arial"/>
                  <w:sz w:val="18"/>
                  <w:szCs w:val="18"/>
                  <w:color w:val="0000FF"/>
                  <w:w w:val="92"/>
                </w:rPr>
                <w:t>initial Servicer, for itself and each of its subsidiaries thereto as a Seller, and HSBC Bank USA, National Association, as Purchaser</w:t>
              </w:r>
            </w:hyperlink>
          </w:p>
        </w:tc>
        <w:tc>
          <w:tcPr>
            <w:tcW w:w="12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3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060" w:type="dxa"/>
            <w:vAlign w:val="bottom"/>
          </w:tcPr>
          <w:p>
            <w:pPr>
              <w:spacing w:after="0"/>
              <w:rPr>
                <w:sz w:val="19"/>
                <w:szCs w:val="19"/>
                <w:color w:val="auto"/>
              </w:rPr>
            </w:pPr>
          </w:p>
        </w:tc>
        <w:tc>
          <w:tcPr>
            <w:tcW w:w="9380" w:type="dxa"/>
            <w:vAlign w:val="bottom"/>
            <w:tcBorders>
              <w:top w:val="single" w:sz="8" w:color="0000FF"/>
            </w:tcBorders>
            <w:gridSpan w:val="18"/>
          </w:tcPr>
          <w:p>
            <w:pPr>
              <w:spacing w:after="0"/>
              <w:rPr>
                <w:rFonts w:ascii="Arial" w:cs="Arial" w:eastAsia="Arial" w:hAnsi="Arial"/>
                <w:sz w:val="18"/>
                <w:szCs w:val="18"/>
                <w:u w:val="single" w:color="auto"/>
                <w:color w:val="0000FF"/>
              </w:rPr>
            </w:pPr>
            <w:hyperlink r:id="rId109">
              <w:r>
                <w:rPr>
                  <w:rFonts w:ascii="Arial" w:cs="Arial" w:eastAsia="Arial" w:hAnsi="Arial"/>
                  <w:sz w:val="18"/>
                  <w:szCs w:val="18"/>
                  <w:u w:val="single" w:color="auto"/>
                  <w:color w:val="0000FF"/>
                </w:rPr>
                <w:t>(incorporated by reference to Exhibit 10.1 to the Company’s Current Report on Form 8-K filed October 4, 2016)</w:t>
              </w:r>
            </w:hyperlink>
          </w:p>
        </w:tc>
        <w:tc>
          <w:tcPr>
            <w:tcW w:w="20" w:type="dxa"/>
            <w:vAlign w:val="bottom"/>
          </w:tcPr>
          <w:p>
            <w:pPr>
              <w:spacing w:after="0"/>
              <w:rPr>
                <w:sz w:val="19"/>
                <w:szCs w:val="19"/>
                <w:color w:val="auto"/>
              </w:rPr>
            </w:pPr>
          </w:p>
        </w:tc>
        <w:tc>
          <w:tcPr>
            <w:tcW w:w="260" w:type="dxa"/>
            <w:vAlign w:val="bottom"/>
            <w:gridSpan w:val="6"/>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gridSpan w:val="2"/>
          </w:tcPr>
          <w:p>
            <w:pPr>
              <w:spacing w:after="0"/>
              <w:rPr>
                <w:sz w:val="19"/>
                <w:szCs w:val="19"/>
                <w:color w:val="auto"/>
              </w:rPr>
            </w:pPr>
          </w:p>
        </w:tc>
        <w:tc>
          <w:tcPr>
            <w:tcW w:w="3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060" w:type="dxa"/>
            <w:vAlign w:val="bottom"/>
          </w:tcPr>
          <w:p>
            <w:pPr>
              <w:jc w:val="right"/>
              <w:ind w:right="530"/>
              <w:spacing w:after="0"/>
              <w:rPr>
                <w:sz w:val="20"/>
                <w:szCs w:val="20"/>
                <w:color w:val="auto"/>
              </w:rPr>
            </w:pPr>
            <w:r>
              <w:rPr>
                <w:rFonts w:ascii="Arial" w:cs="Arial" w:eastAsia="Arial" w:hAnsi="Arial"/>
                <w:sz w:val="18"/>
                <w:szCs w:val="18"/>
                <w:color w:val="auto"/>
                <w:w w:val="93"/>
              </w:rPr>
              <w:t>10.32</w:t>
            </w:r>
          </w:p>
        </w:tc>
        <w:tc>
          <w:tcPr>
            <w:tcW w:w="10180" w:type="dxa"/>
            <w:vAlign w:val="bottom"/>
            <w:gridSpan w:val="34"/>
          </w:tcPr>
          <w:p>
            <w:pPr>
              <w:spacing w:after="0"/>
              <w:rPr>
                <w:rFonts w:ascii="Arial" w:cs="Arial" w:eastAsia="Arial" w:hAnsi="Arial"/>
                <w:sz w:val="18"/>
                <w:szCs w:val="18"/>
                <w:color w:val="0000FF"/>
                <w:w w:val="95"/>
              </w:rPr>
            </w:pPr>
            <w:hyperlink r:id="rId110">
              <w:r>
                <w:rPr>
                  <w:rFonts w:ascii="Arial" w:cs="Arial" w:eastAsia="Arial" w:hAnsi="Arial"/>
                  <w:sz w:val="18"/>
                  <w:szCs w:val="18"/>
                  <w:color w:val="0000FF"/>
                  <w:w w:val="95"/>
                </w:rPr>
                <w:t>Lease Agreement (Single Tenant Facility), dated as of February 14, 2017 between Baseline Opportunity LLC and Lifetime Brands Inc.</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720" w:type="dxa"/>
            <w:vAlign w:val="bottom"/>
            <w:tcBorders>
              <w:top w:val="single" w:sz="8" w:color="0000FF"/>
            </w:tcBorders>
            <w:gridSpan w:val="27"/>
          </w:tcPr>
          <w:p>
            <w:pPr>
              <w:spacing w:after="0" w:line="169" w:lineRule="exact"/>
              <w:rPr>
                <w:rFonts w:ascii="Arial" w:cs="Arial" w:eastAsia="Arial" w:hAnsi="Arial"/>
                <w:sz w:val="18"/>
                <w:szCs w:val="18"/>
                <w:color w:val="0000FF"/>
                <w:w w:val="96"/>
              </w:rPr>
            </w:pPr>
            <w:hyperlink r:id="rId110">
              <w:r>
                <w:rPr>
                  <w:rFonts w:ascii="Arial" w:cs="Arial" w:eastAsia="Arial" w:hAnsi="Arial"/>
                  <w:sz w:val="18"/>
                  <w:szCs w:val="18"/>
                  <w:color w:val="0000FF"/>
                  <w:w w:val="96"/>
                </w:rPr>
                <w:t>for property located at 1221 North Alder Avenue, Rialto, California (incorporated by reference to Exhibit 10.1 to the Company’s</w:t>
              </w:r>
            </w:hyperlink>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3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26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r:id="rId110">
              <w:r>
                <w:rPr>
                  <w:rFonts w:ascii="Arial" w:cs="Arial" w:eastAsia="Arial" w:hAnsi="Arial"/>
                  <w:sz w:val="18"/>
                  <w:szCs w:val="18"/>
                  <w:color w:val="0000FF"/>
                </w:rPr>
                <w:t>Quarterly Report on Form 10-Q for the quarter ended March 31, 2017)</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60" w:type="dxa"/>
            <w:vAlign w:val="bottom"/>
            <w:gridSpan w:val="6"/>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3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40" w:type="dxa"/>
            <w:vAlign w:val="bottom"/>
            <w:gridSpan w:val="3"/>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jc w:val="right"/>
              <w:ind w:right="530"/>
              <w:spacing w:after="0"/>
              <w:rPr>
                <w:sz w:val="20"/>
                <w:szCs w:val="20"/>
                <w:color w:val="auto"/>
              </w:rPr>
            </w:pPr>
            <w:r>
              <w:rPr>
                <w:rFonts w:ascii="Arial" w:cs="Arial" w:eastAsia="Arial" w:hAnsi="Arial"/>
                <w:sz w:val="18"/>
                <w:szCs w:val="18"/>
                <w:color w:val="auto"/>
                <w:w w:val="93"/>
              </w:rPr>
              <w:t>10.33</w:t>
            </w:r>
          </w:p>
        </w:tc>
        <w:tc>
          <w:tcPr>
            <w:tcW w:w="10180" w:type="dxa"/>
            <w:vAlign w:val="bottom"/>
            <w:gridSpan w:val="34"/>
          </w:tcPr>
          <w:p>
            <w:pPr>
              <w:spacing w:after="0"/>
              <w:rPr>
                <w:rFonts w:ascii="Arial" w:cs="Arial" w:eastAsia="Arial" w:hAnsi="Arial"/>
                <w:sz w:val="18"/>
                <w:szCs w:val="18"/>
                <w:color w:val="0000FF"/>
                <w:w w:val="93"/>
              </w:rPr>
            </w:pPr>
            <w:hyperlink r:id="rId111">
              <w:r>
                <w:rPr>
                  <w:rFonts w:ascii="Arial" w:cs="Arial" w:eastAsia="Arial" w:hAnsi="Arial"/>
                  <w:sz w:val="18"/>
                  <w:szCs w:val="18"/>
                  <w:color w:val="0000FF"/>
                  <w:w w:val="93"/>
                </w:rPr>
                <w:t>Voting Agreement, dated as of December 22, 2017, by and among Taylor Parent, LLC, and Jeffrey Siegel, Ronald Shiftan, Daniel Siegel</w:t>
              </w:r>
            </w:hyperlink>
          </w:p>
        </w:tc>
        <w:tc>
          <w:tcPr>
            <w:tcW w:w="0" w:type="dxa"/>
            <w:vAlign w:val="bottom"/>
          </w:tcPr>
          <w:p>
            <w:pPr>
              <w:spacing w:after="0"/>
              <w:rPr>
                <w:sz w:val="1"/>
                <w:szCs w:val="1"/>
                <w:color w:val="auto"/>
              </w:rPr>
            </w:pPr>
          </w:p>
        </w:tc>
      </w:tr>
      <w:tr>
        <w:trPr>
          <w:trHeight w:val="224"/>
        </w:trPr>
        <w:tc>
          <w:tcPr>
            <w:tcW w:w="1060" w:type="dxa"/>
            <w:vAlign w:val="bottom"/>
          </w:tcPr>
          <w:p>
            <w:pPr>
              <w:spacing w:after="0"/>
              <w:rPr>
                <w:sz w:val="19"/>
                <w:szCs w:val="19"/>
                <w:color w:val="auto"/>
              </w:rPr>
            </w:pPr>
          </w:p>
        </w:tc>
        <w:tc>
          <w:tcPr>
            <w:tcW w:w="9860" w:type="dxa"/>
            <w:vAlign w:val="bottom"/>
            <w:tcBorders>
              <w:top w:val="single" w:sz="8" w:color="0000FF"/>
            </w:tcBorders>
            <w:gridSpan w:val="32"/>
          </w:tcPr>
          <w:p>
            <w:pPr>
              <w:spacing w:after="0"/>
              <w:rPr>
                <w:rFonts w:ascii="Arial" w:cs="Arial" w:eastAsia="Arial" w:hAnsi="Arial"/>
                <w:sz w:val="18"/>
                <w:szCs w:val="18"/>
                <w:u w:val="single" w:color="auto"/>
                <w:color w:val="0000FF"/>
                <w:w w:val="92"/>
              </w:rPr>
            </w:pPr>
            <w:hyperlink r:id="rId111">
              <w:r>
                <w:rPr>
                  <w:rFonts w:ascii="Arial" w:cs="Arial" w:eastAsia="Arial" w:hAnsi="Arial"/>
                  <w:sz w:val="18"/>
                  <w:szCs w:val="18"/>
                  <w:u w:val="single" w:color="auto"/>
                  <w:color w:val="0000FF"/>
                  <w:w w:val="92"/>
                </w:rPr>
                <w:t>and Clifford Siegel (incorporated by reference to Exhibit 10.1 to the Company’s Current Report on Form 8-K filed December 29, 2017)</w:t>
              </w:r>
            </w:hyperlink>
          </w:p>
        </w:tc>
        <w:tc>
          <w:tcPr>
            <w:tcW w:w="3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060" w:type="dxa"/>
            <w:vAlign w:val="bottom"/>
          </w:tcPr>
          <w:p>
            <w:pPr>
              <w:jc w:val="right"/>
              <w:ind w:right="530"/>
              <w:spacing w:after="0"/>
              <w:rPr>
                <w:sz w:val="20"/>
                <w:szCs w:val="20"/>
                <w:color w:val="auto"/>
              </w:rPr>
            </w:pPr>
            <w:r>
              <w:rPr>
                <w:rFonts w:ascii="Arial" w:cs="Arial" w:eastAsia="Arial" w:hAnsi="Arial"/>
                <w:sz w:val="18"/>
                <w:szCs w:val="18"/>
                <w:color w:val="auto"/>
                <w:w w:val="93"/>
              </w:rPr>
              <w:t>10.34</w:t>
            </w:r>
          </w:p>
        </w:tc>
        <w:tc>
          <w:tcPr>
            <w:tcW w:w="10180" w:type="dxa"/>
            <w:vAlign w:val="bottom"/>
            <w:gridSpan w:val="34"/>
          </w:tcPr>
          <w:p>
            <w:pPr>
              <w:spacing w:after="0"/>
              <w:rPr>
                <w:rFonts w:ascii="Arial" w:cs="Arial" w:eastAsia="Arial" w:hAnsi="Arial"/>
                <w:sz w:val="18"/>
                <w:szCs w:val="18"/>
                <w:color w:val="0000FF"/>
                <w:w w:val="98"/>
              </w:rPr>
            </w:pPr>
            <w:hyperlink r:id="rId112">
              <w:r>
                <w:rPr>
                  <w:rFonts w:ascii="Arial" w:cs="Arial" w:eastAsia="Arial" w:hAnsi="Arial"/>
                  <w:sz w:val="18"/>
                  <w:szCs w:val="18"/>
                  <w:color w:val="0000FF"/>
                  <w:w w:val="98"/>
                </w:rPr>
                <w:t>Employment Agreement, dated as of December 22, 2017, between the Company and Robert B. Kay (incorporated by reference to</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34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r:id="rId112">
              <w:r>
                <w:rPr>
                  <w:rFonts w:ascii="Arial" w:cs="Arial" w:eastAsia="Arial" w:hAnsi="Arial"/>
                  <w:sz w:val="18"/>
                  <w:szCs w:val="18"/>
                  <w:color w:val="0000FF"/>
                </w:rPr>
                <w:t>Exhibit 10.2 to the Company’s Current Report on Form 8-K filed December 29, 2017)*</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60" w:type="dxa"/>
            <w:vAlign w:val="bottom"/>
            <w:gridSpan w:val="6"/>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3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80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jc w:val="right"/>
              <w:ind w:right="530"/>
              <w:spacing w:after="0"/>
              <w:rPr>
                <w:sz w:val="20"/>
                <w:szCs w:val="20"/>
                <w:color w:val="auto"/>
              </w:rPr>
            </w:pPr>
            <w:r>
              <w:rPr>
                <w:rFonts w:ascii="Arial" w:cs="Arial" w:eastAsia="Arial" w:hAnsi="Arial"/>
                <w:sz w:val="18"/>
                <w:szCs w:val="18"/>
                <w:color w:val="auto"/>
                <w:w w:val="93"/>
              </w:rPr>
              <w:t>10.35</w:t>
            </w:r>
          </w:p>
        </w:tc>
        <w:tc>
          <w:tcPr>
            <w:tcW w:w="10180" w:type="dxa"/>
            <w:vAlign w:val="bottom"/>
            <w:gridSpan w:val="34"/>
          </w:tcPr>
          <w:p>
            <w:pPr>
              <w:spacing w:after="0"/>
              <w:rPr>
                <w:rFonts w:ascii="Arial" w:cs="Arial" w:eastAsia="Arial" w:hAnsi="Arial"/>
                <w:sz w:val="18"/>
                <w:szCs w:val="18"/>
                <w:color w:val="0000FF"/>
                <w:w w:val="95"/>
              </w:rPr>
            </w:pPr>
            <w:hyperlink r:id="rId113">
              <w:r>
                <w:rPr>
                  <w:rFonts w:ascii="Arial" w:cs="Arial" w:eastAsia="Arial" w:hAnsi="Arial"/>
                  <w:sz w:val="18"/>
                  <w:szCs w:val="18"/>
                  <w:color w:val="0000FF"/>
                  <w:w w:val="95"/>
                </w:rPr>
                <w:t>Amendment to the Employment Agreement, dated as of October 11, 2019, between the Company and Robert B. Kay (incorporated by</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660" w:type="dxa"/>
            <w:vAlign w:val="bottom"/>
            <w:tcBorders>
              <w:top w:val="single" w:sz="8" w:color="0000FF"/>
            </w:tcBorders>
            <w:gridSpan w:val="25"/>
          </w:tcPr>
          <w:p>
            <w:pPr>
              <w:spacing w:after="0" w:line="169" w:lineRule="exact"/>
              <w:rPr>
                <w:rFonts w:ascii="Arial" w:cs="Arial" w:eastAsia="Arial" w:hAnsi="Arial"/>
                <w:sz w:val="18"/>
                <w:szCs w:val="18"/>
                <w:color w:val="0000FF"/>
              </w:rPr>
            </w:pPr>
            <w:hyperlink r:id="rId113">
              <w:r>
                <w:rPr>
                  <w:rFonts w:ascii="Arial" w:cs="Arial" w:eastAsia="Arial" w:hAnsi="Arial"/>
                  <w:sz w:val="18"/>
                  <w:szCs w:val="18"/>
                  <w:color w:val="0000FF"/>
                </w:rPr>
                <w:t>reference to Exhibit 10.2 to the Company’s Current Report on Form 8-K filed October 15, 2019)*</w:t>
              </w:r>
            </w:hyperlink>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3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800" w:type="dxa"/>
            <w:vAlign w:val="bottom"/>
            <w:gridSpan w:val="4"/>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jc w:val="right"/>
              <w:ind w:right="530"/>
              <w:spacing w:after="0"/>
              <w:rPr>
                <w:sz w:val="20"/>
                <w:szCs w:val="20"/>
                <w:color w:val="auto"/>
              </w:rPr>
            </w:pPr>
            <w:r>
              <w:rPr>
                <w:rFonts w:ascii="Arial" w:cs="Arial" w:eastAsia="Arial" w:hAnsi="Arial"/>
                <w:sz w:val="18"/>
                <w:szCs w:val="18"/>
                <w:color w:val="auto"/>
                <w:w w:val="93"/>
              </w:rPr>
              <w:t>10.36</w:t>
            </w:r>
          </w:p>
        </w:tc>
        <w:tc>
          <w:tcPr>
            <w:tcW w:w="10180" w:type="dxa"/>
            <w:vAlign w:val="bottom"/>
            <w:gridSpan w:val="34"/>
          </w:tcPr>
          <w:p>
            <w:pPr>
              <w:spacing w:after="0"/>
              <w:rPr>
                <w:rFonts w:ascii="Arial" w:cs="Arial" w:eastAsia="Arial" w:hAnsi="Arial"/>
                <w:sz w:val="18"/>
                <w:szCs w:val="18"/>
                <w:color w:val="0000FF"/>
                <w:w w:val="96"/>
              </w:rPr>
            </w:pPr>
            <w:hyperlink r:id="rId114">
              <w:r>
                <w:rPr>
                  <w:rFonts w:ascii="Arial" w:cs="Arial" w:eastAsia="Arial" w:hAnsi="Arial"/>
                  <w:sz w:val="18"/>
                  <w:szCs w:val="18"/>
                  <w:color w:val="0000FF"/>
                  <w:w w:val="96"/>
                </w:rPr>
                <w:t>Letter Agreement Amending and Supplementing Employment Agreement between Lifetime Brands, Inc. and Robert B. Kay, effective</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3"/>
              </w:rPr>
            </w:pPr>
            <w:hyperlink r:id="rId114">
              <w:r>
                <w:rPr>
                  <w:rFonts w:ascii="Arial" w:cs="Arial" w:eastAsia="Arial" w:hAnsi="Arial"/>
                  <w:sz w:val="18"/>
                  <w:szCs w:val="18"/>
                  <w:color w:val="0000FF"/>
                  <w:w w:val="93"/>
                </w:rPr>
                <w:t>April 13, 2020</w:t>
              </w:r>
            </w:hyperlink>
          </w:p>
        </w:tc>
        <w:tc>
          <w:tcPr>
            <w:tcW w:w="8640" w:type="dxa"/>
            <w:vAlign w:val="bottom"/>
            <w:tcBorders>
              <w:top w:val="single" w:sz="8" w:color="0000FF"/>
            </w:tcBorders>
            <w:gridSpan w:val="2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3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60" w:type="dxa"/>
            <w:vAlign w:val="bottom"/>
          </w:tcPr>
          <w:p>
            <w:pPr>
              <w:jc w:val="right"/>
              <w:ind w:right="530"/>
              <w:spacing w:after="0"/>
              <w:rPr>
                <w:sz w:val="20"/>
                <w:szCs w:val="20"/>
                <w:color w:val="auto"/>
              </w:rPr>
            </w:pPr>
            <w:r>
              <w:rPr>
                <w:rFonts w:ascii="Arial" w:cs="Arial" w:eastAsia="Arial" w:hAnsi="Arial"/>
                <w:sz w:val="18"/>
                <w:szCs w:val="18"/>
                <w:color w:val="auto"/>
                <w:w w:val="93"/>
              </w:rPr>
              <w:t>10.37</w:t>
            </w:r>
          </w:p>
        </w:tc>
        <w:tc>
          <w:tcPr>
            <w:tcW w:w="10180" w:type="dxa"/>
            <w:vAlign w:val="bottom"/>
            <w:gridSpan w:val="34"/>
          </w:tcPr>
          <w:p>
            <w:pPr>
              <w:spacing w:after="0"/>
              <w:rPr>
                <w:rFonts w:ascii="Arial" w:cs="Arial" w:eastAsia="Arial" w:hAnsi="Arial"/>
                <w:sz w:val="18"/>
                <w:szCs w:val="18"/>
                <w:color w:val="0000FF"/>
                <w:w w:val="94"/>
              </w:rPr>
            </w:pPr>
            <w:hyperlink r:id="rId115">
              <w:r>
                <w:rPr>
                  <w:rFonts w:ascii="Arial" w:cs="Arial" w:eastAsia="Arial" w:hAnsi="Arial"/>
                  <w:sz w:val="18"/>
                  <w:szCs w:val="18"/>
                  <w:u w:val="single" w:color="auto"/>
                  <w:color w:val="0000FF"/>
                  <w:w w:val="94"/>
                </w:rPr>
                <w:t>Second Amendment, dated February 1, 2021, to the Employment Agreement, dated as of December 22, 2017, by</w:t>
              </w:r>
              <w:r>
                <w:rPr>
                  <w:rFonts w:ascii="Arial" w:cs="Arial" w:eastAsia="Arial" w:hAnsi="Arial"/>
                  <w:sz w:val="18"/>
                  <w:szCs w:val="18"/>
                  <w:color w:val="0000FF"/>
                  <w:w w:val="94"/>
                </w:rPr>
                <w:t xml:space="preserve"> and between Lifetime</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140" w:type="dxa"/>
            <w:vAlign w:val="bottom"/>
            <w:gridSpan w:val="14"/>
            <w:vMerge w:val="restart"/>
          </w:tcPr>
          <w:p>
            <w:pPr>
              <w:spacing w:after="0" w:line="189" w:lineRule="exact"/>
              <w:rPr>
                <w:rFonts w:ascii="Arial" w:cs="Arial" w:eastAsia="Arial" w:hAnsi="Arial"/>
                <w:sz w:val="18"/>
                <w:szCs w:val="18"/>
                <w:color w:val="0000FF"/>
                <w:w w:val="89"/>
              </w:rPr>
            </w:pPr>
            <w:hyperlink r:id="rId115">
              <w:r>
                <w:rPr>
                  <w:rFonts w:ascii="Arial" w:cs="Arial" w:eastAsia="Arial" w:hAnsi="Arial"/>
                  <w:sz w:val="18"/>
                  <w:szCs w:val="18"/>
                  <w:u w:val="single" w:color="auto"/>
                  <w:color w:val="0000FF"/>
                  <w:w w:val="89"/>
                </w:rPr>
                <w:t>Brands,</w:t>
              </w:r>
              <w:r>
                <w:rPr>
                  <w:rFonts w:ascii="Arial" w:cs="Arial" w:eastAsia="Arial" w:hAnsi="Arial"/>
                  <w:sz w:val="18"/>
                  <w:szCs w:val="18"/>
                  <w:color w:val="0000FF"/>
                  <w:w w:val="89"/>
                </w:rPr>
                <w:t xml:space="preserve"> Inc. and Robert Kay (incorporated by reference to Exhibit 10.1 to the Company's Current Report on Form</w:t>
              </w:r>
            </w:hyperlink>
          </w:p>
        </w:tc>
        <w:tc>
          <w:tcPr>
            <w:tcW w:w="122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9"/>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8140" w:type="dxa"/>
            <w:vAlign w:val="bottom"/>
            <w:gridSpan w:val="14"/>
            <w:vMerge w:val="continue"/>
          </w:tcPr>
          <w:p>
            <w:pPr>
              <w:spacing w:after="0"/>
              <w:rPr>
                <w:sz w:val="14"/>
                <w:szCs w:val="14"/>
                <w:color w:val="auto"/>
              </w:rPr>
            </w:pPr>
          </w:p>
        </w:tc>
        <w:tc>
          <w:tcPr>
            <w:tcW w:w="2040" w:type="dxa"/>
            <w:vAlign w:val="bottom"/>
            <w:gridSpan w:val="20"/>
          </w:tcPr>
          <w:p>
            <w:pPr>
              <w:ind w:left="120"/>
              <w:spacing w:after="0" w:line="169" w:lineRule="exact"/>
              <w:rPr>
                <w:rFonts w:ascii="Arial" w:cs="Arial" w:eastAsia="Arial" w:hAnsi="Arial"/>
                <w:sz w:val="18"/>
                <w:szCs w:val="18"/>
                <w:color w:val="0000FF"/>
              </w:rPr>
            </w:pPr>
            <w:hyperlink r:id="rId115">
              <w:r>
                <w:rPr>
                  <w:rFonts w:ascii="Arial" w:cs="Arial" w:eastAsia="Arial" w:hAnsi="Arial"/>
                  <w:sz w:val="18"/>
                  <w:szCs w:val="18"/>
                  <w:color w:val="0000FF"/>
                </w:rPr>
                <w:t>8-K filed February 1,</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600" w:type="dxa"/>
            <w:vAlign w:val="bottom"/>
            <w:gridSpan w:val="2"/>
          </w:tcPr>
          <w:p>
            <w:pPr>
              <w:spacing w:after="0" w:line="169" w:lineRule="exact"/>
              <w:rPr>
                <w:rFonts w:ascii="Arial" w:cs="Arial" w:eastAsia="Arial" w:hAnsi="Arial"/>
                <w:sz w:val="18"/>
                <w:szCs w:val="18"/>
                <w:color w:val="0000FF"/>
              </w:rPr>
            </w:pPr>
            <w:hyperlink r:id="rId115">
              <w:r>
                <w:rPr>
                  <w:rFonts w:ascii="Arial" w:cs="Arial" w:eastAsia="Arial" w:hAnsi="Arial"/>
                  <w:sz w:val="18"/>
                  <w:szCs w:val="18"/>
                  <w:color w:val="0000FF"/>
                </w:rPr>
                <w:t>2021)</w:t>
              </w:r>
            </w:hyperlink>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140" w:type="dxa"/>
            <w:vAlign w:val="bottom"/>
            <w:tcBorders>
              <w:top w:val="single" w:sz="8" w:color="0000FF"/>
            </w:tcBorders>
          </w:tcPr>
          <w:p>
            <w:pPr>
              <w:spacing w:after="0"/>
              <w:rPr>
                <w:sz w:val="14"/>
                <w:szCs w:val="14"/>
                <w:color w:val="auto"/>
              </w:rPr>
            </w:pPr>
          </w:p>
        </w:tc>
        <w:tc>
          <w:tcPr>
            <w:tcW w:w="146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98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jc w:val="right"/>
              <w:ind w:right="530"/>
              <w:spacing w:after="0"/>
              <w:rPr>
                <w:sz w:val="20"/>
                <w:szCs w:val="20"/>
                <w:color w:val="auto"/>
              </w:rPr>
            </w:pPr>
            <w:r>
              <w:rPr>
                <w:rFonts w:ascii="Arial" w:cs="Arial" w:eastAsia="Arial" w:hAnsi="Arial"/>
                <w:sz w:val="18"/>
                <w:szCs w:val="18"/>
                <w:color w:val="auto"/>
                <w:w w:val="93"/>
              </w:rPr>
              <w:t>10.38</w:t>
            </w:r>
          </w:p>
        </w:tc>
        <w:tc>
          <w:tcPr>
            <w:tcW w:w="10180" w:type="dxa"/>
            <w:vAlign w:val="bottom"/>
            <w:gridSpan w:val="34"/>
          </w:tcPr>
          <w:p>
            <w:pPr>
              <w:spacing w:after="0"/>
              <w:rPr>
                <w:rFonts w:ascii="Arial" w:cs="Arial" w:eastAsia="Arial" w:hAnsi="Arial"/>
                <w:sz w:val="18"/>
                <w:szCs w:val="18"/>
                <w:color w:val="0000FF"/>
                <w:w w:val="98"/>
              </w:rPr>
            </w:pPr>
            <w:hyperlink r:id="rId116">
              <w:r>
                <w:rPr>
                  <w:rFonts w:ascii="Arial" w:cs="Arial" w:eastAsia="Arial" w:hAnsi="Arial"/>
                  <w:sz w:val="18"/>
                  <w:szCs w:val="18"/>
                  <w:color w:val="0000FF"/>
                  <w:w w:val="98"/>
                </w:rPr>
                <w:t>Stockholders Agreement, dated as of March 2, 2018, between the Company and Taylor Parent, LLC (incorporated by reference to</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586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2"/>
              </w:rPr>
            </w:pPr>
            <w:hyperlink r:id="rId116">
              <w:r>
                <w:rPr>
                  <w:rFonts w:ascii="Arial" w:cs="Arial" w:eastAsia="Arial" w:hAnsi="Arial"/>
                  <w:sz w:val="18"/>
                  <w:szCs w:val="18"/>
                  <w:color w:val="0000FF"/>
                  <w:w w:val="92"/>
                </w:rPr>
                <w:t>Exhibit 10.1 to the Company’s Current Report on Form 8-K filed March 6, 2018)</w:t>
              </w:r>
            </w:hyperlink>
          </w:p>
        </w:tc>
        <w:tc>
          <w:tcPr>
            <w:tcW w:w="3500" w:type="dxa"/>
            <w:vAlign w:val="bottom"/>
            <w:tcBorders>
              <w:top w:val="single" w:sz="8" w:color="0000FF"/>
            </w:tcBorders>
            <w:gridSpan w:val="9"/>
          </w:tcPr>
          <w:p>
            <w:pPr>
              <w:spacing w:after="0"/>
              <w:rPr>
                <w:sz w:val="14"/>
                <w:szCs w:val="14"/>
                <w:color w:val="auto"/>
              </w:rPr>
            </w:pPr>
          </w:p>
        </w:tc>
        <w:tc>
          <w:tcPr>
            <w:tcW w:w="40" w:type="dxa"/>
            <w:vAlign w:val="bottom"/>
            <w:gridSpan w:val="2"/>
          </w:tcPr>
          <w:p>
            <w:pPr>
              <w:spacing w:after="0"/>
              <w:rPr>
                <w:sz w:val="14"/>
                <w:szCs w:val="14"/>
                <w:color w:val="auto"/>
              </w:rPr>
            </w:pPr>
          </w:p>
        </w:tc>
        <w:tc>
          <w:tcPr>
            <w:tcW w:w="360" w:type="dxa"/>
            <w:vAlign w:val="bottom"/>
            <w:gridSpan w:val="9"/>
          </w:tcPr>
          <w:p>
            <w:pPr>
              <w:spacing w:after="0"/>
              <w:rPr>
                <w:sz w:val="14"/>
                <w:szCs w:val="14"/>
                <w:color w:val="auto"/>
              </w:rPr>
            </w:pPr>
          </w:p>
        </w:tc>
        <w:tc>
          <w:tcPr>
            <w:tcW w:w="4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60" w:type="dxa"/>
            <w:vAlign w:val="bottom"/>
          </w:tcPr>
          <w:p>
            <w:pPr>
              <w:jc w:val="right"/>
              <w:ind w:right="530"/>
              <w:spacing w:after="0"/>
              <w:rPr>
                <w:sz w:val="20"/>
                <w:szCs w:val="20"/>
                <w:color w:val="auto"/>
              </w:rPr>
            </w:pPr>
            <w:r>
              <w:rPr>
                <w:rFonts w:ascii="Arial" w:cs="Arial" w:eastAsia="Arial" w:hAnsi="Arial"/>
                <w:sz w:val="18"/>
                <w:szCs w:val="18"/>
                <w:color w:val="auto"/>
                <w:w w:val="93"/>
              </w:rPr>
              <w:t>10.39</w:t>
            </w:r>
          </w:p>
        </w:tc>
        <w:tc>
          <w:tcPr>
            <w:tcW w:w="10180" w:type="dxa"/>
            <w:vAlign w:val="bottom"/>
            <w:gridSpan w:val="34"/>
          </w:tcPr>
          <w:p>
            <w:pPr>
              <w:spacing w:after="0"/>
              <w:rPr>
                <w:rFonts w:ascii="Arial" w:cs="Arial" w:eastAsia="Arial" w:hAnsi="Arial"/>
                <w:sz w:val="18"/>
                <w:szCs w:val="18"/>
                <w:color w:val="0000FF"/>
                <w:w w:val="94"/>
              </w:rPr>
            </w:pPr>
            <w:hyperlink r:id="rId117">
              <w:r>
                <w:rPr>
                  <w:rFonts w:ascii="Arial" w:cs="Arial" w:eastAsia="Arial" w:hAnsi="Arial"/>
                  <w:sz w:val="18"/>
                  <w:szCs w:val="18"/>
                  <w:color w:val="0000FF"/>
                  <w:w w:val="94"/>
                </w:rPr>
                <w:t>Amendment to Stockholders Agreement, dated as of October 11, 2019, between the Company and Taylor Parent, LLC (incorporated by</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6960" w:type="dxa"/>
            <w:vAlign w:val="bottom"/>
            <w:tcBorders>
              <w:top w:val="single" w:sz="8" w:color="0000FF"/>
              <w:bottom w:val="single" w:sz="8" w:color="0000FF"/>
            </w:tcBorders>
            <w:gridSpan w:val="11"/>
          </w:tcPr>
          <w:p>
            <w:pPr>
              <w:spacing w:after="0" w:line="169" w:lineRule="exact"/>
              <w:rPr>
                <w:rFonts w:ascii="Arial" w:cs="Arial" w:eastAsia="Arial" w:hAnsi="Arial"/>
                <w:sz w:val="18"/>
                <w:szCs w:val="18"/>
                <w:color w:val="0000FF"/>
                <w:w w:val="91"/>
              </w:rPr>
            </w:pPr>
            <w:hyperlink r:id="rId117">
              <w:r>
                <w:rPr>
                  <w:rFonts w:ascii="Arial" w:cs="Arial" w:eastAsia="Arial" w:hAnsi="Arial"/>
                  <w:sz w:val="18"/>
                  <w:szCs w:val="18"/>
                  <w:color w:val="0000FF"/>
                  <w:w w:val="91"/>
                </w:rPr>
                <w:t>reference to Exhibit 10.1 to the Company’s Current Report on Form 8-K filed October 15, 2019)</w:t>
              </w:r>
            </w:hyperlink>
          </w:p>
        </w:tc>
        <w:tc>
          <w:tcPr>
            <w:tcW w:w="2800" w:type="dxa"/>
            <w:vAlign w:val="bottom"/>
            <w:tcBorders>
              <w:top w:val="single" w:sz="8" w:color="0000FF"/>
            </w:tcBorders>
            <w:gridSpan w:val="17"/>
          </w:tcPr>
          <w:p>
            <w:pPr>
              <w:spacing w:after="0"/>
              <w:rPr>
                <w:sz w:val="14"/>
                <w:szCs w:val="14"/>
                <w:color w:val="auto"/>
              </w:rPr>
            </w:pPr>
          </w:p>
        </w:tc>
        <w:tc>
          <w:tcPr>
            <w:tcW w:w="4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60" w:type="dxa"/>
            <w:vAlign w:val="bottom"/>
          </w:tcPr>
          <w:p>
            <w:pPr>
              <w:jc w:val="right"/>
              <w:ind w:right="530"/>
              <w:spacing w:after="0"/>
              <w:rPr>
                <w:sz w:val="20"/>
                <w:szCs w:val="20"/>
                <w:color w:val="auto"/>
              </w:rPr>
            </w:pPr>
            <w:r>
              <w:rPr>
                <w:rFonts w:ascii="Arial" w:cs="Arial" w:eastAsia="Arial" w:hAnsi="Arial"/>
                <w:sz w:val="18"/>
                <w:szCs w:val="18"/>
                <w:color w:val="auto"/>
                <w:w w:val="93"/>
              </w:rPr>
              <w:t>10.40</w:t>
            </w:r>
          </w:p>
        </w:tc>
        <w:tc>
          <w:tcPr>
            <w:tcW w:w="10180" w:type="dxa"/>
            <w:vAlign w:val="bottom"/>
            <w:gridSpan w:val="34"/>
          </w:tcPr>
          <w:p>
            <w:pPr>
              <w:spacing w:after="0"/>
              <w:rPr>
                <w:rFonts w:ascii="Arial" w:cs="Arial" w:eastAsia="Arial" w:hAnsi="Arial"/>
                <w:sz w:val="18"/>
                <w:szCs w:val="18"/>
                <w:color w:val="0000FF"/>
                <w:w w:val="97"/>
              </w:rPr>
            </w:pPr>
            <w:hyperlink r:id="rId118">
              <w:r>
                <w:rPr>
                  <w:rFonts w:ascii="Arial" w:cs="Arial" w:eastAsia="Arial" w:hAnsi="Arial"/>
                  <w:sz w:val="18"/>
                  <w:szCs w:val="18"/>
                  <w:color w:val="0000FF"/>
                  <w:w w:val="97"/>
                </w:rPr>
                <w:t>Letter Agreement and Joinder, dated as of November 9, 2018, by and among the Company, Taylor Parent, LLC and Centre Capital</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9400" w:type="dxa"/>
            <w:vAlign w:val="bottom"/>
            <w:gridSpan w:val="19"/>
            <w:shd w:val="clear" w:color="auto" w:fill="0000FF"/>
          </w:tcPr>
          <w:p>
            <w:pPr>
              <w:spacing w:after="0" w:line="20" w:lineRule="exact"/>
              <w:rPr>
                <w:sz w:val="1"/>
                <w:szCs w:val="1"/>
                <w:color w:val="auto"/>
              </w:rPr>
            </w:pPr>
          </w:p>
        </w:tc>
        <w:tc>
          <w:tcPr>
            <w:tcW w:w="78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60" w:type="dxa"/>
            <w:vAlign w:val="bottom"/>
          </w:tcPr>
          <w:p>
            <w:pPr>
              <w:spacing w:after="0"/>
              <w:rPr>
                <w:sz w:val="19"/>
                <w:szCs w:val="19"/>
                <w:color w:val="auto"/>
              </w:rPr>
            </w:pPr>
          </w:p>
        </w:tc>
        <w:tc>
          <w:tcPr>
            <w:tcW w:w="10180" w:type="dxa"/>
            <w:vAlign w:val="bottom"/>
            <w:gridSpan w:val="34"/>
          </w:tcPr>
          <w:p>
            <w:pPr>
              <w:spacing w:after="0"/>
              <w:rPr>
                <w:rFonts w:ascii="Arial" w:cs="Arial" w:eastAsia="Arial" w:hAnsi="Arial"/>
                <w:sz w:val="18"/>
                <w:szCs w:val="18"/>
                <w:u w:val="single" w:color="auto"/>
                <w:color w:val="0000FF"/>
                <w:w w:val="96"/>
              </w:rPr>
            </w:pPr>
            <w:hyperlink r:id="rId118">
              <w:r>
                <w:rPr>
                  <w:rFonts w:ascii="Arial" w:cs="Arial" w:eastAsia="Arial" w:hAnsi="Arial"/>
                  <w:sz w:val="18"/>
                  <w:szCs w:val="18"/>
                  <w:u w:val="single" w:color="auto"/>
                  <w:color w:val="0000FF"/>
                  <w:w w:val="96"/>
                </w:rPr>
                <w:t>Investors V, LP. (incorporated by reference to Exhibit 10.01 to the Company’s Current Report on Form 8-K filed November 15, 2018)</w:t>
              </w:r>
            </w:hyperlink>
          </w:p>
        </w:tc>
        <w:tc>
          <w:tcPr>
            <w:tcW w:w="0" w:type="dxa"/>
            <w:vAlign w:val="bottom"/>
          </w:tcPr>
          <w:p>
            <w:pPr>
              <w:spacing w:after="0"/>
              <w:rPr>
                <w:sz w:val="1"/>
                <w:szCs w:val="1"/>
                <w:color w:val="auto"/>
              </w:rPr>
            </w:pPr>
          </w:p>
        </w:tc>
      </w:tr>
      <w:tr>
        <w:trPr>
          <w:trHeight w:val="809"/>
        </w:trPr>
        <w:tc>
          <w:tcPr>
            <w:tcW w:w="1060" w:type="dxa"/>
            <w:vAlign w:val="bottom"/>
          </w:tcPr>
          <w:p>
            <w:pPr>
              <w:spacing w:after="0"/>
              <w:rPr>
                <w:sz w:val="24"/>
                <w:szCs w:val="24"/>
                <w:color w:val="auto"/>
              </w:rPr>
            </w:pPr>
          </w:p>
        </w:tc>
        <w:tc>
          <w:tcPr>
            <w:tcW w:w="5100" w:type="dxa"/>
            <w:vAlign w:val="bottom"/>
            <w:gridSpan w:val="7"/>
          </w:tcPr>
          <w:p>
            <w:pPr>
              <w:ind w:left="4480"/>
              <w:spacing w:after="0"/>
              <w:rPr>
                <w:sz w:val="20"/>
                <w:szCs w:val="20"/>
                <w:color w:val="auto"/>
              </w:rPr>
            </w:pPr>
            <w:r>
              <w:rPr>
                <w:rFonts w:ascii="Arial" w:cs="Arial" w:eastAsia="Arial" w:hAnsi="Arial"/>
                <w:sz w:val="18"/>
                <w:szCs w:val="18"/>
                <w:color w:val="auto"/>
              </w:rPr>
              <w:t>57</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10.41</w:t>
            </w:r>
          </w:p>
        </w:tc>
        <w:tc>
          <w:tcPr>
            <w:tcW w:w="9920" w:type="dxa"/>
            <w:vAlign w:val="bottom"/>
            <w:gridSpan w:val="15"/>
          </w:tcPr>
          <w:p>
            <w:pPr>
              <w:spacing w:after="0"/>
              <w:rPr>
                <w:rFonts w:ascii="Arial" w:cs="Arial" w:eastAsia="Arial" w:hAnsi="Arial"/>
                <w:sz w:val="18"/>
                <w:szCs w:val="18"/>
                <w:color w:val="0000FF"/>
                <w:w w:val="94"/>
              </w:rPr>
            </w:pPr>
            <w:hyperlink r:id="rId121">
              <w:r>
                <w:rPr>
                  <w:rFonts w:ascii="Arial" w:cs="Arial" w:eastAsia="Arial" w:hAnsi="Arial"/>
                  <w:sz w:val="18"/>
                  <w:szCs w:val="18"/>
                  <w:color w:val="0000FF"/>
                  <w:w w:val="94"/>
                </w:rPr>
                <w:t>Credit Agreement, dated as of March 2, 2018, by and among the Company, the other Borrowers from time to time party thereto, the</w:t>
              </w:r>
            </w:hyperlink>
          </w:p>
        </w:tc>
      </w:tr>
      <w:tr>
        <w:trPr>
          <w:trHeight w:val="169"/>
        </w:trPr>
        <w:tc>
          <w:tcPr>
            <w:tcW w:w="1040" w:type="dxa"/>
            <w:vAlign w:val="bottom"/>
          </w:tcPr>
          <w:p>
            <w:pPr>
              <w:spacing w:after="0"/>
              <w:rPr>
                <w:sz w:val="14"/>
                <w:szCs w:val="14"/>
                <w:color w:val="auto"/>
              </w:rPr>
            </w:pPr>
          </w:p>
        </w:tc>
        <w:tc>
          <w:tcPr>
            <w:tcW w:w="948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0"/>
              </w:rPr>
            </w:pPr>
            <w:hyperlink r:id="rId121">
              <w:r>
                <w:rPr>
                  <w:rFonts w:ascii="Arial" w:cs="Arial" w:eastAsia="Arial" w:hAnsi="Arial"/>
                  <w:sz w:val="18"/>
                  <w:szCs w:val="18"/>
                  <w:color w:val="0000FF"/>
                  <w:w w:val="90"/>
                </w:rPr>
                <w:t>other Loan Parties from time to time party thereto, the Lenders from time to time party thereto, and JPMorgan Chase Bank, N.A., as</w:t>
              </w:r>
            </w:hyperlink>
          </w:p>
        </w:tc>
        <w:tc>
          <w:tcPr>
            <w:tcW w:w="4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4"/>
        </w:trPr>
        <w:tc>
          <w:tcPr>
            <w:tcW w:w="1040" w:type="dxa"/>
            <w:vAlign w:val="bottom"/>
          </w:tcPr>
          <w:p>
            <w:pPr>
              <w:spacing w:after="0"/>
              <w:rPr>
                <w:sz w:val="19"/>
                <w:szCs w:val="19"/>
                <w:color w:val="auto"/>
              </w:rPr>
            </w:pPr>
          </w:p>
        </w:tc>
        <w:tc>
          <w:tcPr>
            <w:tcW w:w="9520" w:type="dxa"/>
            <w:vAlign w:val="bottom"/>
            <w:gridSpan w:val="6"/>
          </w:tcPr>
          <w:p>
            <w:pPr>
              <w:spacing w:after="0"/>
              <w:rPr>
                <w:rFonts w:ascii="Arial" w:cs="Arial" w:eastAsia="Arial" w:hAnsi="Arial"/>
                <w:sz w:val="18"/>
                <w:szCs w:val="18"/>
                <w:u w:val="single" w:color="auto"/>
                <w:color w:val="0000FF"/>
                <w:w w:val="91"/>
              </w:rPr>
            </w:pPr>
            <w:hyperlink r:id="rId121">
              <w:r>
                <w:rPr>
                  <w:rFonts w:ascii="Arial" w:cs="Arial" w:eastAsia="Arial" w:hAnsi="Arial"/>
                  <w:sz w:val="18"/>
                  <w:szCs w:val="18"/>
                  <w:u w:val="single" w:color="auto"/>
                  <w:color w:val="0000FF"/>
                  <w:w w:val="91"/>
                </w:rPr>
                <w:t>Administrative Agent (incorporated by reference to Exhibit 10.2 to the Company’s Current Report on Form 8-K filed March 6, 2018)</w:t>
              </w:r>
            </w:hyperlink>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10.42</w:t>
            </w:r>
          </w:p>
        </w:tc>
        <w:tc>
          <w:tcPr>
            <w:tcW w:w="9920" w:type="dxa"/>
            <w:vAlign w:val="bottom"/>
            <w:gridSpan w:val="15"/>
          </w:tcPr>
          <w:p>
            <w:pPr>
              <w:spacing w:after="0"/>
              <w:rPr>
                <w:rFonts w:ascii="Arial" w:cs="Arial" w:eastAsia="Arial" w:hAnsi="Arial"/>
                <w:sz w:val="18"/>
                <w:szCs w:val="18"/>
                <w:color w:val="0000FF"/>
                <w:w w:val="93"/>
              </w:rPr>
            </w:pPr>
            <w:hyperlink r:id="rId122">
              <w:r>
                <w:rPr>
                  <w:rFonts w:ascii="Arial" w:cs="Arial" w:eastAsia="Arial" w:hAnsi="Arial"/>
                  <w:sz w:val="18"/>
                  <w:szCs w:val="18"/>
                  <w:color w:val="0000FF"/>
                  <w:w w:val="93"/>
                </w:rPr>
                <w:t>Loan Agreement, dated as of March 2, 2018, by and among the Company, the other Loan Parties from time to time party thereto, the</w:t>
              </w:r>
            </w:hyperlink>
          </w:p>
        </w:tc>
      </w:tr>
      <w:tr>
        <w:trPr>
          <w:trHeight w:val="20"/>
        </w:trPr>
        <w:tc>
          <w:tcPr>
            <w:tcW w:w="10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60" w:type="dxa"/>
            <w:vAlign w:val="bottom"/>
            <w:shd w:val="clear" w:color="auto" w:fill="0000FF"/>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040" w:type="dxa"/>
            <w:vAlign w:val="bottom"/>
          </w:tcPr>
          <w:p>
            <w:pPr>
              <w:spacing w:after="0"/>
              <w:rPr>
                <w:sz w:val="13"/>
                <w:szCs w:val="13"/>
                <w:color w:val="auto"/>
              </w:rPr>
            </w:pPr>
          </w:p>
        </w:tc>
        <w:tc>
          <w:tcPr>
            <w:tcW w:w="9920" w:type="dxa"/>
            <w:vAlign w:val="bottom"/>
            <w:gridSpan w:val="15"/>
          </w:tcPr>
          <w:p>
            <w:pPr>
              <w:spacing w:after="0" w:line="156" w:lineRule="exact"/>
              <w:rPr>
                <w:rFonts w:ascii="Arial" w:cs="Arial" w:eastAsia="Arial" w:hAnsi="Arial"/>
                <w:sz w:val="18"/>
                <w:szCs w:val="18"/>
                <w:color w:val="0000FF"/>
                <w:w w:val="93"/>
              </w:rPr>
            </w:pPr>
            <w:hyperlink r:id="rId122">
              <w:r>
                <w:rPr>
                  <w:rFonts w:ascii="Arial" w:cs="Arial" w:eastAsia="Arial" w:hAnsi="Arial"/>
                  <w:sz w:val="18"/>
                  <w:szCs w:val="18"/>
                  <w:color w:val="0000FF"/>
                  <w:w w:val="93"/>
                </w:rPr>
                <w:t>Lenders from time to time party thereto, JPMorgan Chase Bank, N.A., as Administrative Agent and Golub Capital LLC, as Syndication</w:t>
              </w:r>
            </w:hyperlink>
          </w:p>
        </w:tc>
      </w:tr>
      <w:tr>
        <w:trPr>
          <w:trHeight w:val="224"/>
        </w:trPr>
        <w:tc>
          <w:tcPr>
            <w:tcW w:w="1040" w:type="dxa"/>
            <w:vAlign w:val="bottom"/>
          </w:tcPr>
          <w:p>
            <w:pPr>
              <w:spacing w:after="0"/>
              <w:rPr>
                <w:sz w:val="19"/>
                <w:szCs w:val="19"/>
                <w:color w:val="auto"/>
              </w:rPr>
            </w:pPr>
          </w:p>
        </w:tc>
        <w:tc>
          <w:tcPr>
            <w:tcW w:w="9780" w:type="dxa"/>
            <w:vAlign w:val="bottom"/>
            <w:tcBorders>
              <w:top w:val="single" w:sz="8" w:color="0000FF"/>
            </w:tcBorders>
            <w:gridSpan w:val="9"/>
          </w:tcPr>
          <w:p>
            <w:pPr>
              <w:spacing w:after="0"/>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Agent. (incorporated by reference to Exhibit 10.3 to the Company’s Current Report on Form 8-K filed March 6, 2018)</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1040" w:type="dxa"/>
            <w:vAlign w:val="bottom"/>
          </w:tcPr>
          <w:p>
            <w:pPr>
              <w:spacing w:after="0"/>
              <w:rPr>
                <w:sz w:val="20"/>
                <w:szCs w:val="20"/>
                <w:color w:val="auto"/>
              </w:rPr>
            </w:pPr>
            <w:r>
              <w:rPr>
                <w:rFonts w:ascii="Arial" w:cs="Arial" w:eastAsia="Arial" w:hAnsi="Arial"/>
                <w:sz w:val="18"/>
                <w:szCs w:val="18"/>
                <w:color w:val="auto"/>
              </w:rPr>
              <w:t>10.43</w:t>
            </w:r>
          </w:p>
        </w:tc>
        <w:tc>
          <w:tcPr>
            <w:tcW w:w="9800" w:type="dxa"/>
            <w:vAlign w:val="bottom"/>
            <w:tcBorders>
              <w:bottom w:val="single" w:sz="8" w:color="0000FF"/>
            </w:tcBorders>
            <w:gridSpan w:val="10"/>
          </w:tcPr>
          <w:p>
            <w:pPr>
              <w:spacing w:after="0"/>
              <w:rPr>
                <w:rFonts w:ascii="Arial" w:cs="Arial" w:eastAsia="Arial" w:hAnsi="Arial"/>
                <w:sz w:val="18"/>
                <w:szCs w:val="18"/>
                <w:color w:val="0000FF"/>
                <w:w w:val="88"/>
              </w:rPr>
            </w:pPr>
            <w:hyperlink w:anchor="page104">
              <w:r>
                <w:rPr>
                  <w:rFonts w:ascii="Arial" w:cs="Arial" w:eastAsia="Arial" w:hAnsi="Arial"/>
                  <w:sz w:val="18"/>
                  <w:szCs w:val="18"/>
                  <w:color w:val="0000FF"/>
                  <w:w w:val="88"/>
                </w:rPr>
                <w:t>Amendment No.1 to the Receivables Purchase Agreement, dated as of October 9, 2020 by and among the Company, as a Seller and as a</w:t>
              </w:r>
            </w:hyperlink>
          </w:p>
        </w:tc>
        <w:tc>
          <w:tcPr>
            <w:tcW w:w="120" w:type="dxa"/>
            <w:vAlign w:val="bottom"/>
            <w:gridSpan w:val="5"/>
          </w:tcPr>
          <w:p>
            <w:pPr>
              <w:spacing w:after="0"/>
              <w:rPr>
                <w:sz w:val="18"/>
                <w:szCs w:val="18"/>
                <w:color w:val="auto"/>
              </w:rPr>
            </w:pPr>
          </w:p>
        </w:tc>
      </w:tr>
      <w:tr>
        <w:trPr>
          <w:trHeight w:val="156"/>
        </w:trPr>
        <w:tc>
          <w:tcPr>
            <w:tcW w:w="1040" w:type="dxa"/>
            <w:vAlign w:val="bottom"/>
          </w:tcPr>
          <w:p>
            <w:pPr>
              <w:spacing w:after="0"/>
              <w:rPr>
                <w:sz w:val="13"/>
                <w:szCs w:val="13"/>
                <w:color w:val="auto"/>
              </w:rPr>
            </w:pPr>
          </w:p>
        </w:tc>
        <w:tc>
          <w:tcPr>
            <w:tcW w:w="9920" w:type="dxa"/>
            <w:vAlign w:val="bottom"/>
            <w:gridSpan w:val="15"/>
          </w:tcPr>
          <w:p>
            <w:pPr>
              <w:spacing w:after="0" w:line="156" w:lineRule="exact"/>
              <w:rPr>
                <w:rFonts w:ascii="Arial" w:cs="Arial" w:eastAsia="Arial" w:hAnsi="Arial"/>
                <w:sz w:val="18"/>
                <w:szCs w:val="18"/>
                <w:color w:val="0000FF"/>
                <w:w w:val="91"/>
              </w:rPr>
            </w:pPr>
            <w:hyperlink w:anchor="page104">
              <w:r>
                <w:rPr>
                  <w:rFonts w:ascii="Arial" w:cs="Arial" w:eastAsia="Arial" w:hAnsi="Arial"/>
                  <w:sz w:val="18"/>
                  <w:szCs w:val="18"/>
                  <w:color w:val="0000FF"/>
                  <w:w w:val="91"/>
                </w:rPr>
                <w:t>Seller Agent and initial Servicer, for itself and each of its subsidiaries thereto as a Seller, and HSBC Bank USA, National Association, as</w:t>
              </w:r>
            </w:hyperlink>
          </w:p>
        </w:tc>
      </w:tr>
      <w:tr>
        <w:trPr>
          <w:trHeight w:val="156"/>
        </w:trPr>
        <w:tc>
          <w:tcPr>
            <w:tcW w:w="1040" w:type="dxa"/>
            <w:vAlign w:val="bottom"/>
          </w:tcPr>
          <w:p>
            <w:pPr>
              <w:spacing w:after="0"/>
              <w:rPr>
                <w:sz w:val="13"/>
                <w:szCs w:val="13"/>
                <w:color w:val="auto"/>
              </w:rPr>
            </w:pPr>
          </w:p>
        </w:tc>
        <w:tc>
          <w:tcPr>
            <w:tcW w:w="7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5"/>
              </w:rPr>
            </w:pPr>
            <w:hyperlink w:anchor="page104">
              <w:r>
                <w:rPr>
                  <w:rFonts w:ascii="Arial" w:cs="Arial" w:eastAsia="Arial" w:hAnsi="Arial"/>
                  <w:sz w:val="18"/>
                  <w:szCs w:val="18"/>
                  <w:color w:val="0000FF"/>
                  <w:w w:val="85"/>
                </w:rPr>
                <w:t>Purchaser</w:t>
              </w:r>
            </w:hyperlink>
          </w:p>
        </w:tc>
        <w:tc>
          <w:tcPr>
            <w:tcW w:w="916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21.1</w:t>
            </w:r>
          </w:p>
        </w:tc>
        <w:tc>
          <w:tcPr>
            <w:tcW w:w="9920" w:type="dxa"/>
            <w:vAlign w:val="bottom"/>
            <w:gridSpan w:val="15"/>
          </w:tcPr>
          <w:p>
            <w:pPr>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Subsidiaries of the Company</w:t>
              </w:r>
            </w:hyperlink>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9920" w:type="dxa"/>
            <w:vAlign w:val="bottom"/>
            <w:gridSpan w:val="15"/>
          </w:tcPr>
          <w:p>
            <w:pPr>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Consent of Ernst &amp; Young LLP</w:t>
              </w:r>
            </w:hyperlink>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23.2</w:t>
            </w:r>
          </w:p>
        </w:tc>
        <w:tc>
          <w:tcPr>
            <w:tcW w:w="9920" w:type="dxa"/>
            <w:vAlign w:val="bottom"/>
            <w:gridSpan w:val="15"/>
          </w:tcPr>
          <w:p>
            <w:pPr>
              <w:spacing w:after="0"/>
              <w:rPr>
                <w:rFonts w:ascii="Arial" w:cs="Arial" w:eastAsia="Arial" w:hAnsi="Arial"/>
                <w:sz w:val="18"/>
                <w:szCs w:val="18"/>
                <w:color w:val="0000FF"/>
              </w:rPr>
            </w:pPr>
            <w:hyperlink w:anchor="page109">
              <w:r>
                <w:rPr>
                  <w:rFonts w:ascii="Arial" w:cs="Arial" w:eastAsia="Arial" w:hAnsi="Arial"/>
                  <w:sz w:val="18"/>
                  <w:szCs w:val="18"/>
                  <w:u w:val="single" w:color="auto"/>
                  <w:color w:val="0000FF"/>
                </w:rPr>
                <w:t>Consent of Castillo Miranda Y Compania, S.C</w:t>
              </w:r>
              <w:r>
                <w:rPr>
                  <w:rFonts w:ascii="Arial" w:cs="Arial" w:eastAsia="Arial" w:hAnsi="Arial"/>
                  <w:sz w:val="18"/>
                  <w:szCs w:val="18"/>
                  <w:color w:val="0000FF"/>
                </w:rPr>
                <w:t>.</w:t>
              </w:r>
            </w:hyperlink>
          </w:p>
        </w:tc>
      </w:tr>
      <w:tr>
        <w:trPr>
          <w:trHeight w:val="243"/>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9920" w:type="dxa"/>
            <w:vAlign w:val="bottom"/>
            <w:gridSpan w:val="15"/>
          </w:tcPr>
          <w:p>
            <w:pPr>
              <w:spacing w:after="0"/>
              <w:rPr>
                <w:rFonts w:ascii="Arial" w:cs="Arial" w:eastAsia="Arial" w:hAnsi="Arial"/>
                <w:sz w:val="18"/>
                <w:szCs w:val="18"/>
                <w:color w:val="0000FF"/>
                <w:w w:val="92"/>
              </w:rPr>
            </w:pPr>
            <w:hyperlink w:anchor="page110">
              <w:r>
                <w:rPr>
                  <w:rFonts w:ascii="Arial" w:cs="Arial" w:eastAsia="Arial" w:hAnsi="Arial"/>
                  <w:sz w:val="18"/>
                  <w:szCs w:val="18"/>
                  <w:color w:val="0000FF"/>
                  <w:w w:val="92"/>
                </w:rPr>
                <w:t>Certification by Robert B. Kay, Chief Executive Officer and Director, pursuant to Rule 13a-14(a) or Rule 15d-14(a) of the Securities and</w:t>
              </w:r>
            </w:hyperlink>
          </w:p>
        </w:tc>
      </w:tr>
      <w:tr>
        <w:trPr>
          <w:trHeight w:val="156"/>
        </w:trPr>
        <w:tc>
          <w:tcPr>
            <w:tcW w:w="1040" w:type="dxa"/>
            <w:vAlign w:val="bottom"/>
          </w:tcPr>
          <w:p>
            <w:pPr>
              <w:spacing w:after="0"/>
              <w:rPr>
                <w:sz w:val="13"/>
                <w:szCs w:val="13"/>
                <w:color w:val="auto"/>
              </w:rPr>
            </w:pPr>
          </w:p>
        </w:tc>
        <w:tc>
          <w:tcPr>
            <w:tcW w:w="98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110">
              <w:r>
                <w:rPr>
                  <w:rFonts w:ascii="Arial" w:cs="Arial" w:eastAsia="Arial" w:hAnsi="Arial"/>
                  <w:sz w:val="18"/>
                  <w:szCs w:val="18"/>
                  <w:color w:val="0000FF"/>
                </w:rPr>
                <w:t>Exchange Act of 1934, as adopted pursuant to Section 302 of the Sarbanes-Oxley Act of 2002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20" w:type="dxa"/>
            <w:vAlign w:val="bottom"/>
            <w:gridSpan w:val="2"/>
            <w:shd w:val="clear" w:color="auto" w:fill="0000FF"/>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9920" w:type="dxa"/>
            <w:vAlign w:val="bottom"/>
            <w:gridSpan w:val="15"/>
          </w:tcPr>
          <w:p>
            <w:pPr>
              <w:spacing w:after="0"/>
              <w:rPr>
                <w:rFonts w:ascii="Arial" w:cs="Arial" w:eastAsia="Arial" w:hAnsi="Arial"/>
                <w:sz w:val="18"/>
                <w:szCs w:val="18"/>
                <w:color w:val="0000FF"/>
                <w:w w:val="92"/>
              </w:rPr>
            </w:pPr>
            <w:hyperlink w:anchor="page111">
              <w:r>
                <w:rPr>
                  <w:rFonts w:ascii="Arial" w:cs="Arial" w:eastAsia="Arial" w:hAnsi="Arial"/>
                  <w:sz w:val="18"/>
                  <w:szCs w:val="18"/>
                  <w:color w:val="0000FF"/>
                  <w:w w:val="92"/>
                </w:rPr>
                <w:t>Certification by Laurence Winoker, Senior Vice President – Finance, Treasurer and Chief Financial Officer, pursuant to Rule 13a-14(a)</w:t>
              </w:r>
            </w:hyperlink>
          </w:p>
        </w:tc>
      </w:tr>
      <w:tr>
        <w:trPr>
          <w:trHeight w:val="224"/>
        </w:trPr>
        <w:tc>
          <w:tcPr>
            <w:tcW w:w="1040" w:type="dxa"/>
            <w:vAlign w:val="bottom"/>
          </w:tcPr>
          <w:p>
            <w:pPr>
              <w:spacing w:after="0"/>
              <w:rPr>
                <w:sz w:val="19"/>
                <w:szCs w:val="19"/>
                <w:color w:val="auto"/>
              </w:rPr>
            </w:pPr>
          </w:p>
        </w:tc>
        <w:tc>
          <w:tcPr>
            <w:tcW w:w="9720" w:type="dxa"/>
            <w:vAlign w:val="bottom"/>
            <w:tcBorders>
              <w:top w:val="single" w:sz="8" w:color="0000FF"/>
            </w:tcBorders>
            <w:gridSpan w:val="8"/>
          </w:tcPr>
          <w:p>
            <w:pPr>
              <w:spacing w:after="0"/>
              <w:rPr>
                <w:rFonts w:ascii="Arial" w:cs="Arial" w:eastAsia="Arial" w:hAnsi="Arial"/>
                <w:sz w:val="18"/>
                <w:szCs w:val="18"/>
                <w:u w:val="single" w:color="auto"/>
                <w:color w:val="0000FF"/>
                <w:w w:val="91"/>
              </w:rPr>
            </w:pPr>
            <w:hyperlink w:anchor="page111">
              <w:r>
                <w:rPr>
                  <w:rFonts w:ascii="Arial" w:cs="Arial" w:eastAsia="Arial" w:hAnsi="Arial"/>
                  <w:sz w:val="18"/>
                  <w:szCs w:val="18"/>
                  <w:u w:val="single" w:color="auto"/>
                  <w:color w:val="0000FF"/>
                  <w:w w:val="91"/>
                </w:rPr>
                <w:t>or Rule 15d-14(a) of the Securities and Exchange Act of 1934, as adopted pursuant to Section 302 of the Sarbanes-Oxley Act of 2002</w:t>
              </w:r>
            </w:hyperlink>
          </w:p>
        </w:tc>
        <w:tc>
          <w:tcPr>
            <w:tcW w:w="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9920" w:type="dxa"/>
            <w:vAlign w:val="bottom"/>
            <w:gridSpan w:val="15"/>
          </w:tcPr>
          <w:p>
            <w:pPr>
              <w:spacing w:after="0"/>
              <w:rPr>
                <w:rFonts w:ascii="Arial" w:cs="Arial" w:eastAsia="Arial" w:hAnsi="Arial"/>
                <w:sz w:val="18"/>
                <w:szCs w:val="18"/>
                <w:color w:val="0000FF"/>
                <w:w w:val="91"/>
              </w:rPr>
            </w:pPr>
            <w:hyperlink w:anchor="page112">
              <w:r>
                <w:rPr>
                  <w:rFonts w:ascii="Arial" w:cs="Arial" w:eastAsia="Arial" w:hAnsi="Arial"/>
                  <w:sz w:val="18"/>
                  <w:szCs w:val="18"/>
                  <w:color w:val="0000FF"/>
                  <w:w w:val="91"/>
                </w:rPr>
                <w:t>Certification by Robert B. Kay, Chief Executive Officer and Director, and Laurence Winoker, Senior Vice President – Finance, Treasurer</w:t>
              </w:r>
            </w:hyperlink>
          </w:p>
        </w:tc>
      </w:tr>
      <w:tr>
        <w:trPr>
          <w:trHeight w:val="156"/>
        </w:trPr>
        <w:tc>
          <w:tcPr>
            <w:tcW w:w="1040" w:type="dxa"/>
            <w:vAlign w:val="bottom"/>
          </w:tcPr>
          <w:p>
            <w:pPr>
              <w:spacing w:after="0"/>
              <w:rPr>
                <w:sz w:val="13"/>
                <w:szCs w:val="13"/>
                <w:color w:val="auto"/>
              </w:rPr>
            </w:pPr>
          </w:p>
        </w:tc>
        <w:tc>
          <w:tcPr>
            <w:tcW w:w="9900" w:type="dxa"/>
            <w:vAlign w:val="bottom"/>
            <w:tcBorders>
              <w:top w:val="single" w:sz="8" w:color="0000FF"/>
            </w:tcBorders>
            <w:gridSpan w:val="14"/>
          </w:tcPr>
          <w:p>
            <w:pPr>
              <w:spacing w:after="0" w:line="156" w:lineRule="exact"/>
              <w:rPr>
                <w:rFonts w:ascii="Arial" w:cs="Arial" w:eastAsia="Arial" w:hAnsi="Arial"/>
                <w:sz w:val="18"/>
                <w:szCs w:val="18"/>
                <w:color w:val="0000FF"/>
                <w:w w:val="91"/>
              </w:rPr>
            </w:pPr>
            <w:hyperlink w:anchor="page112">
              <w:r>
                <w:rPr>
                  <w:rFonts w:ascii="Arial" w:cs="Arial" w:eastAsia="Arial" w:hAnsi="Arial"/>
                  <w:sz w:val="18"/>
                  <w:szCs w:val="18"/>
                  <w:color w:val="0000FF"/>
                  <w:w w:val="91"/>
                </w:rPr>
                <w:t>and Chief Financial Officer, pursuant to 18 U.S.C. Section 1350, as adopted pursuant to Section 906 of the Sarbanes-Oxley Act of 2002</w:t>
              </w:r>
            </w:hyperlink>
          </w:p>
        </w:tc>
        <w:tc>
          <w:tcPr>
            <w:tcW w:w="2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3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rPr>
            </w:pPr>
            <w:hyperlink w:anchor="page112">
              <w:r>
                <w:rPr>
                  <w:rFonts w:ascii="Arial" w:cs="Arial" w:eastAsia="Arial" w:hAnsi="Arial"/>
                  <w:sz w:val="18"/>
                  <w:szCs w:val="18"/>
                  <w:color w:val="0000FF"/>
                </w:rPr>
                <w:t>(**)</w:t>
              </w:r>
            </w:hyperlink>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60" w:type="dxa"/>
            <w:vAlign w:val="bottom"/>
            <w:tcBorders>
              <w:top w:val="single" w:sz="8" w:color="0000FF"/>
            </w:tcBorders>
          </w:tcPr>
          <w:p>
            <w:pPr>
              <w:spacing w:after="0"/>
              <w:rPr>
                <w:sz w:val="13"/>
                <w:szCs w:val="13"/>
                <w:color w:val="auto"/>
              </w:rPr>
            </w:pPr>
          </w:p>
        </w:tc>
        <w:tc>
          <w:tcPr>
            <w:tcW w:w="27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9920" w:type="dxa"/>
            <w:vAlign w:val="bottom"/>
            <w:gridSpan w:val="15"/>
          </w:tcPr>
          <w:p>
            <w:pPr>
              <w:spacing w:after="0"/>
              <w:rPr>
                <w:rFonts w:ascii="Arial" w:cs="Arial" w:eastAsia="Arial" w:hAnsi="Arial"/>
                <w:sz w:val="18"/>
                <w:szCs w:val="18"/>
                <w:color w:val="0000FF"/>
                <w:w w:val="92"/>
              </w:rPr>
            </w:pPr>
            <w:hyperlink w:anchor="page113">
              <w:r>
                <w:rPr>
                  <w:rFonts w:ascii="Arial" w:cs="Arial" w:eastAsia="Arial" w:hAnsi="Arial"/>
                  <w:sz w:val="18"/>
                  <w:szCs w:val="18"/>
                  <w:color w:val="0000FF"/>
                  <w:w w:val="92"/>
                </w:rPr>
                <w:t>Report of Independent Registered Accounting Firm on the consolidated financial statements of Grupo Vasconia, S.A.B. (formerly Ekco,</w:t>
              </w:r>
            </w:hyperlink>
          </w:p>
        </w:tc>
      </w:tr>
      <w:tr>
        <w:trPr>
          <w:trHeight w:val="156"/>
        </w:trPr>
        <w:tc>
          <w:tcPr>
            <w:tcW w:w="1040" w:type="dxa"/>
            <w:vAlign w:val="bottom"/>
          </w:tcPr>
          <w:p>
            <w:pPr>
              <w:spacing w:after="0"/>
              <w:rPr>
                <w:sz w:val="13"/>
                <w:szCs w:val="13"/>
                <w:color w:val="auto"/>
              </w:rPr>
            </w:pPr>
          </w:p>
        </w:tc>
        <w:tc>
          <w:tcPr>
            <w:tcW w:w="5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4"/>
              </w:rPr>
            </w:pPr>
            <w:hyperlink w:anchor="page113">
              <w:r>
                <w:rPr>
                  <w:rFonts w:ascii="Arial" w:cs="Arial" w:eastAsia="Arial" w:hAnsi="Arial"/>
                  <w:sz w:val="18"/>
                  <w:szCs w:val="18"/>
                  <w:color w:val="0000FF"/>
                  <w:w w:val="94"/>
                </w:rPr>
                <w:t>S.A.B.)</w:t>
              </w:r>
            </w:hyperlink>
          </w:p>
        </w:tc>
        <w:tc>
          <w:tcPr>
            <w:tcW w:w="9240" w:type="dxa"/>
            <w:vAlign w:val="bottom"/>
            <w:tcBorders>
              <w:top w:val="single" w:sz="8" w:color="0000FF"/>
            </w:tcBorders>
            <w:gridSpan w:val="8"/>
          </w:tcPr>
          <w:p>
            <w:pPr>
              <w:spacing w:after="0"/>
              <w:rPr>
                <w:sz w:val="13"/>
                <w:szCs w:val="13"/>
                <w:color w:val="auto"/>
              </w:rPr>
            </w:pPr>
          </w:p>
        </w:tc>
        <w:tc>
          <w:tcPr>
            <w:tcW w:w="120" w:type="dxa"/>
            <w:vAlign w:val="bottom"/>
            <w:gridSpan w:val="5"/>
          </w:tcPr>
          <w:p>
            <w:pPr>
              <w:spacing w:after="0"/>
              <w:rPr>
                <w:sz w:val="13"/>
                <w:szCs w:val="13"/>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9920" w:type="dxa"/>
            <w:vAlign w:val="bottom"/>
            <w:gridSpan w:val="15"/>
          </w:tcPr>
          <w:p>
            <w:pPr>
              <w:spacing w:after="0"/>
              <w:rPr>
                <w:sz w:val="20"/>
                <w:szCs w:val="20"/>
                <w:color w:val="auto"/>
              </w:rPr>
            </w:pPr>
            <w:r>
              <w:rPr>
                <w:rFonts w:ascii="Arial" w:cs="Arial" w:eastAsia="Arial" w:hAnsi="Arial"/>
                <w:sz w:val="18"/>
                <w:szCs w:val="18"/>
                <w:color w:val="auto"/>
                <w:w w:val="97"/>
              </w:rPr>
              <w:t>Inline XBRL Instance Document (the instance document does not appear in the interactive Data File because its XBRL tags are</w:t>
            </w:r>
          </w:p>
        </w:tc>
      </w:tr>
      <w:tr>
        <w:trPr>
          <w:trHeight w:val="230"/>
        </w:trPr>
        <w:tc>
          <w:tcPr>
            <w:tcW w:w="1040" w:type="dxa"/>
            <w:vAlign w:val="bottom"/>
          </w:tcPr>
          <w:p>
            <w:pPr>
              <w:spacing w:after="0"/>
              <w:rPr>
                <w:sz w:val="20"/>
                <w:szCs w:val="20"/>
                <w:color w:val="auto"/>
              </w:rPr>
            </w:pPr>
          </w:p>
        </w:tc>
        <w:tc>
          <w:tcPr>
            <w:tcW w:w="9920" w:type="dxa"/>
            <w:vAlign w:val="bottom"/>
            <w:gridSpan w:val="15"/>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992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992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992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992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992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9920" w:type="dxa"/>
            <w:vAlign w:val="bottom"/>
            <w:gridSpan w:val="15"/>
          </w:tcPr>
          <w:p>
            <w:pPr>
              <w:spacing w:after="0"/>
              <w:rPr>
                <w:sz w:val="20"/>
                <w:szCs w:val="20"/>
                <w:color w:val="auto"/>
              </w:rPr>
            </w:pPr>
            <w:r>
              <w:rPr>
                <w:rFonts w:ascii="Arial" w:cs="Arial" w:eastAsia="Arial" w:hAnsi="Arial"/>
                <w:sz w:val="18"/>
                <w:szCs w:val="18"/>
                <w:color w:val="auto"/>
              </w:rPr>
              <w:t>The cover page from this Annual Report on Form 10-K, formatted in Inline XBRL</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Notes to exhibits:</w:t>
      </w:r>
    </w:p>
    <w:p>
      <w:pPr>
        <w:spacing w:after="0" w:line="117" w:lineRule="exact"/>
        <w:rPr>
          <w:sz w:val="20"/>
          <w:szCs w:val="20"/>
          <w:color w:val="auto"/>
        </w:rPr>
      </w:pPr>
    </w:p>
    <w:p>
      <w:pPr>
        <w:ind w:left="340" w:right="3560" w:hanging="8"/>
        <w:spacing w:after="0" w:line="402" w:lineRule="auto"/>
        <w:tabs>
          <w:tab w:leader="none" w:pos="5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Compensatory plans in which the directors and executive officers of the Company participate. (**) Furnished, not filed.</w:t>
      </w:r>
    </w:p>
    <w:p>
      <w:pPr>
        <w:spacing w:after="0" w:line="27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25" w:right="6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65"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Lifetime Brands, Inc.</w:t>
      </w:r>
    </w:p>
    <w:p>
      <w:pPr>
        <w:spacing w:after="0" w:line="29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27089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4">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1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Robert B. Kay</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Date: March 10, 2021</w:t>
      </w:r>
    </w:p>
    <w:p>
      <w:pPr>
        <w:spacing w:after="0" w:line="22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60" w:type="dxa"/>
            <w:vAlign w:val="bottom"/>
          </w:tcPr>
          <w:p>
            <w:pPr>
              <w:ind w:left="20"/>
              <w:spacing w:after="0"/>
              <w:rPr>
                <w:sz w:val="20"/>
                <w:szCs w:val="20"/>
                <w:color w:val="auto"/>
              </w:rPr>
            </w:pPr>
            <w:r>
              <w:rPr>
                <w:rFonts w:ascii="Arial" w:cs="Arial" w:eastAsia="Arial" w:hAnsi="Arial"/>
                <w:sz w:val="14"/>
                <w:szCs w:val="14"/>
                <w:color w:val="auto"/>
              </w:rPr>
              <w:t>Signature</w:t>
            </w:r>
          </w:p>
        </w:tc>
        <w:tc>
          <w:tcPr>
            <w:tcW w:w="4840" w:type="dxa"/>
            <w:vAlign w:val="bottom"/>
          </w:tcPr>
          <w:p>
            <w:pPr>
              <w:ind w:left="2780"/>
              <w:spacing w:after="0"/>
              <w:rPr>
                <w:sz w:val="20"/>
                <w:szCs w:val="20"/>
                <w:color w:val="auto"/>
              </w:rPr>
            </w:pPr>
            <w:r>
              <w:rPr>
                <w:rFonts w:ascii="Arial" w:cs="Arial" w:eastAsia="Arial" w:hAnsi="Arial"/>
                <w:sz w:val="14"/>
                <w:szCs w:val="14"/>
                <w:color w:val="auto"/>
              </w:rPr>
              <w:t>Title</w:t>
            </w:r>
          </w:p>
        </w:tc>
        <w:tc>
          <w:tcPr>
            <w:tcW w:w="2520" w:type="dxa"/>
            <w:vAlign w:val="bottom"/>
          </w:tcPr>
          <w:p>
            <w:pPr>
              <w:jc w:val="right"/>
              <w:spacing w:after="0"/>
              <w:rPr>
                <w:sz w:val="20"/>
                <w:szCs w:val="20"/>
                <w:color w:val="auto"/>
              </w:rPr>
            </w:pPr>
            <w:r>
              <w:rPr>
                <w:rFonts w:ascii="Arial" w:cs="Arial" w:eastAsia="Arial" w:hAnsi="Arial"/>
                <w:sz w:val="14"/>
                <w:szCs w:val="14"/>
                <w:color w:val="auto"/>
              </w:rPr>
              <w:t>Date</w:t>
            </w:r>
          </w:p>
        </w:tc>
      </w:tr>
      <w:tr>
        <w:trPr>
          <w:trHeight w:val="296"/>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B. Kay</w:t>
            </w:r>
          </w:p>
        </w:tc>
        <w:tc>
          <w:tcPr>
            <w:tcW w:w="4840" w:type="dxa"/>
            <w:vAlign w:val="bottom"/>
          </w:tcPr>
          <w:p>
            <w:pPr>
              <w:ind w:left="120"/>
              <w:spacing w:after="0"/>
              <w:rPr>
                <w:sz w:val="20"/>
                <w:szCs w:val="20"/>
                <w:color w:val="auto"/>
              </w:rPr>
            </w:pPr>
            <w:r>
              <w:rPr>
                <w:rFonts w:ascii="Arial" w:cs="Arial" w:eastAsia="Arial" w:hAnsi="Arial"/>
                <w:sz w:val="18"/>
                <w:szCs w:val="18"/>
                <w:color w:val="auto"/>
              </w:rPr>
              <w:t>Chief Executive Officer and Director</w:t>
            </w:r>
          </w:p>
        </w:tc>
        <w:tc>
          <w:tcPr>
            <w:tcW w:w="2520" w:type="dxa"/>
            <w:vAlign w:val="bottom"/>
          </w:tcPr>
          <w:p>
            <w:pPr>
              <w:jc w:val="right"/>
              <w:spacing w:after="0"/>
              <w:rPr>
                <w:sz w:val="20"/>
                <w:szCs w:val="20"/>
                <w:color w:val="auto"/>
              </w:rPr>
            </w:pPr>
            <w:r>
              <w:rPr>
                <w:rFonts w:ascii="Arial" w:cs="Arial" w:eastAsia="Arial" w:hAnsi="Arial"/>
                <w:sz w:val="18"/>
                <w:szCs w:val="18"/>
                <w:color w:val="auto"/>
              </w:rPr>
              <w:t>March 10, 2021</w:t>
            </w:r>
          </w:p>
        </w:tc>
      </w:tr>
      <w:tr>
        <w:trPr>
          <w:trHeight w:val="224"/>
        </w:trPr>
        <w:tc>
          <w:tcPr>
            <w:tcW w:w="3860" w:type="dxa"/>
            <w:vAlign w:val="bottom"/>
          </w:tcPr>
          <w:p>
            <w:pPr>
              <w:ind w:left="20"/>
              <w:spacing w:after="0"/>
              <w:rPr>
                <w:sz w:val="20"/>
                <w:szCs w:val="20"/>
                <w:color w:val="auto"/>
              </w:rPr>
            </w:pPr>
            <w:r>
              <w:rPr>
                <w:rFonts w:ascii="Arial" w:cs="Arial" w:eastAsia="Arial" w:hAnsi="Arial"/>
                <w:sz w:val="18"/>
                <w:szCs w:val="18"/>
                <w:color w:val="auto"/>
              </w:rPr>
              <w:t>Robert B. Kay</w:t>
            </w:r>
          </w:p>
        </w:tc>
        <w:tc>
          <w:tcPr>
            <w:tcW w:w="484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c>
          <w:tcPr>
            <w:tcW w:w="2520" w:type="dxa"/>
            <w:vAlign w:val="bottom"/>
          </w:tcPr>
          <w:p>
            <w:pPr>
              <w:spacing w:after="0"/>
              <w:rPr>
                <w:sz w:val="19"/>
                <w:szCs w:val="19"/>
                <w:color w:val="auto"/>
              </w:rPr>
            </w:pPr>
          </w:p>
        </w:tc>
      </w:tr>
      <w:tr>
        <w:trPr>
          <w:trHeight w:val="283"/>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Laurence Winoker</w:t>
            </w:r>
          </w:p>
        </w:tc>
        <w:tc>
          <w:tcPr>
            <w:tcW w:w="4840" w:type="dxa"/>
            <w:vAlign w:val="bottom"/>
          </w:tcPr>
          <w:p>
            <w:pPr>
              <w:ind w:left="120"/>
              <w:spacing w:after="0"/>
              <w:rPr>
                <w:sz w:val="20"/>
                <w:szCs w:val="20"/>
                <w:color w:val="auto"/>
              </w:rPr>
            </w:pPr>
            <w:r>
              <w:rPr>
                <w:rFonts w:ascii="Arial" w:cs="Arial" w:eastAsia="Arial" w:hAnsi="Arial"/>
                <w:sz w:val="18"/>
                <w:szCs w:val="18"/>
                <w:color w:val="auto"/>
              </w:rPr>
              <w:t>Senior Vice President – Finance,</w:t>
            </w:r>
          </w:p>
        </w:tc>
        <w:tc>
          <w:tcPr>
            <w:tcW w:w="2520" w:type="dxa"/>
            <w:vAlign w:val="bottom"/>
          </w:tcPr>
          <w:p>
            <w:pPr>
              <w:jc w:val="right"/>
              <w:spacing w:after="0"/>
              <w:rPr>
                <w:sz w:val="20"/>
                <w:szCs w:val="20"/>
                <w:color w:val="auto"/>
              </w:rPr>
            </w:pPr>
            <w:r>
              <w:rPr>
                <w:rFonts w:ascii="Arial" w:cs="Arial" w:eastAsia="Arial" w:hAnsi="Arial"/>
                <w:sz w:val="18"/>
                <w:szCs w:val="18"/>
                <w:color w:val="auto"/>
              </w:rPr>
              <w:t>March 10, 2021</w:t>
            </w:r>
          </w:p>
        </w:tc>
      </w:tr>
      <w:tr>
        <w:trPr>
          <w:trHeight w:val="169"/>
        </w:trPr>
        <w:tc>
          <w:tcPr>
            <w:tcW w:w="3860" w:type="dxa"/>
            <w:vAlign w:val="bottom"/>
          </w:tcPr>
          <w:p>
            <w:pPr>
              <w:ind w:left="20"/>
              <w:spacing w:after="0" w:line="169" w:lineRule="exact"/>
              <w:rPr>
                <w:sz w:val="20"/>
                <w:szCs w:val="20"/>
                <w:color w:val="auto"/>
              </w:rPr>
            </w:pPr>
            <w:r>
              <w:rPr>
                <w:rFonts w:ascii="Arial" w:cs="Arial" w:eastAsia="Arial" w:hAnsi="Arial"/>
                <w:sz w:val="18"/>
                <w:szCs w:val="18"/>
                <w:color w:val="auto"/>
              </w:rPr>
              <w:t>Laurence Winoker</w:t>
            </w:r>
          </w:p>
        </w:tc>
        <w:tc>
          <w:tcPr>
            <w:tcW w:w="4840" w:type="dxa"/>
            <w:vAlign w:val="bottom"/>
          </w:tcPr>
          <w:p>
            <w:pPr>
              <w:ind w:left="120"/>
              <w:spacing w:after="0" w:line="169" w:lineRule="exact"/>
              <w:rPr>
                <w:sz w:val="20"/>
                <w:szCs w:val="20"/>
                <w:color w:val="auto"/>
              </w:rPr>
            </w:pPr>
            <w:r>
              <w:rPr>
                <w:rFonts w:ascii="Arial" w:cs="Arial" w:eastAsia="Arial" w:hAnsi="Arial"/>
                <w:sz w:val="18"/>
                <w:szCs w:val="18"/>
                <w:color w:val="auto"/>
              </w:rPr>
              <w:t>Treasurer and Chief Financial Officer</w:t>
            </w:r>
          </w:p>
        </w:tc>
        <w:tc>
          <w:tcPr>
            <w:tcW w:w="2520" w:type="dxa"/>
            <w:vAlign w:val="bottom"/>
          </w:tcPr>
          <w:p>
            <w:pPr>
              <w:spacing w:after="0"/>
              <w:rPr>
                <w:sz w:val="14"/>
                <w:szCs w:val="14"/>
                <w:color w:val="auto"/>
              </w:rPr>
            </w:pPr>
          </w:p>
        </w:tc>
      </w:tr>
      <w:tr>
        <w:trPr>
          <w:trHeight w:val="230"/>
        </w:trPr>
        <w:tc>
          <w:tcPr>
            <w:tcW w:w="3860" w:type="dxa"/>
            <w:vAlign w:val="bottom"/>
          </w:tcPr>
          <w:p>
            <w:pPr>
              <w:spacing w:after="0"/>
              <w:rPr>
                <w:sz w:val="20"/>
                <w:szCs w:val="20"/>
                <w:color w:val="auto"/>
              </w:rPr>
            </w:pPr>
          </w:p>
        </w:tc>
        <w:tc>
          <w:tcPr>
            <w:tcW w:w="4840" w:type="dxa"/>
            <w:vAlign w:val="bottom"/>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2520" w:type="dxa"/>
            <w:vAlign w:val="bottom"/>
          </w:tcPr>
          <w:p>
            <w:pPr>
              <w:spacing w:after="0"/>
              <w:rPr>
                <w:sz w:val="20"/>
                <w:szCs w:val="20"/>
                <w:color w:val="auto"/>
              </w:rPr>
            </w:pPr>
          </w:p>
        </w:tc>
      </w:tr>
      <w:tr>
        <w:trPr>
          <w:trHeight w:val="269"/>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Siegel</w:t>
            </w:r>
          </w:p>
        </w:tc>
        <w:tc>
          <w:tcPr>
            <w:tcW w:w="4840" w:type="dxa"/>
            <w:vAlign w:val="bottom"/>
          </w:tcPr>
          <w:p>
            <w:pPr>
              <w:ind w:left="120"/>
              <w:spacing w:after="0"/>
              <w:rPr>
                <w:sz w:val="20"/>
                <w:szCs w:val="20"/>
                <w:color w:val="auto"/>
              </w:rPr>
            </w:pPr>
            <w:r>
              <w:rPr>
                <w:rFonts w:ascii="Arial" w:cs="Arial" w:eastAsia="Arial" w:hAnsi="Arial"/>
                <w:sz w:val="18"/>
                <w:szCs w:val="18"/>
                <w:color w:val="auto"/>
              </w:rPr>
              <w:t>Executive Chairman of the Board of Directors</w:t>
            </w:r>
          </w:p>
        </w:tc>
        <w:tc>
          <w:tcPr>
            <w:tcW w:w="2520" w:type="dxa"/>
            <w:vAlign w:val="bottom"/>
          </w:tcPr>
          <w:p>
            <w:pPr>
              <w:jc w:val="right"/>
              <w:spacing w:after="0"/>
              <w:rPr>
                <w:sz w:val="20"/>
                <w:szCs w:val="20"/>
                <w:color w:val="auto"/>
              </w:rPr>
            </w:pPr>
            <w:r>
              <w:rPr>
                <w:rFonts w:ascii="Arial" w:cs="Arial" w:eastAsia="Arial" w:hAnsi="Arial"/>
                <w:sz w:val="18"/>
                <w:szCs w:val="18"/>
                <w:color w:val="auto"/>
              </w:rPr>
              <w:t>March 10, 2021</w:t>
            </w:r>
          </w:p>
        </w:tc>
      </w:tr>
      <w:tr>
        <w:trPr>
          <w:trHeight w:val="224"/>
        </w:trPr>
        <w:tc>
          <w:tcPr>
            <w:tcW w:w="3860" w:type="dxa"/>
            <w:vAlign w:val="bottom"/>
          </w:tcPr>
          <w:p>
            <w:pPr>
              <w:ind w:left="20"/>
              <w:spacing w:after="0"/>
              <w:rPr>
                <w:sz w:val="20"/>
                <w:szCs w:val="20"/>
                <w:color w:val="auto"/>
              </w:rPr>
            </w:pPr>
            <w:r>
              <w:rPr>
                <w:rFonts w:ascii="Arial" w:cs="Arial" w:eastAsia="Arial" w:hAnsi="Arial"/>
                <w:sz w:val="18"/>
                <w:szCs w:val="18"/>
                <w:color w:val="auto"/>
              </w:rPr>
              <w:t>Jeffrey Siegel</w:t>
            </w:r>
          </w:p>
        </w:tc>
        <w:tc>
          <w:tcPr>
            <w:tcW w:w="484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83"/>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Rachael Jarosh</w:t>
            </w:r>
          </w:p>
        </w:tc>
        <w:tc>
          <w:tcPr>
            <w:tcW w:w="48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520" w:type="dxa"/>
            <w:vAlign w:val="bottom"/>
          </w:tcPr>
          <w:p>
            <w:pPr>
              <w:jc w:val="right"/>
              <w:spacing w:after="0"/>
              <w:rPr>
                <w:sz w:val="20"/>
                <w:szCs w:val="20"/>
                <w:color w:val="auto"/>
              </w:rPr>
            </w:pPr>
            <w:r>
              <w:rPr>
                <w:rFonts w:ascii="Arial" w:cs="Arial" w:eastAsia="Arial" w:hAnsi="Arial"/>
                <w:sz w:val="18"/>
                <w:szCs w:val="18"/>
                <w:color w:val="auto"/>
              </w:rPr>
              <w:t>March 10, 2021</w:t>
            </w:r>
          </w:p>
        </w:tc>
      </w:tr>
      <w:tr>
        <w:trPr>
          <w:trHeight w:val="224"/>
        </w:trPr>
        <w:tc>
          <w:tcPr>
            <w:tcW w:w="3860" w:type="dxa"/>
            <w:vAlign w:val="bottom"/>
          </w:tcPr>
          <w:p>
            <w:pPr>
              <w:ind w:left="20"/>
              <w:spacing w:after="0"/>
              <w:rPr>
                <w:sz w:val="20"/>
                <w:szCs w:val="20"/>
                <w:color w:val="auto"/>
              </w:rPr>
            </w:pPr>
            <w:r>
              <w:rPr>
                <w:rFonts w:ascii="Arial" w:cs="Arial" w:eastAsia="Arial" w:hAnsi="Arial"/>
                <w:sz w:val="18"/>
                <w:szCs w:val="18"/>
                <w:color w:val="auto"/>
              </w:rPr>
              <w:t>Rachael Jarosh</w:t>
            </w:r>
          </w:p>
        </w:tc>
        <w:tc>
          <w:tcPr>
            <w:tcW w:w="484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83"/>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Koegel</w:t>
            </w:r>
          </w:p>
        </w:tc>
        <w:tc>
          <w:tcPr>
            <w:tcW w:w="48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520" w:type="dxa"/>
            <w:vAlign w:val="bottom"/>
          </w:tcPr>
          <w:p>
            <w:pPr>
              <w:jc w:val="right"/>
              <w:spacing w:after="0"/>
              <w:rPr>
                <w:sz w:val="20"/>
                <w:szCs w:val="20"/>
                <w:color w:val="auto"/>
              </w:rPr>
            </w:pPr>
            <w:r>
              <w:rPr>
                <w:rFonts w:ascii="Arial" w:cs="Arial" w:eastAsia="Arial" w:hAnsi="Arial"/>
                <w:sz w:val="18"/>
                <w:szCs w:val="18"/>
                <w:color w:val="auto"/>
              </w:rPr>
              <w:t>March 10, 2021</w:t>
            </w:r>
          </w:p>
        </w:tc>
      </w:tr>
      <w:tr>
        <w:trPr>
          <w:trHeight w:val="224"/>
        </w:trPr>
        <w:tc>
          <w:tcPr>
            <w:tcW w:w="3860" w:type="dxa"/>
            <w:vAlign w:val="bottom"/>
          </w:tcPr>
          <w:p>
            <w:pPr>
              <w:ind w:left="20"/>
              <w:spacing w:after="0"/>
              <w:rPr>
                <w:sz w:val="20"/>
                <w:szCs w:val="20"/>
                <w:color w:val="auto"/>
              </w:rPr>
            </w:pPr>
            <w:r>
              <w:rPr>
                <w:rFonts w:ascii="Arial" w:cs="Arial" w:eastAsia="Arial" w:hAnsi="Arial"/>
                <w:sz w:val="18"/>
                <w:szCs w:val="18"/>
                <w:color w:val="auto"/>
              </w:rPr>
              <w:t>John Koegel</w:t>
            </w:r>
          </w:p>
        </w:tc>
        <w:tc>
          <w:tcPr>
            <w:tcW w:w="484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83"/>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Cherrie Nanninga</w:t>
            </w:r>
          </w:p>
        </w:tc>
        <w:tc>
          <w:tcPr>
            <w:tcW w:w="48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520" w:type="dxa"/>
            <w:vAlign w:val="bottom"/>
          </w:tcPr>
          <w:p>
            <w:pPr>
              <w:jc w:val="right"/>
              <w:spacing w:after="0"/>
              <w:rPr>
                <w:sz w:val="20"/>
                <w:szCs w:val="20"/>
                <w:color w:val="auto"/>
              </w:rPr>
            </w:pPr>
            <w:r>
              <w:rPr>
                <w:rFonts w:ascii="Arial" w:cs="Arial" w:eastAsia="Arial" w:hAnsi="Arial"/>
                <w:sz w:val="18"/>
                <w:szCs w:val="18"/>
                <w:color w:val="auto"/>
              </w:rPr>
              <w:t>March 10, 2021</w:t>
            </w:r>
          </w:p>
        </w:tc>
      </w:tr>
      <w:tr>
        <w:trPr>
          <w:trHeight w:val="224"/>
        </w:trPr>
        <w:tc>
          <w:tcPr>
            <w:tcW w:w="3860" w:type="dxa"/>
            <w:vAlign w:val="bottom"/>
          </w:tcPr>
          <w:p>
            <w:pPr>
              <w:ind w:left="20"/>
              <w:spacing w:after="0"/>
              <w:rPr>
                <w:sz w:val="20"/>
                <w:szCs w:val="20"/>
                <w:color w:val="auto"/>
              </w:rPr>
            </w:pPr>
            <w:r>
              <w:rPr>
                <w:rFonts w:ascii="Arial" w:cs="Arial" w:eastAsia="Arial" w:hAnsi="Arial"/>
                <w:sz w:val="18"/>
                <w:szCs w:val="18"/>
                <w:color w:val="auto"/>
              </w:rPr>
              <w:t>Cherrie Nanninga</w:t>
            </w:r>
          </w:p>
        </w:tc>
        <w:tc>
          <w:tcPr>
            <w:tcW w:w="484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83"/>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Craig Phillips</w:t>
            </w:r>
          </w:p>
        </w:tc>
        <w:tc>
          <w:tcPr>
            <w:tcW w:w="48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520" w:type="dxa"/>
            <w:vAlign w:val="bottom"/>
          </w:tcPr>
          <w:p>
            <w:pPr>
              <w:jc w:val="right"/>
              <w:spacing w:after="0"/>
              <w:rPr>
                <w:sz w:val="20"/>
                <w:szCs w:val="20"/>
                <w:color w:val="auto"/>
              </w:rPr>
            </w:pPr>
            <w:r>
              <w:rPr>
                <w:rFonts w:ascii="Arial" w:cs="Arial" w:eastAsia="Arial" w:hAnsi="Arial"/>
                <w:sz w:val="18"/>
                <w:szCs w:val="18"/>
                <w:color w:val="auto"/>
              </w:rPr>
              <w:t>March 10, 2021</w:t>
            </w:r>
          </w:p>
        </w:tc>
      </w:tr>
      <w:tr>
        <w:trPr>
          <w:trHeight w:val="224"/>
        </w:trPr>
        <w:tc>
          <w:tcPr>
            <w:tcW w:w="3860" w:type="dxa"/>
            <w:vAlign w:val="bottom"/>
          </w:tcPr>
          <w:p>
            <w:pPr>
              <w:ind w:left="20"/>
              <w:spacing w:after="0"/>
              <w:rPr>
                <w:sz w:val="20"/>
                <w:szCs w:val="20"/>
                <w:color w:val="auto"/>
              </w:rPr>
            </w:pPr>
            <w:r>
              <w:rPr>
                <w:rFonts w:ascii="Arial" w:cs="Arial" w:eastAsia="Arial" w:hAnsi="Arial"/>
                <w:sz w:val="18"/>
                <w:szCs w:val="18"/>
                <w:color w:val="auto"/>
              </w:rPr>
              <w:t>Craig Phillips</w:t>
            </w:r>
          </w:p>
        </w:tc>
        <w:tc>
          <w:tcPr>
            <w:tcW w:w="484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83"/>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Veronique Gabai-Pinsky</w:t>
            </w:r>
          </w:p>
        </w:tc>
        <w:tc>
          <w:tcPr>
            <w:tcW w:w="48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520" w:type="dxa"/>
            <w:vAlign w:val="bottom"/>
          </w:tcPr>
          <w:p>
            <w:pPr>
              <w:jc w:val="right"/>
              <w:spacing w:after="0"/>
              <w:rPr>
                <w:sz w:val="20"/>
                <w:szCs w:val="20"/>
                <w:color w:val="auto"/>
              </w:rPr>
            </w:pPr>
            <w:r>
              <w:rPr>
                <w:rFonts w:ascii="Arial" w:cs="Arial" w:eastAsia="Arial" w:hAnsi="Arial"/>
                <w:sz w:val="18"/>
                <w:szCs w:val="18"/>
                <w:color w:val="auto"/>
              </w:rPr>
              <w:t>March 10, 2021</w:t>
            </w:r>
          </w:p>
        </w:tc>
      </w:tr>
      <w:tr>
        <w:trPr>
          <w:trHeight w:val="224"/>
        </w:trPr>
        <w:tc>
          <w:tcPr>
            <w:tcW w:w="3860" w:type="dxa"/>
            <w:vAlign w:val="bottom"/>
          </w:tcPr>
          <w:p>
            <w:pPr>
              <w:ind w:left="20"/>
              <w:spacing w:after="0"/>
              <w:rPr>
                <w:sz w:val="20"/>
                <w:szCs w:val="20"/>
                <w:color w:val="auto"/>
              </w:rPr>
            </w:pPr>
            <w:r>
              <w:rPr>
                <w:rFonts w:ascii="Arial" w:cs="Arial" w:eastAsia="Arial" w:hAnsi="Arial"/>
                <w:sz w:val="18"/>
                <w:szCs w:val="18"/>
                <w:color w:val="auto"/>
              </w:rPr>
              <w:t>Veronique Gabai-Pinsky</w:t>
            </w:r>
          </w:p>
        </w:tc>
        <w:tc>
          <w:tcPr>
            <w:tcW w:w="484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83"/>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Bruce Pollack</w:t>
            </w:r>
          </w:p>
        </w:tc>
        <w:tc>
          <w:tcPr>
            <w:tcW w:w="48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520" w:type="dxa"/>
            <w:vAlign w:val="bottom"/>
          </w:tcPr>
          <w:p>
            <w:pPr>
              <w:jc w:val="right"/>
              <w:spacing w:after="0"/>
              <w:rPr>
                <w:sz w:val="20"/>
                <w:szCs w:val="20"/>
                <w:color w:val="auto"/>
              </w:rPr>
            </w:pPr>
            <w:r>
              <w:rPr>
                <w:rFonts w:ascii="Arial" w:cs="Arial" w:eastAsia="Arial" w:hAnsi="Arial"/>
                <w:sz w:val="18"/>
                <w:szCs w:val="18"/>
                <w:color w:val="auto"/>
              </w:rPr>
              <w:t>March 10, 2021</w:t>
            </w:r>
          </w:p>
        </w:tc>
      </w:tr>
      <w:tr>
        <w:trPr>
          <w:trHeight w:val="224"/>
        </w:trPr>
        <w:tc>
          <w:tcPr>
            <w:tcW w:w="3860" w:type="dxa"/>
            <w:vAlign w:val="bottom"/>
          </w:tcPr>
          <w:p>
            <w:pPr>
              <w:ind w:left="20"/>
              <w:spacing w:after="0"/>
              <w:rPr>
                <w:sz w:val="20"/>
                <w:szCs w:val="20"/>
                <w:color w:val="auto"/>
              </w:rPr>
            </w:pPr>
            <w:r>
              <w:rPr>
                <w:rFonts w:ascii="Arial" w:cs="Arial" w:eastAsia="Arial" w:hAnsi="Arial"/>
                <w:sz w:val="18"/>
                <w:szCs w:val="18"/>
                <w:color w:val="auto"/>
              </w:rPr>
              <w:t>Bruce Pollack</w:t>
            </w:r>
          </w:p>
        </w:tc>
        <w:tc>
          <w:tcPr>
            <w:tcW w:w="484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83"/>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J. Regan</w:t>
            </w:r>
          </w:p>
        </w:tc>
        <w:tc>
          <w:tcPr>
            <w:tcW w:w="48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520" w:type="dxa"/>
            <w:vAlign w:val="bottom"/>
          </w:tcPr>
          <w:p>
            <w:pPr>
              <w:jc w:val="right"/>
              <w:spacing w:after="0"/>
              <w:rPr>
                <w:sz w:val="20"/>
                <w:szCs w:val="20"/>
                <w:color w:val="auto"/>
              </w:rPr>
            </w:pPr>
            <w:r>
              <w:rPr>
                <w:rFonts w:ascii="Arial" w:cs="Arial" w:eastAsia="Arial" w:hAnsi="Arial"/>
                <w:sz w:val="18"/>
                <w:szCs w:val="18"/>
                <w:color w:val="auto"/>
              </w:rPr>
              <w:t>March 10, 2021</w:t>
            </w:r>
          </w:p>
        </w:tc>
      </w:tr>
      <w:tr>
        <w:trPr>
          <w:trHeight w:val="224"/>
        </w:trPr>
        <w:tc>
          <w:tcPr>
            <w:tcW w:w="3860" w:type="dxa"/>
            <w:vAlign w:val="bottom"/>
          </w:tcPr>
          <w:p>
            <w:pPr>
              <w:ind w:left="20"/>
              <w:spacing w:after="0"/>
              <w:rPr>
                <w:sz w:val="20"/>
                <w:szCs w:val="20"/>
                <w:color w:val="auto"/>
              </w:rPr>
            </w:pPr>
            <w:r>
              <w:rPr>
                <w:rFonts w:ascii="Arial" w:cs="Arial" w:eastAsia="Arial" w:hAnsi="Arial"/>
                <w:sz w:val="18"/>
                <w:szCs w:val="18"/>
                <w:color w:val="auto"/>
              </w:rPr>
              <w:t>Michael J. Regan</w:t>
            </w:r>
          </w:p>
        </w:tc>
        <w:tc>
          <w:tcPr>
            <w:tcW w:w="484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83"/>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Schnabel</w:t>
            </w:r>
          </w:p>
        </w:tc>
        <w:tc>
          <w:tcPr>
            <w:tcW w:w="48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520" w:type="dxa"/>
            <w:vAlign w:val="bottom"/>
          </w:tcPr>
          <w:p>
            <w:pPr>
              <w:jc w:val="right"/>
              <w:spacing w:after="0"/>
              <w:rPr>
                <w:sz w:val="20"/>
                <w:szCs w:val="20"/>
                <w:color w:val="auto"/>
              </w:rPr>
            </w:pPr>
            <w:r>
              <w:rPr>
                <w:rFonts w:ascii="Arial" w:cs="Arial" w:eastAsia="Arial" w:hAnsi="Arial"/>
                <w:sz w:val="18"/>
                <w:szCs w:val="18"/>
                <w:color w:val="auto"/>
              </w:rPr>
              <w:t>March 10, 2021</w:t>
            </w:r>
          </w:p>
        </w:tc>
      </w:tr>
      <w:tr>
        <w:trPr>
          <w:trHeight w:val="224"/>
        </w:trPr>
        <w:tc>
          <w:tcPr>
            <w:tcW w:w="3860" w:type="dxa"/>
            <w:vAlign w:val="bottom"/>
          </w:tcPr>
          <w:p>
            <w:pPr>
              <w:ind w:left="20"/>
              <w:spacing w:after="0"/>
              <w:rPr>
                <w:sz w:val="20"/>
                <w:szCs w:val="20"/>
                <w:color w:val="auto"/>
              </w:rPr>
            </w:pPr>
            <w:r>
              <w:rPr>
                <w:rFonts w:ascii="Arial" w:cs="Arial" w:eastAsia="Arial" w:hAnsi="Arial"/>
                <w:sz w:val="18"/>
                <w:szCs w:val="18"/>
                <w:color w:val="auto"/>
              </w:rPr>
              <w:t>Michael Schnabel</w:t>
            </w:r>
          </w:p>
        </w:tc>
        <w:tc>
          <w:tcPr>
            <w:tcW w:w="4840" w:type="dxa"/>
            <w:vAlign w:val="bottom"/>
          </w:tcPr>
          <w:p>
            <w:pPr>
              <w:spacing w:after="0"/>
              <w:rPr>
                <w:sz w:val="19"/>
                <w:szCs w:val="19"/>
                <w:color w:val="auto"/>
              </w:rPr>
            </w:pPr>
          </w:p>
        </w:tc>
        <w:tc>
          <w:tcPr>
            <w:tcW w:w="25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LIST OF FINANCIAL STATEMENTS AND FINANCIAL STATEMENT SCHEDULE</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The following consolidated financial statements of Lifetime Brands, Inc. are filed as part of this Annual Report under Item 8 – </w:t>
      </w:r>
      <w:r>
        <w:rPr>
          <w:rFonts w:ascii="Arial" w:cs="Arial" w:eastAsia="Arial" w:hAnsi="Arial"/>
          <w:sz w:val="18"/>
          <w:szCs w:val="18"/>
          <w:i w:val="1"/>
          <w:iCs w:val="1"/>
          <w:color w:val="auto"/>
        </w:rPr>
        <w:t>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340" w:type="dxa"/>
            <w:vAlign w:val="bottom"/>
            <w:gridSpan w:val="3"/>
          </w:tcPr>
          <w:p>
            <w:pPr>
              <w:ind w:left="20"/>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Report of Independent Registered Public Accounting Firm</w:t>
              </w:r>
            </w:hyperlink>
          </w:p>
        </w:tc>
        <w:tc>
          <w:tcPr>
            <w:tcW w:w="880" w:type="dxa"/>
            <w:vAlign w:val="bottom"/>
          </w:tcPr>
          <w:p>
            <w:pPr>
              <w:jc w:val="right"/>
              <w:spacing w:after="0"/>
              <w:rPr>
                <w:rFonts w:ascii="Arial" w:cs="Arial" w:eastAsia="Arial" w:hAnsi="Arial"/>
                <w:sz w:val="18"/>
                <w:szCs w:val="18"/>
                <w:color w:val="0000FF"/>
              </w:rPr>
            </w:pPr>
            <w:hyperlink w:anchor="page62">
              <w:r>
                <w:rPr>
                  <w:rFonts w:ascii="Arial" w:cs="Arial" w:eastAsia="Arial" w:hAnsi="Arial"/>
                  <w:sz w:val="18"/>
                  <w:szCs w:val="18"/>
                  <w:color w:val="0000FF"/>
                </w:rPr>
                <w:t>F-2</w:t>
              </w:r>
            </w:hyperlink>
          </w:p>
        </w:tc>
      </w:tr>
      <w:tr>
        <w:trPr>
          <w:trHeight w:val="190"/>
        </w:trPr>
        <w:tc>
          <w:tcPr>
            <w:tcW w:w="10340" w:type="dxa"/>
            <w:vAlign w:val="bottom"/>
            <w:gridSpan w:val="3"/>
          </w:tcPr>
          <w:p>
            <w:pPr>
              <w:ind w:left="20"/>
              <w:spacing w:after="0" w:line="190" w:lineRule="exact"/>
              <w:rPr>
                <w:rFonts w:ascii="Arial" w:cs="Arial" w:eastAsia="Arial" w:hAnsi="Arial"/>
                <w:sz w:val="18"/>
                <w:szCs w:val="18"/>
                <w:color w:val="0000FF"/>
              </w:rPr>
            </w:pPr>
            <w:hyperlink w:anchor="page65">
              <w:r>
                <w:rPr>
                  <w:rFonts w:ascii="Arial" w:cs="Arial" w:eastAsia="Arial" w:hAnsi="Arial"/>
                  <w:sz w:val="18"/>
                  <w:szCs w:val="18"/>
                  <w:u w:val="single" w:color="auto"/>
                  <w:color w:val="0000FF"/>
                </w:rPr>
                <w:t>Consolidated Balance Sheets as of December 31,</w:t>
              </w:r>
              <w:r>
                <w:rPr>
                  <w:rFonts w:ascii="Arial" w:cs="Arial" w:eastAsia="Arial" w:hAnsi="Arial"/>
                  <w:sz w:val="18"/>
                  <w:szCs w:val="18"/>
                  <w:color w:val="0000FF"/>
                </w:rPr>
                <w:t xml:space="preserve"> </w:t>
              </w:r>
            </w:hyperlink>
            <w:r>
              <w:rPr>
                <w:rFonts w:ascii="Arial" w:cs="Arial" w:eastAsia="Arial" w:hAnsi="Arial"/>
                <w:sz w:val="18"/>
                <w:szCs w:val="18"/>
                <w:color w:val="0E32E1"/>
              </w:rPr>
              <w:t>2020</w:t>
            </w:r>
            <w:r>
              <w:rPr>
                <w:rFonts w:ascii="Arial" w:cs="Arial" w:eastAsia="Arial" w:hAnsi="Arial"/>
                <w:sz w:val="18"/>
                <w:szCs w:val="18"/>
                <w:color w:val="0000FF"/>
              </w:rPr>
              <w:t xml:space="preserve"> </w:t>
            </w:r>
            <w:hyperlink w:anchor="page65">
              <w:r>
                <w:rPr>
                  <w:rFonts w:ascii="Arial" w:cs="Arial" w:eastAsia="Arial" w:hAnsi="Arial"/>
                  <w:sz w:val="18"/>
                  <w:szCs w:val="18"/>
                  <w:color w:val="0E32E1"/>
                </w:rPr>
                <w:t xml:space="preserve">and </w:t>
              </w:r>
            </w:hyperlink>
            <w:r>
              <w:rPr>
                <w:rFonts w:ascii="Arial" w:cs="Arial" w:eastAsia="Arial" w:hAnsi="Arial"/>
                <w:sz w:val="18"/>
                <w:szCs w:val="18"/>
                <w:color w:val="0000FF"/>
              </w:rPr>
              <w:t>2019</w:t>
            </w:r>
          </w:p>
        </w:tc>
        <w:tc>
          <w:tcPr>
            <w:tcW w:w="880" w:type="dxa"/>
            <w:vAlign w:val="bottom"/>
          </w:tcPr>
          <w:p>
            <w:pPr>
              <w:jc w:val="right"/>
              <w:spacing w:after="0" w:line="190" w:lineRule="exact"/>
              <w:rPr>
                <w:rFonts w:ascii="Arial" w:cs="Arial" w:eastAsia="Arial" w:hAnsi="Arial"/>
                <w:sz w:val="18"/>
                <w:szCs w:val="18"/>
                <w:color w:val="0000FF"/>
              </w:rPr>
            </w:pPr>
            <w:hyperlink w:anchor="page65">
              <w:r>
                <w:rPr>
                  <w:rFonts w:ascii="Arial" w:cs="Arial" w:eastAsia="Arial" w:hAnsi="Arial"/>
                  <w:sz w:val="18"/>
                  <w:szCs w:val="18"/>
                  <w:color w:val="0000FF"/>
                </w:rPr>
                <w:t>F-5</w:t>
              </w:r>
            </w:hyperlink>
          </w:p>
        </w:tc>
      </w:tr>
      <w:tr>
        <w:trPr>
          <w:trHeight w:val="20"/>
        </w:trPr>
        <w:tc>
          <w:tcPr>
            <w:tcW w:w="3600" w:type="dxa"/>
            <w:vAlign w:val="bottom"/>
          </w:tcPr>
          <w:p>
            <w:pPr>
              <w:spacing w:after="0" w:line="20" w:lineRule="exact"/>
              <w:rPr>
                <w:sz w:val="1"/>
                <w:szCs w:val="1"/>
                <w:color w:val="auto"/>
              </w:rPr>
            </w:pPr>
          </w:p>
        </w:tc>
        <w:tc>
          <w:tcPr>
            <w:tcW w:w="1080" w:type="dxa"/>
            <w:vAlign w:val="bottom"/>
            <w:shd w:val="clear" w:color="auto" w:fill="0E32E1"/>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49"/>
        </w:trPr>
        <w:tc>
          <w:tcPr>
            <w:tcW w:w="10340" w:type="dxa"/>
            <w:vAlign w:val="bottom"/>
            <w:gridSpan w:val="3"/>
          </w:tcPr>
          <w:p>
            <w:pPr>
              <w:ind w:left="2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Consolidated Statements of Operations for the Years ended December 31, 2020, 2019, and 2018</w:t>
              </w:r>
            </w:hyperlink>
          </w:p>
        </w:tc>
        <w:tc>
          <w:tcPr>
            <w:tcW w:w="880" w:type="dxa"/>
            <w:vAlign w:val="bottom"/>
          </w:tcPr>
          <w:p>
            <w:pPr>
              <w:jc w:val="right"/>
              <w:spacing w:after="0"/>
              <w:rPr>
                <w:rFonts w:ascii="Arial" w:cs="Arial" w:eastAsia="Arial" w:hAnsi="Arial"/>
                <w:sz w:val="18"/>
                <w:szCs w:val="18"/>
                <w:color w:val="0000FF"/>
              </w:rPr>
            </w:pPr>
            <w:hyperlink w:anchor="page66">
              <w:r>
                <w:rPr>
                  <w:rFonts w:ascii="Arial" w:cs="Arial" w:eastAsia="Arial" w:hAnsi="Arial"/>
                  <w:sz w:val="18"/>
                  <w:szCs w:val="18"/>
                  <w:color w:val="0000FF"/>
                </w:rPr>
                <w:t>F-6</w:t>
              </w:r>
            </w:hyperlink>
          </w:p>
        </w:tc>
      </w:tr>
      <w:tr>
        <w:trPr>
          <w:trHeight w:val="229"/>
        </w:trPr>
        <w:tc>
          <w:tcPr>
            <w:tcW w:w="10340" w:type="dxa"/>
            <w:vAlign w:val="bottom"/>
            <w:gridSpan w:val="3"/>
          </w:tcPr>
          <w:p>
            <w:pPr>
              <w:ind w:left="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Consolidated Statements of Comprehensive Loss for the Years ended December 31, 2020, 2019 and 2018</w:t>
              </w:r>
            </w:hyperlink>
          </w:p>
        </w:tc>
        <w:tc>
          <w:tcPr>
            <w:tcW w:w="880" w:type="dxa"/>
            <w:vAlign w:val="bottom"/>
          </w:tcPr>
          <w:p>
            <w:pPr>
              <w:jc w:val="right"/>
              <w:spacing w:after="0"/>
              <w:rPr>
                <w:rFonts w:ascii="Arial" w:cs="Arial" w:eastAsia="Arial" w:hAnsi="Arial"/>
                <w:sz w:val="18"/>
                <w:szCs w:val="18"/>
                <w:color w:val="0000FF"/>
              </w:rPr>
            </w:pPr>
            <w:hyperlink w:anchor="page67">
              <w:r>
                <w:rPr>
                  <w:rFonts w:ascii="Arial" w:cs="Arial" w:eastAsia="Arial" w:hAnsi="Arial"/>
                  <w:sz w:val="18"/>
                  <w:szCs w:val="18"/>
                  <w:color w:val="0000FF"/>
                </w:rPr>
                <w:t>F-7</w:t>
              </w:r>
            </w:hyperlink>
          </w:p>
        </w:tc>
      </w:tr>
      <w:tr>
        <w:trPr>
          <w:trHeight w:val="229"/>
        </w:trPr>
        <w:tc>
          <w:tcPr>
            <w:tcW w:w="10340" w:type="dxa"/>
            <w:vAlign w:val="bottom"/>
            <w:gridSpan w:val="3"/>
          </w:tcPr>
          <w:p>
            <w:pPr>
              <w:ind w:left="2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Consolidated Statements of Stockholders’ Equity for the Years ended December 31, 2020, 2019, and 2018</w:t>
              </w:r>
            </w:hyperlink>
          </w:p>
        </w:tc>
        <w:tc>
          <w:tcPr>
            <w:tcW w:w="880" w:type="dxa"/>
            <w:vAlign w:val="bottom"/>
          </w:tcPr>
          <w:p>
            <w:pPr>
              <w:jc w:val="right"/>
              <w:spacing w:after="0"/>
              <w:rPr>
                <w:rFonts w:ascii="Arial" w:cs="Arial" w:eastAsia="Arial" w:hAnsi="Arial"/>
                <w:sz w:val="18"/>
                <w:szCs w:val="18"/>
                <w:color w:val="0000FF"/>
              </w:rPr>
            </w:pPr>
            <w:hyperlink w:anchor="page68">
              <w:r>
                <w:rPr>
                  <w:rFonts w:ascii="Arial" w:cs="Arial" w:eastAsia="Arial" w:hAnsi="Arial"/>
                  <w:sz w:val="18"/>
                  <w:szCs w:val="18"/>
                  <w:color w:val="0000FF"/>
                </w:rPr>
                <w:t>F-8</w:t>
              </w:r>
            </w:hyperlink>
          </w:p>
        </w:tc>
      </w:tr>
      <w:tr>
        <w:trPr>
          <w:trHeight w:val="230"/>
        </w:trPr>
        <w:tc>
          <w:tcPr>
            <w:tcW w:w="10340" w:type="dxa"/>
            <w:vAlign w:val="bottom"/>
            <w:gridSpan w:val="3"/>
          </w:tcPr>
          <w:p>
            <w:pPr>
              <w:ind w:left="2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Consolidated Statements of Cash Flows for the Years ended December 31, 2020, 2019, and 2018</w:t>
              </w:r>
            </w:hyperlink>
          </w:p>
        </w:tc>
        <w:tc>
          <w:tcPr>
            <w:tcW w:w="880" w:type="dxa"/>
            <w:vAlign w:val="bottom"/>
          </w:tcPr>
          <w:p>
            <w:pPr>
              <w:jc w:val="right"/>
              <w:spacing w:after="0"/>
              <w:rPr>
                <w:rFonts w:ascii="Arial" w:cs="Arial" w:eastAsia="Arial" w:hAnsi="Arial"/>
                <w:sz w:val="18"/>
                <w:szCs w:val="18"/>
                <w:color w:val="0000FF"/>
              </w:rPr>
            </w:pPr>
            <w:hyperlink w:anchor="page69">
              <w:r>
                <w:rPr>
                  <w:rFonts w:ascii="Arial" w:cs="Arial" w:eastAsia="Arial" w:hAnsi="Arial"/>
                  <w:sz w:val="18"/>
                  <w:szCs w:val="18"/>
                  <w:color w:val="0000FF"/>
                </w:rPr>
                <w:t>F-9</w:t>
              </w:r>
            </w:hyperlink>
          </w:p>
        </w:tc>
      </w:tr>
      <w:tr>
        <w:trPr>
          <w:trHeight w:val="230"/>
        </w:trPr>
        <w:tc>
          <w:tcPr>
            <w:tcW w:w="10340" w:type="dxa"/>
            <w:vAlign w:val="bottom"/>
            <w:gridSpan w:val="3"/>
          </w:tcPr>
          <w:p>
            <w:pPr>
              <w:ind w:left="2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Notes to Consolidated Financial Statements</w:t>
              </w:r>
            </w:hyperlink>
          </w:p>
        </w:tc>
        <w:tc>
          <w:tcPr>
            <w:tcW w:w="880" w:type="dxa"/>
            <w:vAlign w:val="bottom"/>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F-10</w:t>
              </w:r>
            </w:hyperlink>
          </w:p>
        </w:tc>
      </w:tr>
      <w:tr>
        <w:trPr>
          <w:trHeight w:val="432"/>
        </w:trPr>
        <w:tc>
          <w:tcPr>
            <w:tcW w:w="10340" w:type="dxa"/>
            <w:vAlign w:val="bottom"/>
            <w:gridSpan w:val="3"/>
          </w:tcPr>
          <w:p>
            <w:pPr>
              <w:spacing w:after="0"/>
              <w:rPr>
                <w:sz w:val="20"/>
                <w:szCs w:val="20"/>
                <w:color w:val="auto"/>
              </w:rPr>
            </w:pPr>
            <w:r>
              <w:rPr>
                <w:rFonts w:ascii="Arial" w:cs="Arial" w:eastAsia="Arial" w:hAnsi="Arial"/>
                <w:sz w:val="18"/>
                <w:szCs w:val="18"/>
                <w:color w:val="auto"/>
                <w:w w:val="96"/>
              </w:rPr>
              <w:t>The following consolidated financial statement schedule of Lifetime Brands, Inc. required pursuant to Item 15(a) is submitted herewith:</w:t>
            </w:r>
          </w:p>
        </w:tc>
        <w:tc>
          <w:tcPr>
            <w:tcW w:w="880" w:type="dxa"/>
            <w:vAlign w:val="bottom"/>
          </w:tcPr>
          <w:p>
            <w:pPr>
              <w:spacing w:after="0"/>
              <w:rPr>
                <w:sz w:val="24"/>
                <w:szCs w:val="24"/>
                <w:color w:val="auto"/>
              </w:rPr>
            </w:pPr>
          </w:p>
        </w:tc>
      </w:tr>
      <w:tr>
        <w:trPr>
          <w:trHeight w:val="527"/>
        </w:trPr>
        <w:tc>
          <w:tcPr>
            <w:tcW w:w="10340" w:type="dxa"/>
            <w:vAlign w:val="bottom"/>
            <w:gridSpan w:val="3"/>
          </w:tcPr>
          <w:p>
            <w:pPr>
              <w:ind w:left="20"/>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Schedule II – Valuation and Qualifying Accounts</w:t>
              </w:r>
            </w:hyperlink>
          </w:p>
        </w:tc>
        <w:tc>
          <w:tcPr>
            <w:tcW w:w="880" w:type="dxa"/>
            <w:vAlign w:val="bottom"/>
          </w:tcPr>
          <w:p>
            <w:pPr>
              <w:jc w:val="right"/>
              <w:spacing w:after="0"/>
              <w:rPr>
                <w:rFonts w:ascii="Arial" w:cs="Arial" w:eastAsia="Arial" w:hAnsi="Arial"/>
                <w:sz w:val="18"/>
                <w:szCs w:val="18"/>
                <w:color w:val="0000FF"/>
              </w:rPr>
            </w:pPr>
            <w:hyperlink w:anchor="page102">
              <w:r>
                <w:rPr>
                  <w:rFonts w:ascii="Arial" w:cs="Arial" w:eastAsia="Arial" w:hAnsi="Arial"/>
                  <w:sz w:val="18"/>
                  <w:szCs w:val="18"/>
                  <w:color w:val="0000FF"/>
                </w:rPr>
                <w:t>S-1</w:t>
              </w:r>
            </w:hyperlink>
          </w:p>
        </w:tc>
      </w:tr>
      <w:tr>
        <w:trPr>
          <w:trHeight w:val="432"/>
        </w:trPr>
        <w:tc>
          <w:tcPr>
            <w:tcW w:w="10340" w:type="dxa"/>
            <w:vAlign w:val="bottom"/>
            <w:gridSpan w:val="3"/>
          </w:tcPr>
          <w:p>
            <w:pPr>
              <w:spacing w:after="0"/>
              <w:rPr>
                <w:sz w:val="20"/>
                <w:szCs w:val="20"/>
                <w:color w:val="auto"/>
              </w:rPr>
            </w:pPr>
            <w:r>
              <w:rPr>
                <w:rFonts w:ascii="Arial" w:cs="Arial" w:eastAsia="Arial" w:hAnsi="Arial"/>
                <w:sz w:val="18"/>
                <w:szCs w:val="18"/>
                <w:color w:val="auto"/>
              </w:rPr>
              <w:t>All other financial schedules are not required under the related instructions or are inapplicable, and therefore have been omitted.</w:t>
            </w:r>
          </w:p>
        </w:tc>
        <w:tc>
          <w:tcPr>
            <w:tcW w:w="880" w:type="dxa"/>
            <w:vAlign w:val="bottom"/>
          </w:tcPr>
          <w:p>
            <w:pPr>
              <w:spacing w:after="0"/>
              <w:rPr>
                <w:sz w:val="24"/>
                <w:szCs w:val="24"/>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The unaudited supplementary data regarding quarterly results of operations are incorporated by reference to the information set forth in Item 8 –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and Supplementary Data</w:t>
      </w:r>
      <w:r>
        <w:rPr>
          <w:rFonts w:ascii="Arial" w:cs="Arial" w:eastAsia="Arial" w:hAnsi="Arial"/>
          <w:sz w:val="18"/>
          <w:szCs w:val="18"/>
          <w:color w:val="auto"/>
        </w:rPr>
        <w: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Lifetime Brands, Inc.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right="260"/>
        <w:spacing w:after="0" w:line="257" w:lineRule="auto"/>
        <w:rPr>
          <w:sz w:val="20"/>
          <w:szCs w:val="20"/>
          <w:color w:val="auto"/>
        </w:rPr>
      </w:pPr>
      <w:r>
        <w:rPr>
          <w:rFonts w:ascii="Arial" w:cs="Arial" w:eastAsia="Arial" w:hAnsi="Arial"/>
          <w:sz w:val="16"/>
          <w:szCs w:val="16"/>
          <w:color w:val="auto"/>
        </w:rPr>
        <w:t>We have audited the accompanying consolidated balance sheets of Lifetime Brands, Inc. (and subsidiaries) (the Company) as of December 31, 2020 and 2019, the related consolidated statements of operations, comprehensive loss, stockholders' equity and cash flows for each of the three years in the period ended December 31, 2020, and the related notes</w:t>
      </w:r>
      <w:r>
        <w:rPr>
          <w:sz w:val="1"/>
          <w:szCs w:val="1"/>
          <w:color w:val="auto"/>
        </w:rPr>
        <w:drawing>
          <wp:inline distT="0" distB="0" distL="0" distR="0">
            <wp:extent cx="25400" cy="8572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7">
                      <a:extLst>
                        <a:ext uri="{28A0092B-C50C-407E-A947-70E740481C1C}"/>
                      </a:extLst>
                    </a:blip>
                    <a:srcRect/>
                    <a:stretch>
                      <a:fillRect/>
                    </a:stretch>
                  </pic:blipFill>
                  <pic:spPr bwMode="auto">
                    <a:xfrm>
                      <a:off x="0" y="0"/>
                      <a:ext cx="25400" cy="85725"/>
                    </a:xfrm>
                    <a:prstGeom prst="rect">
                      <a:avLst/>
                    </a:prstGeom>
                    <a:noFill/>
                    <a:ln>
                      <a:noFill/>
                    </a:ln>
                  </pic:spPr>
                </pic:pic>
              </a:graphicData>
            </a:graphic>
          </wp:inline>
        </w:drawing>
      </w:r>
      <w:r>
        <w:rPr>
          <w:rFonts w:ascii="Arial" w:cs="Arial" w:eastAsia="Arial" w:hAnsi="Arial"/>
          <w:sz w:val="16"/>
          <w:szCs w:val="16"/>
          <w:color w:val="auto"/>
        </w:rPr>
        <w:t>and the financial statement schedule listed in the Index at Item 15(a) (collectively referred to as the</w:t>
      </w:r>
    </w:p>
    <w:p>
      <w:pPr>
        <w:ind w:right="120"/>
        <w:spacing w:after="0" w:line="213" w:lineRule="auto"/>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consolidated financial statements</w:t>
      </w:r>
      <w:r>
        <w:rPr>
          <w:rFonts w:ascii="Arial" w:cs="Arial" w:eastAsia="Arial" w:hAnsi="Arial"/>
          <w:sz w:val="22"/>
          <w:szCs w:val="22"/>
          <w:color w:val="auto"/>
        </w:rPr>
        <w:t>”</w:t>
      </w:r>
      <w:r>
        <w:rPr>
          <w:rFonts w:ascii="Arial" w:cs="Arial" w:eastAsia="Arial" w:hAnsi="Arial"/>
          <w:sz w:val="17"/>
          <w:szCs w:val="17"/>
          <w:color w:val="auto"/>
        </w:rPr>
        <w:t>). In our opinion, the consolidated financial statements present fairly, in all material respects, the financial position of</w:t>
      </w:r>
      <w:r>
        <w:rPr>
          <w:rFonts w:ascii="Arial" w:cs="Arial" w:eastAsia="Arial" w:hAnsi="Arial"/>
          <w:sz w:val="22"/>
          <w:szCs w:val="22"/>
          <w:color w:val="auto"/>
        </w:rPr>
        <w:t xml:space="preserve"> </w:t>
      </w:r>
      <w:r>
        <w:rPr>
          <w:rFonts w:ascii="Arial" w:cs="Arial" w:eastAsia="Arial" w:hAnsi="Arial"/>
          <w:sz w:val="17"/>
          <w:szCs w:val="17"/>
          <w:color w:val="auto"/>
        </w:rPr>
        <w:t>the Company at December 31, 2020 and 2019, and the results of its operations and its cash flows for each of the three years in the period ended December 31, 2020, in conformity with U.S. generally accepted accounting principles.</w:t>
      </w:r>
    </w:p>
    <w:p>
      <w:pPr>
        <w:spacing w:after="0" w:line="2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did not audit the financial statements of Grupo Vasconia, S.A.B. and Subsidiaries, a corporation in which the Company has a 30% interest. In the consolidated financial statements, the Company’s investment in Grupo Vasconia, S.A.B. and Subsidiaries is stated at $20.0 million and $21.3 million as of December 31, 2020 and 2019, respectively, and the Company’s equity in the net income of Grupo Vasconia, S.A.B. and Subsidiaries is stated at $1.5 million in 2020, $0.5 million in 2019 and $0.9 million in 2018. Those statements were audited by other auditors whose reports have been furnished to us, and our opinion, insofar as it relates to the amounts included for Grupo Vasconia, S.A.B. and Subsidiaries, is based solely on the reports of the other auditors.</w:t>
      </w:r>
    </w:p>
    <w:p>
      <w:pPr>
        <w:spacing w:after="0" w:line="216"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March 10, 2021 expressed an unqualified opinion thereon.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and the reports of other auditors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43"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-299720</wp:posOffset>
            </wp:positionV>
            <wp:extent cx="17145" cy="939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8">
                      <a:extLst>
                        <a:ext uri="{28A0092B-C50C-407E-A947-70E740481C1C}"/>
                      </a:extLst>
                    </a:blip>
                    <a:srcRect/>
                    <a:stretch>
                      <a:fillRect/>
                    </a:stretch>
                  </pic:blipFill>
                  <pic:spPr bwMode="auto">
                    <a:xfrm>
                      <a:off x="0" y="0"/>
                      <a:ext cx="17145" cy="9398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444444"/>
        </w:rPr>
        <w:t>F</w:t>
      </w:r>
      <w:r>
        <w:rPr>
          <w:rFonts w:ascii="Arial" w:cs="Arial" w:eastAsia="Arial" w:hAnsi="Arial"/>
          <w:sz w:val="15"/>
          <w:szCs w:val="15"/>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Valuation of Goodwill and Trade names</w:t>
      </w:r>
    </w:p>
    <w:p>
      <w:pPr>
        <w:spacing w:after="0" w:line="108" w:lineRule="exact"/>
        <w:rPr>
          <w:sz w:val="20"/>
          <w:szCs w:val="20"/>
          <w:color w:val="auto"/>
        </w:rPr>
      </w:pPr>
    </w:p>
    <w:p>
      <w:pPr>
        <w:ind w:left="2260" w:right="40" w:hanging="2240"/>
        <w:spacing w:after="0" w:line="254" w:lineRule="auto"/>
        <w:tabs>
          <w:tab w:leader="none" w:pos="224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7"/>
          <w:szCs w:val="17"/>
          <w:color w:val="auto"/>
        </w:rPr>
        <w:t>At December 31, 2020, the Company’s intangible assets consist of goodwill in the U.S. reporting unit with a carrying value of $30.3 million and two indefinite-lived trade names in the U.S. reportable segment with an aggregated carrying value of $49.6 million. As discussed in Note 7 of the audited consolidated financial statements, the Company tests goodwill and indefinite-lived trade names for impairment at least annually, or more frequently when events or changes in circumstances indicate that the carrying value of these assets may not be recoverable. An impairment loss is recognized when the fair value of goodwill or the indefinite-lived trade names is less than its carrying amount. During the current year, the Company recognized a goodwill impairment charges of $19.1 million in the U.S. reporting unit and $1.0 million of an indefinite-lived trade name in the U.S. reportable segment.</w:t>
      </w:r>
    </w:p>
    <w:p>
      <w:pPr>
        <w:spacing w:after="0" w:line="73" w:lineRule="exact"/>
        <w:rPr>
          <w:sz w:val="20"/>
          <w:szCs w:val="20"/>
          <w:color w:val="auto"/>
        </w:rPr>
      </w:pPr>
    </w:p>
    <w:p>
      <w:pPr>
        <w:ind w:left="2260" w:right="20"/>
        <w:spacing w:after="0" w:line="252" w:lineRule="auto"/>
        <w:rPr>
          <w:sz w:val="20"/>
          <w:szCs w:val="20"/>
          <w:color w:val="auto"/>
        </w:rPr>
      </w:pPr>
      <w:r>
        <w:rPr>
          <w:rFonts w:ascii="Arial" w:cs="Arial" w:eastAsia="Arial" w:hAnsi="Arial"/>
          <w:sz w:val="17"/>
          <w:szCs w:val="17"/>
          <w:color w:val="auto"/>
        </w:rPr>
        <w:t>Auditing management’s annual and interim goodwill and indefinite-lived trade names impairment tests was complex as valuation of the reporting unit and indefinite-lived trade names involves considerable management judgment and estimation. For goodwill, the Company estimated the fair value of the reporting unit using a combination of the discounted cash flow method, a form of the income approach, and the guideline public company method, a form of the market approach. The discounted cash flow method is largely dependent upon estimates made by management with respect to significant assumptions, including projected net sales, projected earnings before interest, tax, depreciation and amortization (“EBITDA”), terminal growth rates, and the cost of capital For the guideline public company method, the significant assumptions related to the selection of the appropriate guideline companies and related valuation multiples used in the analysis. For indefinite-lived trade names, significant assumptions used in management’s fair value analysis included future net sales for the related brands, royalty rates, and the cost of capital. These assumptions are forward-looking. Changes in market, industry and company-specific conditions could materially impact the determination of the fair value of these assets and the measurement of the impairments.</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 xml:space="preserve">How We Addressed the Matter </w:t>
      </w:r>
      <w:r>
        <w:rPr>
          <w:rFonts w:ascii="Arial" w:cs="Arial" w:eastAsia="Arial" w:hAnsi="Arial"/>
          <w:sz w:val="16"/>
          <w:szCs w:val="16"/>
          <w:color w:val="auto"/>
        </w:rPr>
        <w:t>We obtained an understanding, evaluated the design, and tested the operating effectiveness of controls over the Company’s</w:t>
      </w:r>
    </w:p>
    <w:p>
      <w:pPr>
        <w:spacing w:after="0" w:line="35" w:lineRule="exact"/>
        <w:rPr>
          <w:sz w:val="20"/>
          <w:szCs w:val="20"/>
          <w:color w:val="auto"/>
        </w:rPr>
      </w:pPr>
    </w:p>
    <w:p>
      <w:pPr>
        <w:ind w:left="2260" w:right="140" w:hanging="2240"/>
        <w:spacing w:after="0" w:line="243" w:lineRule="auto"/>
        <w:tabs>
          <w:tab w:leader="none" w:pos="2240" w:val="left"/>
        </w:tabs>
        <w:rPr>
          <w:sz w:val="20"/>
          <w:szCs w:val="20"/>
          <w:color w:val="auto"/>
        </w:rPr>
      </w:pPr>
      <w:r>
        <w:rPr>
          <w:rFonts w:ascii="Arial" w:cs="Arial" w:eastAsia="Arial" w:hAnsi="Arial"/>
          <w:sz w:val="18"/>
          <w:szCs w:val="18"/>
          <w:i w:val="1"/>
          <w:iCs w:val="1"/>
          <w:color w:val="auto"/>
        </w:rPr>
        <w:t>in Our Audit</w:t>
      </w:r>
      <w:r>
        <w:rPr>
          <w:sz w:val="20"/>
          <w:szCs w:val="20"/>
          <w:color w:val="auto"/>
        </w:rPr>
        <w:tab/>
      </w:r>
      <w:r>
        <w:rPr>
          <w:rFonts w:ascii="Arial" w:cs="Arial" w:eastAsia="Arial" w:hAnsi="Arial"/>
          <w:sz w:val="18"/>
          <w:szCs w:val="18"/>
          <w:color w:val="auto"/>
        </w:rPr>
        <w:t>valuation of goodwill and indefinite-lived trade names. This included testing management’s review controls relating to the Company’s valuation models and significant assumptions, described above.</w:t>
      </w:r>
    </w:p>
    <w:p>
      <w:pPr>
        <w:spacing w:after="0" w:line="105" w:lineRule="exact"/>
        <w:rPr>
          <w:sz w:val="20"/>
          <w:szCs w:val="20"/>
          <w:color w:val="auto"/>
        </w:rPr>
      </w:pPr>
    </w:p>
    <w:p>
      <w:pPr>
        <w:ind w:left="2260"/>
        <w:spacing w:after="0" w:line="251" w:lineRule="auto"/>
        <w:rPr>
          <w:sz w:val="20"/>
          <w:szCs w:val="20"/>
          <w:color w:val="auto"/>
        </w:rPr>
      </w:pPr>
      <w:r>
        <w:rPr>
          <w:rFonts w:ascii="Arial" w:cs="Arial" w:eastAsia="Arial" w:hAnsi="Arial"/>
          <w:sz w:val="16"/>
          <w:szCs w:val="16"/>
          <w:color w:val="auto"/>
        </w:rPr>
        <w:t>As part of our audit, we assessed the methodologies and significant assumptions used for the purposes of performing the impairment tests, among other procedures. We evaluated our historical experience with management’s effort in producing accurate projections of revenue growth and profitability by comparing its historical projections to the Company’s actual performance. We tested the significant assumptions discussed above, as well as the completeness and accuracy of the underlying data used in the valuations. We assessed the appropriateness of the Company’s projections by comparing them to general and sector-specific market expectations. We engaged our valuation specialists to assess the reasonableness of the cost of capital, the valuation models and significant assumptions used in the valuation of the U.S. reporting unit and the indefinite-lived trade names. In order to reflect the uncertainty inherent in the projections, we inspected the sensitivity analyses performed by the Company and performed our own sensitivity analyses by increasing or decreasing the significant assumptions and evaluated the potential outcome for the U.S. reporting unit and the indefinite-lived trade names in the U.S. reportable segment. For the guideline public company method, we evaluated the reasonableness of the selected guideline public companies and the resulting market multiples calculation. In addition, we tested the reconciliation of the fair value of the reporting units developed by management to the stock market capitalization of the Company as of the valuation date and evaluated the implied control premium for reasonableness.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8" w:lineRule="exact"/>
        <w:rPr>
          <w:sz w:val="20"/>
          <w:szCs w:val="20"/>
          <w:color w:val="auto"/>
        </w:rPr>
      </w:pPr>
    </w:p>
    <w:p>
      <w:pPr>
        <w:ind w:left="2260"/>
        <w:spacing w:after="0"/>
        <w:rPr>
          <w:sz w:val="20"/>
          <w:szCs w:val="20"/>
          <w:color w:val="auto"/>
        </w:rPr>
      </w:pPr>
      <w:r>
        <w:rPr>
          <w:rFonts w:ascii="Arial" w:cs="Arial" w:eastAsia="Arial" w:hAnsi="Arial"/>
          <w:sz w:val="16"/>
          <w:szCs w:val="16"/>
          <w:b w:val="1"/>
          <w:bCs w:val="1"/>
          <w:color w:val="auto"/>
        </w:rPr>
        <w:t>Estimation of Variable Consideration</w:t>
      </w:r>
    </w:p>
    <w:p>
      <w:pPr>
        <w:sectPr>
          <w:pgSz w:w="11900" w:h="16838" w:orient="portrait"/>
          <w:cols w:equalWidth="0" w:num="1">
            <w:col w:w="11220"/>
          </w:cols>
          <w:pgMar w:left="320" w:top="125" w:right="359" w:bottom="1440" w:gutter="0" w:footer="0" w:header="0"/>
        </w:sectPr>
      </w:pPr>
    </w:p>
    <w:p>
      <w:pPr>
        <w:spacing w:after="0" w:line="1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Description of the Matter</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For the year ended December 31, 2020, the Company reported net sales of $769.2 million. As described in Note 2 of the audited consolidated financial statements, the Company offers various sales incentives and promotional programs to its customers in the normal course of business. These sales incentives and promotional spending, typically including cooperative advertising, buydowns, volume discounts and discounts, represent variable consideration and are reflected as reductions in net sales in the Company’s consolidated statements of operations. While a majority of the sales incentives and promotions are contractually agreed upon with the Company’s customers, certain discounts require the Company to estimate the sales incentive and promotions based on historical experience and other known factors or as the most likely amount in a range of possible outcomes.</w:t>
      </w:r>
    </w:p>
    <w:p>
      <w:pPr>
        <w:spacing w:after="0" w:line="83" w:lineRule="exact"/>
        <w:rPr>
          <w:sz w:val="20"/>
          <w:szCs w:val="20"/>
          <w:color w:val="auto"/>
        </w:rPr>
      </w:pPr>
    </w:p>
    <w:p>
      <w:pPr>
        <w:sectPr>
          <w:pgSz w:w="11900" w:h="16838" w:orient="portrait"/>
          <w:cols w:equalWidth="0" w:num="2">
            <w:col w:w="1840" w:space="420"/>
            <w:col w:w="8960"/>
          </w:cols>
          <w:pgMar w:left="320" w:top="125" w:right="359" w:bottom="1440" w:gutter="0" w:footer="0" w:header="0"/>
          <w:type w:val="continuous"/>
        </w:sectPr>
      </w:pPr>
    </w:p>
    <w:p>
      <w:pPr>
        <w:ind w:left="2260" w:right="280"/>
        <w:spacing w:after="0" w:line="294" w:lineRule="auto"/>
        <w:rPr>
          <w:sz w:val="20"/>
          <w:szCs w:val="20"/>
          <w:color w:val="auto"/>
        </w:rPr>
      </w:pPr>
      <w:r>
        <w:rPr>
          <w:rFonts w:ascii="Arial" w:cs="Arial" w:eastAsia="Arial" w:hAnsi="Arial"/>
          <w:sz w:val="16"/>
          <w:szCs w:val="16"/>
          <w:color w:val="auto"/>
        </w:rPr>
        <w:t>Auditing the Company’s measurement of the variable consideration associated with discounts is challenging because the calculation involves subjective estimates of future price concessions, number of units sold by distributors and product returns. Changes in these assumptions can have a material effect on the amount of net sales recognized.</w:t>
      </w:r>
    </w:p>
    <w:p>
      <w:pPr>
        <w:sectPr>
          <w:pgSz w:w="11900" w:h="16838" w:orient="portrait"/>
          <w:cols w:equalWidth="0" w:num="1">
            <w:col w:w="11220"/>
          </w:cols>
          <w:pgMar w:left="320" w:top="125" w:right="359" w:bottom="1440" w:gutter="0" w:footer="0" w:header="0"/>
          <w:type w:val="continuous"/>
        </w:sectPr>
      </w:pP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How We Addressed the</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We obtained an understanding, evaluated the design, and tested the operating effectiveness of the Company’s controls over</w:t>
      </w:r>
    </w:p>
    <w:p>
      <w:pPr>
        <w:spacing w:after="0" w:line="46" w:lineRule="exact"/>
        <w:rPr>
          <w:sz w:val="20"/>
          <w:szCs w:val="20"/>
          <w:color w:val="auto"/>
        </w:rPr>
      </w:pPr>
    </w:p>
    <w:p>
      <w:pPr>
        <w:sectPr>
          <w:pgSz w:w="11900" w:h="16838" w:orient="portrait"/>
          <w:cols w:equalWidth="0" w:num="2">
            <w:col w:w="1720" w:space="540"/>
            <w:col w:w="8960"/>
          </w:cols>
          <w:pgMar w:left="320" w:top="125" w:right="35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estimation of variable consideration. Among others, we tested management’s review controls over the determination of</w:t>
      </w:r>
    </w:p>
    <w:p>
      <w:pPr>
        <w:spacing w:after="0" w:line="18" w:lineRule="exact"/>
        <w:rPr>
          <w:sz w:val="20"/>
          <w:szCs w:val="20"/>
          <w:color w:val="auto"/>
        </w:rPr>
      </w:pPr>
    </w:p>
    <w:p>
      <w:pPr>
        <w:sectPr>
          <w:pgSz w:w="11900" w:h="16838" w:orient="portrait"/>
          <w:cols w:equalWidth="0" w:num="2">
            <w:col w:w="1540" w:space="720"/>
            <w:col w:w="8960"/>
          </w:cols>
          <w:pgMar w:left="320" w:top="125" w:right="359" w:bottom="1440" w:gutter="0" w:footer="0" w:header="0"/>
          <w:type w:val="continuous"/>
        </w:sectPr>
      </w:pPr>
    </w:p>
    <w:p>
      <w:pPr>
        <w:ind w:left="2260" w:right="80"/>
        <w:spacing w:after="0" w:line="234" w:lineRule="auto"/>
        <w:rPr>
          <w:sz w:val="20"/>
          <w:szCs w:val="20"/>
          <w:color w:val="auto"/>
        </w:rPr>
      </w:pPr>
      <w:r>
        <w:rPr>
          <w:rFonts w:ascii="Arial" w:cs="Arial" w:eastAsia="Arial" w:hAnsi="Arial"/>
          <w:sz w:val="18"/>
          <w:szCs w:val="18"/>
          <w:color w:val="auto"/>
        </w:rPr>
        <w:t>significant assumptions used in estimating the variable consideration. We also tested controls over management’s review of the completeness and accuracy of the underlying data used in the analysis.</w:t>
      </w:r>
    </w:p>
    <w:p>
      <w:pPr>
        <w:spacing w:after="0" w:line="68" w:lineRule="exact"/>
        <w:rPr>
          <w:sz w:val="20"/>
          <w:szCs w:val="20"/>
          <w:color w:val="auto"/>
        </w:rPr>
      </w:pPr>
    </w:p>
    <w:p>
      <w:pPr>
        <w:ind w:left="2260"/>
        <w:spacing w:after="0" w:line="258" w:lineRule="auto"/>
        <w:rPr>
          <w:sz w:val="20"/>
          <w:szCs w:val="20"/>
          <w:color w:val="auto"/>
        </w:rPr>
      </w:pPr>
      <w:r>
        <w:rPr>
          <w:rFonts w:ascii="Arial" w:cs="Arial" w:eastAsia="Arial" w:hAnsi="Arial"/>
          <w:sz w:val="16"/>
          <w:szCs w:val="16"/>
          <w:color w:val="auto"/>
        </w:rPr>
        <w:t>Among other procedures, we inspected the sales contracts and communications between the sales department and customers that were used to support the estimation of the variable consideration. For a sample of transactions, we performed detailed transactional testing of customer deductions to validate the timing and amount of the sales allowances recorded. We performed corroborative inquiries of sales division executives to evaluate the ongoing sales promotions and spending needs at year end. Additionally, we performed retrospective analyses over management’s historical estimates in order to assess the reasonableness of how the Company measures certain variable consideration discounts.</w:t>
      </w:r>
    </w:p>
    <w:p>
      <w:pPr>
        <w:sectPr>
          <w:pgSz w:w="11900" w:h="16838" w:orient="portrait"/>
          <w:cols w:equalWidth="0" w:num="1">
            <w:col w:w="11220"/>
          </w:cols>
          <w:pgMar w:left="320" w:top="125" w:right="359" w:bottom="1440" w:gutter="0" w:footer="0" w:header="0"/>
          <w:type w:val="continuous"/>
        </w:sect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rPr>
          <w:sz w:val="20"/>
          <w:szCs w:val="20"/>
          <w:color w:val="auto"/>
        </w:rPr>
      </w:pPr>
      <w:r>
        <w:rPr>
          <w:rFonts w:ascii="Arial" w:cs="Arial" w:eastAsia="Arial" w:hAnsi="Arial"/>
          <w:sz w:val="18"/>
          <w:szCs w:val="18"/>
          <w:color w:val="auto"/>
        </w:rPr>
        <w:t>March 10, 2021</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444444"/>
        </w:rPr>
        <w:t>F</w:t>
      </w:r>
      <w:r>
        <w:rPr>
          <w:rFonts w:ascii="Arial" w:cs="Arial" w:eastAsia="Arial" w:hAnsi="Arial"/>
          <w:sz w:val="15"/>
          <w:szCs w:val="15"/>
          <w:color w:val="00000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 except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11,370</w:t>
            </w:r>
          </w:p>
        </w:tc>
        <w:tc>
          <w:tcPr>
            <w:tcW w:w="0" w:type="dxa"/>
            <w:vAlign w:val="bottom"/>
          </w:tcPr>
          <w:p>
            <w:pPr>
              <w:spacing w:after="0"/>
              <w:rPr>
                <w:sz w:val="1"/>
                <w:szCs w:val="1"/>
                <w:color w:val="auto"/>
              </w:rPr>
            </w:pP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w w:val="97"/>
              </w:rPr>
              <w:t>Accounts receivable, less allowances of $17,013 at December 31, 2020 and $9,681 at December 31, 2019</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170,037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128,639</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173,427</w:t>
            </w:r>
          </w:p>
        </w:tc>
        <w:tc>
          <w:tcPr>
            <w:tcW w:w="0" w:type="dxa"/>
            <w:vAlign w:val="bottom"/>
          </w:tcPr>
          <w:p>
            <w:pPr>
              <w:spacing w:after="0"/>
              <w:rPr>
                <w:sz w:val="1"/>
                <w:szCs w:val="1"/>
                <w:color w:val="auto"/>
              </w:rPr>
            </w:pP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14,140</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receivable</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23"/>
        </w:trPr>
        <w:tc>
          <w:tcPr>
            <w:tcW w:w="862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421,293</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329,153</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28,168</w:t>
            </w: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96,543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106,871</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21,289</w:t>
            </w: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244,025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280,471</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23"/>
        </w:trPr>
        <w:tc>
          <w:tcPr>
            <w:tcW w:w="8620" w:type="dxa"/>
            <w:vAlign w:val="bottom"/>
          </w:tcPr>
          <w:p>
            <w:pPr>
              <w:ind w:left="11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807,481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770,023</w:t>
            </w: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maturity of term loan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8,413</w:t>
            </w:r>
          </w:p>
        </w:tc>
        <w:tc>
          <w:tcPr>
            <w:tcW w:w="0" w:type="dxa"/>
            <w:vAlign w:val="bottom"/>
          </w:tcPr>
          <w:p>
            <w:pPr>
              <w:spacing w:after="0"/>
              <w:rPr>
                <w:sz w:val="1"/>
                <w:szCs w:val="1"/>
                <w:color w:val="auto"/>
              </w:rPr>
            </w:pP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66,095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36,173</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52,060</w:t>
            </w:r>
          </w:p>
        </w:tc>
        <w:tc>
          <w:tcPr>
            <w:tcW w:w="0" w:type="dxa"/>
            <w:vAlign w:val="bottom"/>
          </w:tcPr>
          <w:p>
            <w:pPr>
              <w:spacing w:after="0"/>
              <w:rPr>
                <w:sz w:val="1"/>
                <w:szCs w:val="1"/>
                <w:color w:val="auto"/>
              </w:rPr>
            </w:pP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4,788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operating lease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10,661</w:t>
            </w:r>
          </w:p>
        </w:tc>
        <w:tc>
          <w:tcPr>
            <w:tcW w:w="0" w:type="dxa"/>
            <w:vAlign w:val="bottom"/>
          </w:tcPr>
          <w:p>
            <w:pPr>
              <w:spacing w:after="0"/>
              <w:rPr>
                <w:sz w:val="1"/>
                <w:szCs w:val="1"/>
                <w:color w:val="auto"/>
              </w:rPr>
            </w:pPr>
          </w:p>
        </w:tc>
      </w:tr>
      <w:tr>
        <w:trPr>
          <w:trHeight w:val="223"/>
        </w:trPr>
        <w:tc>
          <w:tcPr>
            <w:tcW w:w="862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180,070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107,307</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12,214</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INCOME TAXES PAYABLE, LONG-TERM</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112,180</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13,685</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32,822</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TERM LOAN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238,977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254,281</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20" w:type="dxa"/>
            <w:vAlign w:val="bottom"/>
          </w:tcPr>
          <w:p>
            <w:pPr>
              <w:ind w:left="360"/>
              <w:spacing w:after="0" w:line="176" w:lineRule="exact"/>
              <w:rPr>
                <w:sz w:val="20"/>
                <w:szCs w:val="20"/>
                <w:color w:val="auto"/>
              </w:rPr>
            </w:pPr>
            <w:r>
              <w:rPr>
                <w:rFonts w:ascii="Arial" w:cs="Arial" w:eastAsia="Arial" w:hAnsi="Arial"/>
                <w:sz w:val="18"/>
                <w:szCs w:val="18"/>
                <w:color w:val="auto"/>
                <w:w w:val="89"/>
              </w:rPr>
              <w:t>Preferred stock, $1.00 par value, shares authorized: 100 shares of Series A and 2,000,000 shares of Series B; none</w:t>
            </w:r>
          </w:p>
        </w:tc>
        <w:tc>
          <w:tcPr>
            <w:tcW w:w="300" w:type="dxa"/>
            <w:vAlign w:val="bottom"/>
          </w:tcPr>
          <w:p>
            <w:pPr>
              <w:spacing w:after="0"/>
              <w:rPr>
                <w:sz w:val="15"/>
                <w:szCs w:val="15"/>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620" w:type="dxa"/>
            <w:vAlign w:val="bottom"/>
          </w:tcPr>
          <w:p>
            <w:pPr>
              <w:ind w:left="520"/>
              <w:spacing w:after="0"/>
              <w:rPr>
                <w:sz w:val="20"/>
                <w:szCs w:val="20"/>
                <w:color w:val="auto"/>
              </w:rPr>
            </w:pPr>
            <w:r>
              <w:rPr>
                <w:rFonts w:ascii="Arial" w:cs="Arial" w:eastAsia="Arial" w:hAnsi="Arial"/>
                <w:sz w:val="18"/>
                <w:szCs w:val="18"/>
                <w:color w:val="auto"/>
              </w:rPr>
              <w:t>issued and outstanding</w:t>
            </w:r>
          </w:p>
        </w:tc>
        <w:tc>
          <w:tcPr>
            <w:tcW w:w="3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Common stock, $0.01 par value, shares authorized: 50,000,000 at December 31, 2020 and 2019; shares issued and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21,755,195 at December 31, 2020 and 21,255,660 at December 31, 2019</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9"/>
        </w:trPr>
        <w:tc>
          <w:tcPr>
            <w:tcW w:w="8620" w:type="dxa"/>
            <w:vAlign w:val="bottom"/>
          </w:tcPr>
          <w:p>
            <w:pPr>
              <w:ind w:left="140"/>
              <w:spacing w:after="0"/>
              <w:rPr>
                <w:sz w:val="20"/>
                <w:szCs w:val="20"/>
                <w:color w:val="auto"/>
              </w:rPr>
            </w:pPr>
            <w:r>
              <w:rPr>
                <w:rFonts w:ascii="Arial" w:cs="Arial" w:eastAsia="Arial" w:hAnsi="Arial"/>
                <w:sz w:val="18"/>
                <w:szCs w:val="18"/>
                <w:color w:val="auto"/>
              </w:rPr>
              <w:t>Paid-in capital</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268,666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263,386</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7,173</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(39,172)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(34,455)</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230,136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236,317</w:t>
            </w:r>
          </w:p>
        </w:tc>
        <w:tc>
          <w:tcPr>
            <w:tcW w:w="0" w:type="dxa"/>
            <w:vAlign w:val="bottom"/>
          </w:tcPr>
          <w:p>
            <w:pPr>
              <w:spacing w:after="0"/>
              <w:rPr>
                <w:sz w:val="1"/>
                <w:szCs w:val="1"/>
                <w:color w:val="auto"/>
              </w:rPr>
            </w:pPr>
          </w:p>
        </w:tc>
      </w:tr>
      <w:tr>
        <w:trPr>
          <w:trHeight w:val="223"/>
        </w:trPr>
        <w:tc>
          <w:tcPr>
            <w:tcW w:w="8620" w:type="dxa"/>
            <w:vAlign w:val="bottom"/>
          </w:tcPr>
          <w:p>
            <w:pPr>
              <w:ind w:left="112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807,481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770,023</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769,169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734,902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704,542</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495,171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479,711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448,785</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255,757</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Distribution expenses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72,845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72,543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69,716</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162,933</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Goodwill and other impairments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42,990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18,579</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(18,004)</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Mark to market (loss) gain on interest rate derivatives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early retirement of debt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color w:val="auto"/>
              </w:rPr>
              <w:t>Income (loss) before income taxes and equity in earnings</w:t>
            </w: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5,549</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(43,773)</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in earnings, net of taxes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LOSS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(0.14)</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LOSS PER COMMON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Translation adjustment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w:t>
            </w:r>
          </w:p>
        </w:tc>
        <w:tc>
          <w:tcPr>
            <w:tcW w:w="0" w:type="dxa"/>
            <w:vAlign w:val="bottom"/>
          </w:tcPr>
          <w:p>
            <w:pPr>
              <w:spacing w:after="0"/>
              <w:rPr>
                <w:sz w:val="1"/>
                <w:szCs w:val="1"/>
                <w:color w:val="auto"/>
              </w:rPr>
            </w:pPr>
          </w:p>
        </w:tc>
      </w:tr>
      <w:tr>
        <w:trPr>
          <w:trHeight w:val="229"/>
        </w:trPr>
        <w:tc>
          <w:tcPr>
            <w:tcW w:w="7240" w:type="dxa"/>
            <w:vAlign w:val="bottom"/>
          </w:tcPr>
          <w:p>
            <w:pPr>
              <w:ind w:left="680"/>
              <w:spacing w:after="0"/>
              <w:rPr>
                <w:sz w:val="20"/>
                <w:szCs w:val="20"/>
                <w:color w:val="auto"/>
              </w:rPr>
            </w:pPr>
            <w:r>
              <w:rPr>
                <w:rFonts w:ascii="Arial" w:cs="Arial" w:eastAsia="Arial" w:hAnsi="Arial"/>
                <w:sz w:val="18"/>
                <w:szCs w:val="18"/>
                <w:color w:val="auto"/>
              </w:rPr>
              <w:t>Less: Amount reclassified</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40" w:type="dxa"/>
            <w:vAlign w:val="bottom"/>
            <w:tcBorders>
              <w:top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Total translation loss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(5,906)</w:t>
            </w:r>
          </w:p>
        </w:tc>
        <w:tc>
          <w:tcPr>
            <w:tcW w:w="0" w:type="dxa"/>
            <w:vAlign w:val="bottom"/>
          </w:tcPr>
          <w:p>
            <w:pPr>
              <w:spacing w:after="0"/>
              <w:rPr>
                <w:sz w:val="1"/>
                <w:szCs w:val="1"/>
                <w:color w:val="auto"/>
              </w:rPr>
            </w:pPr>
          </w:p>
        </w:tc>
      </w:tr>
      <w:tr>
        <w:trPr>
          <w:trHeight w:val="209"/>
        </w:trPr>
        <w:tc>
          <w:tcPr>
            <w:tcW w:w="7240" w:type="dxa"/>
            <w:vAlign w:val="bottom"/>
          </w:tcPr>
          <w:p>
            <w:pPr>
              <w:ind w:left="360"/>
              <w:spacing w:after="0"/>
              <w:rPr>
                <w:sz w:val="20"/>
                <w:szCs w:val="20"/>
                <w:color w:val="auto"/>
              </w:rPr>
            </w:pPr>
            <w:r>
              <w:rPr>
                <w:rFonts w:ascii="Arial" w:cs="Arial" w:eastAsia="Arial" w:hAnsi="Arial"/>
                <w:sz w:val="18"/>
                <w:szCs w:val="18"/>
                <w:color w:val="auto"/>
              </w:rPr>
              <w:t>Deferred gains (losses) on cash flow hedges: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Fair value adjustment, net of tax of $(803), $347 and $38</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Less: Settlement of cash flow hedges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deferred (losses) gains on cash flow hedges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7240" w:type="dxa"/>
            <w:vAlign w:val="bottom"/>
          </w:tcPr>
          <w:p>
            <w:pPr>
              <w:ind w:left="360"/>
              <w:spacing w:after="0"/>
              <w:rPr>
                <w:sz w:val="20"/>
                <w:szCs w:val="20"/>
                <w:color w:val="auto"/>
              </w:rPr>
            </w:pPr>
            <w:r>
              <w:rPr>
                <w:rFonts w:ascii="Arial" w:cs="Arial" w:eastAsia="Arial" w:hAnsi="Arial"/>
                <w:sz w:val="18"/>
                <w:szCs w:val="18"/>
                <w:color w:val="auto"/>
              </w:rPr>
              <w:t>Effect of retirement benefit obligations: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4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3"/>
              </w:rPr>
              <w:t>Net (loss) income arising from retirement benefit obligations, net of tax of $(259), $(251)</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and $93</w:t>
            </w: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Less: amortization of loss included in net loss, net of tax of $52, $34 and $23</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effects of retirement benefit obligations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(5,291)</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(7,011)</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1840" w:type="dxa"/>
            <w:vAlign w:val="bottom"/>
            <w:gridSpan w:val="5"/>
          </w:tcPr>
          <w:p>
            <w:pPr>
              <w:ind w:left="40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5"/>
        </w:trPr>
        <w:tc>
          <w:tcPr>
            <w:tcW w:w="4420" w:type="dxa"/>
            <w:vAlign w:val="bottom"/>
          </w:tcPr>
          <w:p>
            <w:pPr>
              <w:spacing w:after="0"/>
              <w:rPr>
                <w:sz w:val="24"/>
                <w:szCs w:val="24"/>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24"/>
                <w:szCs w:val="2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24"/>
                <w:szCs w:val="2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24"/>
                <w:szCs w:val="2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 other</w:t>
            </w:r>
          </w:p>
        </w:tc>
        <w:tc>
          <w:tcPr>
            <w:tcW w:w="200" w:type="dxa"/>
            <w:vAlign w:val="bottom"/>
          </w:tcPr>
          <w:p>
            <w:pPr>
              <w:spacing w:after="0"/>
              <w:rPr>
                <w:sz w:val="24"/>
                <w:szCs w:val="24"/>
                <w:color w:val="auto"/>
              </w:rPr>
            </w:pPr>
          </w:p>
        </w:tc>
        <w:tc>
          <w:tcPr>
            <w:tcW w:w="760" w:type="dxa"/>
            <w:vAlign w:val="bottom"/>
            <w:vMerge w:val="restart"/>
          </w:tcPr>
          <w:p>
            <w:pPr>
              <w:jc w:val="right"/>
              <w:ind w:right="23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4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comprehensive loss</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2017</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178,909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60,546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210,279</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29"/>
        </w:trPr>
        <w:tc>
          <w:tcPr>
            <w:tcW w:w="4420" w:type="dxa"/>
            <w:vAlign w:val="bottom"/>
          </w:tcPr>
          <w:p>
            <w:pPr>
              <w:ind w:left="340"/>
              <w:spacing w:after="0"/>
              <w:rPr>
                <w:sz w:val="20"/>
                <w:szCs w:val="20"/>
                <w:color w:val="auto"/>
              </w:rPr>
            </w:pPr>
            <w:r>
              <w:rPr>
                <w:rFonts w:ascii="Arial" w:cs="Arial" w:eastAsia="Arial" w:hAnsi="Arial"/>
                <w:sz w:val="18"/>
                <w:szCs w:val="18"/>
                <w:color w:val="auto"/>
              </w:rPr>
              <w:t>Translation adjustment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(5,906)</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fair value adjustment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Effect of retirement benefit obligations</w:t>
            </w:r>
          </w:p>
        </w:tc>
        <w:tc>
          <w:tcPr>
            <w:tcW w:w="9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468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comprehensive loss</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(7,011)</w:t>
            </w: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Arial" w:cs="Arial" w:eastAsia="Arial" w:hAnsi="Arial"/>
                <w:sz w:val="18"/>
                <w:szCs w:val="18"/>
                <w:color w:val="auto"/>
              </w:rPr>
              <w:t>Restricted shares granted to directors</w:t>
            </w: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Net issuance of restricted shares granted to employees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420" w:type="dxa"/>
            <w:vAlign w:val="bottom"/>
          </w:tcPr>
          <w:p>
            <w:pPr>
              <w:ind w:left="20"/>
              <w:spacing w:after="0" w:line="176" w:lineRule="exact"/>
              <w:rPr>
                <w:sz w:val="20"/>
                <w:szCs w:val="20"/>
                <w:color w:val="auto"/>
              </w:rPr>
            </w:pPr>
            <w:r>
              <w:rPr>
                <w:rFonts w:ascii="Arial" w:cs="Arial" w:eastAsia="Arial" w:hAnsi="Arial"/>
                <w:sz w:val="18"/>
                <w:szCs w:val="18"/>
                <w:color w:val="auto"/>
              </w:rPr>
              <w:t>Issuance of 5,593,116 shares of common stock for</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5,593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75,914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4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75,970</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acquisition of Filament, net of equity issuance costs</w:t>
            </w: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Net exercise of stock options</w:t>
            </w: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176"/>
        </w:trPr>
        <w:tc>
          <w:tcPr>
            <w:tcW w:w="4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Shares effectively repurchased for required employee</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withholding taxes</w:t>
            </w: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Dividends </w:t>
            </w:r>
            <w:r>
              <w:rPr>
                <w:rFonts w:ascii="Arial" w:cs="Arial" w:eastAsia="Arial" w:hAnsi="Arial"/>
                <w:sz w:val="23"/>
                <w:szCs w:val="23"/>
                <w:color w:val="auto"/>
                <w:vertAlign w:val="superscript"/>
              </w:rPr>
              <w:t>(1)</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(3,562)</w:t>
            </w:r>
          </w:p>
        </w:tc>
        <w:tc>
          <w:tcPr>
            <w:tcW w:w="0" w:type="dxa"/>
            <w:vAlign w:val="bottom"/>
          </w:tcPr>
          <w:p>
            <w:pPr>
              <w:spacing w:after="0"/>
              <w:rPr>
                <w:sz w:val="1"/>
                <w:szCs w:val="1"/>
                <w:color w:val="auto"/>
              </w:rPr>
            </w:pPr>
          </w:p>
        </w:tc>
      </w:tr>
      <w:tr>
        <w:trPr>
          <w:trHeight w:val="248"/>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2018</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279,493</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Comprehensive (loss) income:</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2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(44,415)</w:t>
            </w:r>
          </w:p>
        </w:tc>
        <w:tc>
          <w:tcPr>
            <w:tcW w:w="0" w:type="dxa"/>
            <w:vAlign w:val="bottom"/>
          </w:tcPr>
          <w:p>
            <w:pPr>
              <w:spacing w:after="0"/>
              <w:rPr>
                <w:sz w:val="1"/>
                <w:szCs w:val="1"/>
                <w:color w:val="auto"/>
              </w:rPr>
            </w:pPr>
          </w:p>
        </w:tc>
      </w:tr>
      <w:tr>
        <w:trPr>
          <w:trHeight w:val="229"/>
        </w:trPr>
        <w:tc>
          <w:tcPr>
            <w:tcW w:w="4420" w:type="dxa"/>
            <w:vAlign w:val="bottom"/>
          </w:tcPr>
          <w:p>
            <w:pPr>
              <w:ind w:left="340"/>
              <w:spacing w:after="0"/>
              <w:rPr>
                <w:sz w:val="20"/>
                <w:szCs w:val="20"/>
                <w:color w:val="auto"/>
              </w:rPr>
            </w:pPr>
            <w:r>
              <w:rPr>
                <w:rFonts w:ascii="Arial" w:cs="Arial" w:eastAsia="Arial" w:hAnsi="Arial"/>
                <w:sz w:val="18"/>
                <w:szCs w:val="18"/>
                <w:color w:val="auto"/>
              </w:rPr>
              <w:t>Translation adjustment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fair value adjustment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Effect of retirement benefit obligations</w:t>
            </w:r>
          </w:p>
        </w:tc>
        <w:tc>
          <w:tcPr>
            <w:tcW w:w="9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(550)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comprehensive loss</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Arial" w:cs="Arial" w:eastAsia="Arial" w:hAnsi="Arial"/>
                <w:sz w:val="18"/>
                <w:szCs w:val="18"/>
                <w:color w:val="auto"/>
              </w:rPr>
              <w:t>Performance shares issued to employees</w:t>
            </w:r>
          </w:p>
        </w:tc>
        <w:tc>
          <w:tcPr>
            <w:tcW w:w="8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Net issuance of restricted shares granted to employees and</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directors</w:t>
            </w: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exercise of stock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75"/>
        </w:trPr>
        <w:tc>
          <w:tcPr>
            <w:tcW w:w="4420" w:type="dxa"/>
            <w:vAlign w:val="bottom"/>
          </w:tcPr>
          <w:p>
            <w:pPr>
              <w:ind w:left="20"/>
              <w:spacing w:after="0" w:line="176" w:lineRule="exact"/>
              <w:rPr>
                <w:sz w:val="20"/>
                <w:szCs w:val="20"/>
                <w:color w:val="auto"/>
              </w:rPr>
            </w:pPr>
            <w:r>
              <w:rPr>
                <w:rFonts w:ascii="Arial" w:cs="Arial" w:eastAsia="Arial" w:hAnsi="Arial"/>
                <w:sz w:val="18"/>
                <w:szCs w:val="18"/>
                <w:color w:val="auto"/>
              </w:rPr>
              <w:t>Shares effectively repurchased for required employee</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4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withholding taxes</w:t>
            </w: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Dividends </w:t>
            </w:r>
            <w:r>
              <w:rPr>
                <w:rFonts w:ascii="Arial" w:cs="Arial" w:eastAsia="Arial" w:hAnsi="Arial"/>
                <w:sz w:val="23"/>
                <w:szCs w:val="23"/>
                <w:color w:val="auto"/>
                <w:vertAlign w:val="superscript"/>
              </w:rPr>
              <w:t>(1)</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21,256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263,386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(34,455)</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236,317</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adjustment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30"/>
        </w:trPr>
        <w:tc>
          <w:tcPr>
            <w:tcW w:w="4420" w:type="dxa"/>
            <w:vAlign w:val="bottom"/>
          </w:tcPr>
          <w:p>
            <w:pPr>
              <w:ind w:left="340"/>
              <w:spacing w:after="0"/>
              <w:rPr>
                <w:sz w:val="20"/>
                <w:szCs w:val="20"/>
                <w:color w:val="auto"/>
              </w:rPr>
            </w:pPr>
            <w:r>
              <w:rPr>
                <w:rFonts w:ascii="Arial" w:cs="Arial" w:eastAsia="Arial" w:hAnsi="Arial"/>
                <w:sz w:val="18"/>
                <w:szCs w:val="18"/>
                <w:color w:val="auto"/>
              </w:rPr>
              <w:t>Derivative fair value adjustment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retirement benefit obligations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comprehensive loss</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(7,724)</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shares issued to employees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420" w:type="dxa"/>
            <w:vAlign w:val="bottom"/>
          </w:tcPr>
          <w:p>
            <w:pPr>
              <w:ind w:left="20"/>
              <w:spacing w:after="0" w:line="176" w:lineRule="exact"/>
              <w:rPr>
                <w:sz w:val="20"/>
                <w:szCs w:val="20"/>
                <w:color w:val="auto"/>
              </w:rPr>
            </w:pPr>
            <w:r>
              <w:rPr>
                <w:rFonts w:ascii="Arial" w:cs="Arial" w:eastAsia="Arial" w:hAnsi="Arial"/>
                <w:sz w:val="18"/>
                <w:szCs w:val="18"/>
                <w:color w:val="auto"/>
                <w:w w:val="92"/>
              </w:rPr>
              <w:t>Net issuance of restricted shares granted to employees and</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4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directors</w:t>
            </w: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Net exercise of stock options</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76"/>
        </w:trPr>
        <w:tc>
          <w:tcPr>
            <w:tcW w:w="4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Shares effectively repurchased for required employee</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withholding taxes</w:t>
            </w: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Dividends </w:t>
            </w:r>
            <w:r>
              <w:rPr>
                <w:rFonts w:ascii="Arial" w:cs="Arial" w:eastAsia="Arial" w:hAnsi="Arial"/>
                <w:sz w:val="23"/>
                <w:szCs w:val="23"/>
                <w:color w:val="auto"/>
                <w:vertAlign w:val="superscript"/>
              </w:rPr>
              <w:t>(1)</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(3,742)</w:t>
            </w:r>
          </w:p>
        </w:tc>
        <w:tc>
          <w:tcPr>
            <w:tcW w:w="0" w:type="dxa"/>
            <w:vAlign w:val="bottom"/>
          </w:tcPr>
          <w:p>
            <w:pPr>
              <w:spacing w:after="0"/>
              <w:rPr>
                <w:sz w:val="1"/>
                <w:szCs w:val="1"/>
                <w:color w:val="auto"/>
              </w:rPr>
            </w:pPr>
          </w:p>
        </w:tc>
      </w:tr>
      <w:tr>
        <w:trPr>
          <w:trHeight w:val="248"/>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230,136</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480" w:hanging="472"/>
        <w:spacing w:after="0"/>
        <w:tabs>
          <w:tab w:leader="none" w:pos="48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Cash dividend declared per share of common stock, were $0.17, $0.17 and $0.17 in 2018, 2019 and 2020, respectively.</w:t>
      </w:r>
    </w:p>
    <w:p>
      <w:pPr>
        <w:jc w:val="center"/>
        <w:ind w:right="60"/>
        <w:spacing w:after="0" w:line="189" w:lineRule="auto"/>
        <w:rPr>
          <w:sz w:val="20"/>
          <w:szCs w:val="20"/>
          <w:color w:val="auto"/>
        </w:rPr>
      </w:pPr>
      <w:r>
        <w:rPr>
          <w:rFonts w:ascii="Arial" w:cs="Arial" w:eastAsia="Arial" w:hAnsi="Arial"/>
          <w:sz w:val="18"/>
          <w:szCs w:val="18"/>
          <w:color w:val="auto"/>
        </w:rPr>
        <w:t>See Notes to consolidated financial statements.</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10"/>
        </w:trPr>
        <w:tc>
          <w:tcPr>
            <w:tcW w:w="7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r>
      <w:tr>
        <w:trPr>
          <w:trHeight w:val="199"/>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7220" w:type="dxa"/>
            <w:vAlign w:val="bottom"/>
          </w:tcPr>
          <w:p>
            <w:pPr>
              <w:ind w:left="340"/>
              <w:spacing w:after="0"/>
              <w:rPr>
                <w:sz w:val="20"/>
                <w:szCs w:val="20"/>
                <w:color w:val="auto"/>
              </w:rPr>
            </w:pPr>
            <w:r>
              <w:rPr>
                <w:rFonts w:ascii="Arial" w:cs="Arial" w:eastAsia="Arial" w:hAnsi="Arial"/>
                <w:sz w:val="16"/>
                <w:szCs w:val="16"/>
                <w:color w:val="auto"/>
              </w:rPr>
              <w:t>Net 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(3,007)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(44,415)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(1,720)</w:t>
            </w:r>
          </w:p>
        </w:tc>
      </w:tr>
      <w:tr>
        <w:trPr>
          <w:trHeight w:val="219"/>
        </w:trPr>
        <w:tc>
          <w:tcPr>
            <w:tcW w:w="7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7220" w:type="dxa"/>
            <w:vAlign w:val="bottom"/>
          </w:tcPr>
          <w:p>
            <w:pPr>
              <w:ind w:left="66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24,664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25,115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23,329</w:t>
            </w:r>
          </w:p>
        </w:tc>
      </w:tr>
      <w:tr>
        <w:trPr>
          <w:trHeight w:val="219"/>
        </w:trPr>
        <w:tc>
          <w:tcPr>
            <w:tcW w:w="72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Goodwill and other impairments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2,205</w:t>
            </w:r>
          </w:p>
        </w:tc>
      </w:tr>
      <w:tr>
        <w:trPr>
          <w:trHeight w:val="213"/>
        </w:trPr>
        <w:tc>
          <w:tcPr>
            <w:tcW w:w="7220" w:type="dxa"/>
            <w:vAlign w:val="bottom"/>
          </w:tcPr>
          <w:p>
            <w:pPr>
              <w:ind w:left="660"/>
              <w:spacing w:after="0"/>
              <w:rPr>
                <w:sz w:val="20"/>
                <w:szCs w:val="20"/>
                <w:color w:val="auto"/>
              </w:rPr>
            </w:pPr>
            <w:r>
              <w:rPr>
                <w:rFonts w:ascii="Arial" w:cs="Arial" w:eastAsia="Arial" w:hAnsi="Arial"/>
                <w:sz w:val="16"/>
                <w:szCs w:val="16"/>
                <w:color w:val="auto"/>
              </w:rPr>
              <w:t>Amortization of financing costs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1,543</w:t>
            </w:r>
          </w:p>
        </w:tc>
      </w:tr>
      <w:tr>
        <w:trPr>
          <w:trHeight w:val="219"/>
        </w:trPr>
        <w:tc>
          <w:tcPr>
            <w:tcW w:w="72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Mark to market loss (gain) on interest rate derivatives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220" w:type="dxa"/>
            <w:vAlign w:val="bottom"/>
          </w:tcPr>
          <w:p>
            <w:pPr>
              <w:ind w:left="660"/>
              <w:spacing w:after="0"/>
              <w:rPr>
                <w:sz w:val="20"/>
                <w:szCs w:val="20"/>
                <w:color w:val="auto"/>
              </w:rPr>
            </w:pPr>
            <w:r>
              <w:rPr>
                <w:rFonts w:ascii="Arial" w:cs="Arial" w:eastAsia="Arial" w:hAnsi="Arial"/>
                <w:sz w:val="16"/>
                <w:szCs w:val="16"/>
                <w:color w:val="auto"/>
              </w:rPr>
              <w:t>Deferred rent</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9"/>
        </w:trPr>
        <w:tc>
          <w:tcPr>
            <w:tcW w:w="72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Non-cash lease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220" w:type="dxa"/>
            <w:vAlign w:val="bottom"/>
          </w:tcPr>
          <w:p>
            <w:pPr>
              <w:ind w:left="660"/>
              <w:spacing w:after="0"/>
              <w:rPr>
                <w:sz w:val="20"/>
                <w:szCs w:val="20"/>
                <w:color w:val="auto"/>
              </w:rPr>
            </w:pPr>
            <w:r>
              <w:rPr>
                <w:rFonts w:ascii="Arial" w:cs="Arial" w:eastAsia="Arial" w:hAnsi="Arial"/>
                <w:sz w:val="16"/>
                <w:szCs w:val="16"/>
                <w:color w:val="auto"/>
              </w:rPr>
              <w:t>Provision for doubtful accounts, net of (recoveries)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338</w:t>
            </w:r>
          </w:p>
        </w:tc>
      </w:tr>
      <w:tr>
        <w:trPr>
          <w:trHeight w:val="219"/>
        </w:trPr>
        <w:tc>
          <w:tcPr>
            <w:tcW w:w="72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2,086</w:t>
            </w:r>
          </w:p>
        </w:tc>
      </w:tr>
      <w:tr>
        <w:trPr>
          <w:trHeight w:val="213"/>
        </w:trPr>
        <w:tc>
          <w:tcPr>
            <w:tcW w:w="7220" w:type="dxa"/>
            <w:vAlign w:val="bottom"/>
          </w:tcPr>
          <w:p>
            <w:pPr>
              <w:ind w:left="660"/>
              <w:spacing w:after="0"/>
              <w:rPr>
                <w:sz w:val="20"/>
                <w:szCs w:val="20"/>
                <w:color w:val="auto"/>
              </w:rPr>
            </w:pPr>
            <w:r>
              <w:rPr>
                <w:rFonts w:ascii="Arial" w:cs="Arial" w:eastAsia="Arial" w:hAnsi="Arial"/>
                <w:sz w:val="16"/>
                <w:szCs w:val="16"/>
                <w:color w:val="auto"/>
              </w:rPr>
              <w:t>Stock compensation expense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4,135</w:t>
            </w:r>
          </w:p>
        </w:tc>
      </w:tr>
      <w:tr>
        <w:trPr>
          <w:trHeight w:val="219"/>
        </w:trPr>
        <w:tc>
          <w:tcPr>
            <w:tcW w:w="72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Undistributed equity (earnings), net of taxes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r>
      <w:tr>
        <w:trPr>
          <w:trHeight w:val="213"/>
        </w:trPr>
        <w:tc>
          <w:tcPr>
            <w:tcW w:w="7220" w:type="dxa"/>
            <w:vAlign w:val="bottom"/>
          </w:tcPr>
          <w:p>
            <w:pPr>
              <w:ind w:left="660"/>
              <w:spacing w:after="0"/>
              <w:rPr>
                <w:sz w:val="20"/>
                <w:szCs w:val="20"/>
                <w:color w:val="auto"/>
              </w:rPr>
            </w:pPr>
            <w:r>
              <w:rPr>
                <w:rFonts w:ascii="Arial" w:cs="Arial" w:eastAsia="Arial" w:hAnsi="Arial"/>
                <w:sz w:val="16"/>
                <w:szCs w:val="16"/>
                <w:color w:val="auto"/>
              </w:rPr>
              <w:t>Loss on early retirement of debt</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9"/>
        </w:trPr>
        <w:tc>
          <w:tcPr>
            <w:tcW w:w="72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SKU Rationalization</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220" w:type="dxa"/>
            <w:vAlign w:val="bottom"/>
          </w:tcPr>
          <w:p>
            <w:pPr>
              <w:ind w:left="660"/>
              <w:spacing w:after="0"/>
              <w:rPr>
                <w:sz w:val="20"/>
                <w:szCs w:val="20"/>
                <w:color w:val="auto"/>
              </w:rPr>
            </w:pPr>
            <w:r>
              <w:rPr>
                <w:rFonts w:ascii="Arial" w:cs="Arial" w:eastAsia="Arial" w:hAnsi="Arial"/>
                <w:sz w:val="16"/>
                <w:szCs w:val="16"/>
                <w:color w:val="auto"/>
              </w:rPr>
              <w:t>Contingent consideration fair value adjustment</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(1,774)</w:t>
            </w:r>
          </w:p>
        </w:tc>
      </w:tr>
      <w:tr>
        <w:trPr>
          <w:trHeight w:val="219"/>
        </w:trPr>
        <w:tc>
          <w:tcPr>
            <w:tcW w:w="7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operating assets and liabilities (excluding the effects of business acquisitions)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7220" w:type="dxa"/>
            <w:vAlign w:val="bottom"/>
          </w:tcPr>
          <w:p>
            <w:pPr>
              <w:ind w:left="66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(43,760)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7,682</w:t>
            </w:r>
          </w:p>
        </w:tc>
      </w:tr>
      <w:tr>
        <w:trPr>
          <w:trHeight w:val="219"/>
        </w:trPr>
        <w:tc>
          <w:tcPr>
            <w:tcW w:w="72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Inventory</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(13,819)</w:t>
            </w:r>
          </w:p>
        </w:tc>
      </w:tr>
      <w:tr>
        <w:trPr>
          <w:trHeight w:val="213"/>
        </w:trPr>
        <w:tc>
          <w:tcPr>
            <w:tcW w:w="7220" w:type="dxa"/>
            <w:vAlign w:val="bottom"/>
          </w:tcPr>
          <w:p>
            <w:pPr>
              <w:ind w:left="660"/>
              <w:spacing w:after="0"/>
              <w:rPr>
                <w:sz w:val="20"/>
                <w:szCs w:val="20"/>
                <w:color w:val="auto"/>
              </w:rPr>
            </w:pPr>
            <w:r>
              <w:rPr>
                <w:rFonts w:ascii="Arial" w:cs="Arial" w:eastAsia="Arial" w:hAnsi="Arial"/>
                <w:sz w:val="16"/>
                <w:szCs w:val="16"/>
                <w:color w:val="auto"/>
              </w:rPr>
              <w:t>Prepaid expenses, other current assets and other assets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(3,855)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540</w:t>
            </w:r>
          </w:p>
        </w:tc>
      </w:tr>
      <w:tr>
        <w:trPr>
          <w:trHeight w:val="219"/>
        </w:trPr>
        <w:tc>
          <w:tcPr>
            <w:tcW w:w="72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Accounts payable, accrued expenses and other liabilities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(3,153)</w:t>
            </w:r>
          </w:p>
        </w:tc>
      </w:tr>
      <w:tr>
        <w:trPr>
          <w:trHeight w:val="213"/>
        </w:trPr>
        <w:tc>
          <w:tcPr>
            <w:tcW w:w="7220" w:type="dxa"/>
            <w:vAlign w:val="bottom"/>
          </w:tcPr>
          <w:p>
            <w:pPr>
              <w:ind w:left="660"/>
              <w:spacing w:after="0"/>
              <w:rPr>
                <w:sz w:val="20"/>
                <w:szCs w:val="20"/>
                <w:color w:val="auto"/>
              </w:rPr>
            </w:pPr>
            <w:r>
              <w:rPr>
                <w:rFonts w:ascii="Arial" w:cs="Arial" w:eastAsia="Arial" w:hAnsi="Arial"/>
                <w:sz w:val="16"/>
                <w:szCs w:val="16"/>
                <w:color w:val="auto"/>
              </w:rPr>
              <w:t>Income taxes receivable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(1,442)</w:t>
            </w:r>
          </w:p>
        </w:tc>
      </w:tr>
      <w:tr>
        <w:trPr>
          <w:trHeight w:val="219"/>
        </w:trPr>
        <w:tc>
          <w:tcPr>
            <w:tcW w:w="72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Income taxes payable</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w:t>
            </w:r>
          </w:p>
        </w:tc>
      </w:tr>
      <w:tr>
        <w:trPr>
          <w:trHeight w:val="207"/>
        </w:trPr>
        <w:tc>
          <w:tcPr>
            <w:tcW w:w="7220" w:type="dxa"/>
            <w:vAlign w:val="bottom"/>
            <w:tcBorders>
              <w:bottom w:val="single" w:sz="8" w:color="CCEEFF"/>
            </w:tcBorders>
          </w:tcPr>
          <w:p>
            <w:pPr>
              <w:ind w:left="780"/>
              <w:spacing w:after="0"/>
              <w:rPr>
                <w:sz w:val="20"/>
                <w:szCs w:val="20"/>
                <w:color w:val="auto"/>
              </w:rPr>
            </w:pPr>
            <w:r>
              <w:rPr>
                <w:rFonts w:ascii="Arial" w:cs="Arial" w:eastAsia="Arial" w:hAnsi="Arial"/>
                <w:sz w:val="16"/>
                <w:szCs w:val="16"/>
                <w:b w:val="1"/>
                <w:bCs w:val="1"/>
                <w:color w:val="auto"/>
              </w:rPr>
              <w:t>NET CASH PROVIDED BY OPERATING ACTIVITIES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44,813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29,872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19,175</w:t>
            </w:r>
          </w:p>
        </w:tc>
      </w:tr>
      <w:tr>
        <w:trPr>
          <w:trHeight w:val="199"/>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7220" w:type="dxa"/>
            <w:vAlign w:val="bottom"/>
          </w:tcPr>
          <w:p>
            <w:pPr>
              <w:ind w:left="34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(9,169)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(7,902)</w:t>
            </w:r>
          </w:p>
        </w:tc>
      </w:tr>
      <w:tr>
        <w:trPr>
          <w:trHeight w:val="219"/>
        </w:trPr>
        <w:tc>
          <w:tcPr>
            <w:tcW w:w="7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Filament acquisition, net of cash acquired</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(216,527)</w:t>
            </w:r>
          </w:p>
        </w:tc>
      </w:tr>
      <w:tr>
        <w:trPr>
          <w:trHeight w:val="213"/>
        </w:trPr>
        <w:tc>
          <w:tcPr>
            <w:tcW w:w="7220" w:type="dxa"/>
            <w:vAlign w:val="bottom"/>
          </w:tcPr>
          <w:p>
            <w:pPr>
              <w:ind w:left="340"/>
              <w:spacing w:after="0"/>
              <w:rPr>
                <w:sz w:val="20"/>
                <w:szCs w:val="20"/>
                <w:color w:val="auto"/>
              </w:rPr>
            </w:pPr>
            <w:r>
              <w:rPr>
                <w:rFonts w:ascii="Arial" w:cs="Arial" w:eastAsia="Arial" w:hAnsi="Arial"/>
                <w:sz w:val="16"/>
                <w:szCs w:val="16"/>
                <w:color w:val="auto"/>
              </w:rPr>
              <w:t>Net proceeds from sale of property</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249</w:t>
            </w:r>
          </w:p>
        </w:tc>
      </w:tr>
      <w:tr>
        <w:trPr>
          <w:trHeight w:val="213"/>
        </w:trPr>
        <w:tc>
          <w:tcPr>
            <w:tcW w:w="7220" w:type="dxa"/>
            <w:vAlign w:val="bottom"/>
            <w:tcBorders>
              <w:top w:val="single" w:sz="8" w:color="CCEEFF"/>
            </w:tcBorders>
            <w:shd w:val="clear" w:color="auto" w:fill="CCEEFF"/>
          </w:tcPr>
          <w:p>
            <w:pPr>
              <w:ind w:left="780"/>
              <w:spacing w:after="0"/>
              <w:rPr>
                <w:sz w:val="20"/>
                <w:szCs w:val="20"/>
                <w:color w:val="auto"/>
              </w:rPr>
            </w:pPr>
            <w:r>
              <w:rPr>
                <w:rFonts w:ascii="Arial" w:cs="Arial" w:eastAsia="Arial" w:hAnsi="Arial"/>
                <w:sz w:val="16"/>
                <w:szCs w:val="16"/>
                <w:b w:val="1"/>
                <w:bCs w:val="1"/>
                <w:color w:val="auto"/>
              </w:rPr>
              <w:t>NET CASH USED IN INVESTING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(9,169)</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(224,180)</w:t>
            </w:r>
          </w:p>
        </w:tc>
      </w:tr>
      <w:tr>
        <w:trPr>
          <w:trHeight w:val="193"/>
        </w:trPr>
        <w:tc>
          <w:tcPr>
            <w:tcW w:w="722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7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revolving credit facility</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345,494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268,912</w:t>
            </w:r>
          </w:p>
        </w:tc>
      </w:tr>
      <w:tr>
        <w:trPr>
          <w:trHeight w:val="213"/>
        </w:trPr>
        <w:tc>
          <w:tcPr>
            <w:tcW w:w="7220" w:type="dxa"/>
            <w:vAlign w:val="bottom"/>
          </w:tcPr>
          <w:p>
            <w:pPr>
              <w:ind w:left="340"/>
              <w:spacing w:after="0"/>
              <w:rPr>
                <w:sz w:val="20"/>
                <w:szCs w:val="20"/>
                <w:color w:val="auto"/>
              </w:rPr>
            </w:pPr>
            <w:r>
              <w:rPr>
                <w:rFonts w:ascii="Arial" w:cs="Arial" w:eastAsia="Arial" w:hAnsi="Arial"/>
                <w:sz w:val="16"/>
                <w:szCs w:val="16"/>
                <w:color w:val="auto"/>
              </w:rPr>
              <w:t>Repayments of revolving credit facility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(135,463)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(355,730)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(320,767)</w:t>
            </w:r>
          </w:p>
        </w:tc>
      </w:tr>
      <w:tr>
        <w:trPr>
          <w:trHeight w:val="219"/>
        </w:trPr>
        <w:tc>
          <w:tcPr>
            <w:tcW w:w="7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Term Loan</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275,000</w:t>
            </w:r>
          </w:p>
        </w:tc>
      </w:tr>
      <w:tr>
        <w:trPr>
          <w:trHeight w:val="213"/>
        </w:trPr>
        <w:tc>
          <w:tcPr>
            <w:tcW w:w="7220" w:type="dxa"/>
            <w:vAlign w:val="bottom"/>
          </w:tcPr>
          <w:p>
            <w:pPr>
              <w:ind w:left="340"/>
              <w:spacing w:after="0"/>
              <w:rPr>
                <w:sz w:val="20"/>
                <w:szCs w:val="20"/>
                <w:color w:val="auto"/>
              </w:rPr>
            </w:pPr>
            <w:r>
              <w:rPr>
                <w:rFonts w:ascii="Arial" w:cs="Arial" w:eastAsia="Arial" w:hAnsi="Arial"/>
                <w:sz w:val="16"/>
                <w:szCs w:val="16"/>
                <w:color w:val="auto"/>
              </w:rPr>
              <w:t>Repayments of Term Loan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(2,063)</w:t>
            </w:r>
          </w:p>
        </w:tc>
      </w:tr>
      <w:tr>
        <w:trPr>
          <w:trHeight w:val="219"/>
        </w:trPr>
        <w:tc>
          <w:tcPr>
            <w:tcW w:w="7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short term loan</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r>
      <w:tr>
        <w:trPr>
          <w:trHeight w:val="213"/>
        </w:trPr>
        <w:tc>
          <w:tcPr>
            <w:tcW w:w="7220" w:type="dxa"/>
            <w:vAlign w:val="bottom"/>
          </w:tcPr>
          <w:p>
            <w:pPr>
              <w:ind w:left="340"/>
              <w:spacing w:after="0"/>
              <w:rPr>
                <w:sz w:val="20"/>
                <w:szCs w:val="20"/>
                <w:color w:val="auto"/>
              </w:rPr>
            </w:pPr>
            <w:r>
              <w:rPr>
                <w:rFonts w:ascii="Arial" w:cs="Arial" w:eastAsia="Arial" w:hAnsi="Arial"/>
                <w:sz w:val="16"/>
                <w:szCs w:val="16"/>
                <w:color w:val="auto"/>
              </w:rPr>
              <w:t>Payments from short term loan</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19"/>
        </w:trPr>
        <w:tc>
          <w:tcPr>
            <w:tcW w:w="7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 of financing costs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(11,171)</w:t>
            </w:r>
          </w:p>
        </w:tc>
      </w:tr>
      <w:tr>
        <w:trPr>
          <w:trHeight w:val="213"/>
        </w:trPr>
        <w:tc>
          <w:tcPr>
            <w:tcW w:w="7220" w:type="dxa"/>
            <w:vAlign w:val="bottom"/>
          </w:tcPr>
          <w:p>
            <w:pPr>
              <w:ind w:left="340"/>
              <w:spacing w:after="0"/>
              <w:rPr>
                <w:sz w:val="20"/>
                <w:szCs w:val="20"/>
                <w:color w:val="auto"/>
              </w:rPr>
            </w:pPr>
            <w:r>
              <w:rPr>
                <w:rFonts w:ascii="Arial" w:cs="Arial" w:eastAsia="Arial" w:hAnsi="Arial"/>
                <w:sz w:val="16"/>
                <w:szCs w:val="16"/>
                <w:color w:val="auto"/>
              </w:rPr>
              <w:t>Payment of equity issuance costs</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(936)</w:t>
            </w:r>
          </w:p>
        </w:tc>
      </w:tr>
      <w:tr>
        <w:trPr>
          <w:trHeight w:val="219"/>
        </w:trPr>
        <w:tc>
          <w:tcPr>
            <w:tcW w:w="7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dividends paid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(3,273)</w:t>
            </w:r>
          </w:p>
        </w:tc>
      </w:tr>
      <w:tr>
        <w:trPr>
          <w:trHeight w:val="213"/>
        </w:trPr>
        <w:tc>
          <w:tcPr>
            <w:tcW w:w="7220" w:type="dxa"/>
            <w:vAlign w:val="bottom"/>
          </w:tcPr>
          <w:p>
            <w:pPr>
              <w:ind w:left="340"/>
              <w:spacing w:after="0"/>
              <w:rPr>
                <w:sz w:val="20"/>
                <w:szCs w:val="20"/>
                <w:color w:val="auto"/>
              </w:rPr>
            </w:pPr>
            <w:r>
              <w:rPr>
                <w:rFonts w:ascii="Arial" w:cs="Arial" w:eastAsia="Arial" w:hAnsi="Arial"/>
                <w:sz w:val="16"/>
                <w:szCs w:val="16"/>
                <w:color w:val="auto"/>
              </w:rPr>
              <w:t>Payments for finance lease obligations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9"/>
        </w:trPr>
        <w:tc>
          <w:tcPr>
            <w:tcW w:w="7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the exercise of stock options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r>
      <w:tr>
        <w:trPr>
          <w:trHeight w:val="213"/>
        </w:trPr>
        <w:tc>
          <w:tcPr>
            <w:tcW w:w="72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Payments of tax withholding for stock based compensation</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w:t>
            </w:r>
          </w:p>
        </w:tc>
      </w:tr>
      <w:tr>
        <w:trPr>
          <w:trHeight w:val="213"/>
        </w:trPr>
        <w:tc>
          <w:tcPr>
            <w:tcW w:w="7220" w:type="dxa"/>
            <w:vAlign w:val="bottom"/>
            <w:shd w:val="clear" w:color="auto" w:fill="CCEEFF"/>
          </w:tcPr>
          <w:p>
            <w:pPr>
              <w:ind w:left="78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(18,236)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(16,916)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205,288</w:t>
            </w:r>
          </w:p>
        </w:tc>
      </w:tr>
      <w:tr>
        <w:trPr>
          <w:trHeight w:val="206"/>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foreign exchange on cash</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r>
      <w:tr>
        <w:trPr>
          <w:trHeight w:val="213"/>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INCREASE IN CASH AND CASH EQUIVALENTS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24,593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07"/>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11,370</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7,647</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7,600</w:t>
            </w:r>
          </w:p>
        </w:tc>
      </w:tr>
      <w:tr>
        <w:trPr>
          <w:trHeight w:val="234"/>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END OF YEAR</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35,963</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11,370</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7,647</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See Notes to consolidated</w:t>
      </w:r>
      <w:r>
        <w:rPr>
          <w:rFonts w:ascii="Arial" w:cs="Arial" w:eastAsia="Arial" w:hAnsi="Arial"/>
          <w:sz w:val="18"/>
          <w:szCs w:val="18"/>
          <w:color w:val="444444"/>
        </w:rPr>
        <w:t>F</w:t>
      </w:r>
      <w:r>
        <w:rPr>
          <w:rFonts w:ascii="Arial" w:cs="Arial" w:eastAsia="Arial" w:hAnsi="Arial"/>
          <w:sz w:val="18"/>
          <w:szCs w:val="18"/>
          <w:color w:val="auto"/>
        </w:rPr>
        <w:t>-9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business</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Company designs, sources and sells branded kitchenware, tableware and other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consumers purchasing moderately priced kitchenware, tableware and housewares, are sold through virtually every major level of trade. The Company generally markets several lines within each of its product categories under more than one brand. The Company sells its products directly to retailers (who may resell the Company’s products through their websites) and, to a lesser extent, to distributors. The Company also sells a limited selection of its products directly to consumers through its own websites.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(“U.S. GAAP”) for financial information and with the instructions to Form 10-K.</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consolidated financial statements include estimates and assumptions relating to the reporting of assets and liabilities and the disclosure of contingent assets and liabilities to prepare these financial statements in conformity with U.S. GAAP. The most significant of these estimates and assumptions relate to revenue recognition, allowances for doubtful accounts, reserves for sales returns and allowances and customer chargebacks, inventory mark-down provisions, impairment of goodwill, tangible and intangible assets, stock-based compensation expense, estimates for unpaid healthcare claims, derivative valuations, accruals related to the Company’s tax positions and tax valuation allowances. Although these and other estimates and assumptions are based on the best available information, actual results could be materially different from these estimates.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All intercompany accounts and transactions have been eliminated in consolidation.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and uncertainties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current estimates contemplate current and expected future conditions, as applicable, it is reasonably possible that actual conditions could differ from expectations, which could materially affect the Company’s results of operations and financial position. In particular, a number of estimates have been and will continue to be affected by the ongoing COVID-19 pandemic. The severity, magnitude and duration, as well as the economic consequences of the COVID-19 pandemic, are uncertain, rapidly changing and difficult to predict.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Foreign currency denominated assets and liabilities are translated into U.S. dollars at exchange rates prevailing at the balance sheet dates. Revenues, costs and expenses are translated into U.S. dollars at average exchange rates for the relevant period. Income and losses resulting from translation are recorded as a component of accumulated other comprehensive income (loss).</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may enter into foreign exchange derivative contracts to hedge the volatility of exchange rates related to a portion of its international inventory purchases. Realized gains and losses from designated foreign currency derivative contracts are recognized in cost of sales as the hedged inventory purchases are sold. Unrealized gains and losses from foreign currency transactions on the fair value of foreign exchange contracts designated as hedges are recorded as a component of accumulated other comprehensive income (loss).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Realized and unrealized gains and losses from non-designated foreign currency hedges are recognized in selling, general and administrative expenses in the consolidated statements of operations.</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Foreign currency gains and losses included within selling, general and administrative expenses were a $0.5 million gain in 2020, a $0.1 million gain in 2019, and a $0.5 million loss in 2018.</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sells products wholesale, to retailers and distributors, and retail, directly to the consumer. Wholesale sales and retail sales are primarily recognized at the point in time the customer obtains control of the products, in an amount that reflects the consideration the Company expects to be entitled to in exchange for those products.</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returns are reflected as reductions of revenue at the time of sale. See NOTE 2 — REVENUE for additional information.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Cost of sales consist primarily of costs associated with the production and procurement of product, inbound freight costs, purchasing costs, royalties and other product procurement related charges.</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2019, the Company implemented programs to improve the productivity of its inventory and simplify its U.S. business. In connection therewith, it initiated a stock keeping unit rationalization (“SKU Rationalization”) initiative to identify inventory to discontinue from active status, consistent with the objectives of these programs. During the year ended December 31, 2019, the Company recorded an $8.5 million charge to cost of sales associated with the SKU Rationalization initiative. The inventory charge, which was recognized in cost of sales during the three months ended June 30, 2019, represented approximately 8% of the Company's consolidated inventory at June 30, 2019.</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Prior to January 1, 2019, depreciation associated with certain tooling used to produce products was recorded in selling, general and administrative expenses in the consolidated statement of operations. The amount recorded in cost of sales for the year ended December 31, 2020 and 2019 was $1.0 million and $1.4 million, respectively. The impact on the comparative periods presented is immaterial and therefore, the comparative periods have not been adjusted to reflect this change in accounting policy.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Distribution expenses consist primarily of warehousing expenses and freight-out expenses. Freight-out expenses were $15.4 million, $15.5 million and $14.5 million for the years ended December 31, 2020, 2019 and 2018, respectively. Handling costs of products sold are included in cost of sales.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Advertising expenses are expensed as incurred and are included in selling, general and administrative expenses. Advertising expenses were $3.4 million, $4.0 million and $4.4 million for the years ended December 31, 2020, 2019 and 2018,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periodically reviews the collectability of its accounts receivable and establishes allowances for estimated losses that could result from the inability of its customers to make required payments, taking into consideration customer credit history and financial condition, industry and market segment information, credit reports, and economic trends and conditions such as the impact of the COVID-19 pandemic in 2020. A considerable amount of judgment is required to assess the ultimate realization of these receivables including assessing the initial and on-going creditworthiness of the Company’s customers.</w:t>
      </w:r>
    </w:p>
    <w:p>
      <w:pPr>
        <w:spacing w:after="0" w:line="8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Company also maintains an allowance for anticipated customer deductions. The allowances for deductions are primarily based on contracts with customers. However, in certain cases the Company does not have a formal contract and, therefore, customer deductions are non-contractual. To evaluate the reasonableness of non-contractual customer deductions, the Company analyzes currently available information and historical trends of deductions.</w:t>
      </w:r>
    </w:p>
    <w:p>
      <w:pPr>
        <w:spacing w:after="0" w:line="14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sale of accounts receivable, under the Company’s Receivable Purchase Agreement with HSBC, are reflected as a reduction of accounts receivable in the Company’s consolidated balance sheet at the time of sale and any related expense is included in selling, general and administrative expenses in the Company’s consolidated statements of operations.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444444"/>
        </w:rPr>
        <w:t>F</w:t>
      </w:r>
      <w:r>
        <w:rPr>
          <w:rFonts w:ascii="Arial" w:cs="Arial" w:eastAsia="Arial" w:hAnsi="Arial"/>
          <w:sz w:val="16"/>
          <w:szCs w:val="16"/>
          <w:color w:val="00000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 by 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 of completion, disposal and transportation.</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Property and equipment is stated at cost. Equipment under finance leases is recorded at the present value of the total minimum lease payments. Property and equipment, other than leasehold improvements and equipment under finance leases, are depreciated using the straight-line method over the estimated useful lives of the assets. Buildings are depreciated over 30 years, machinery and equipment and computer hardware and software are depreciated over periods ranging from 3 years to 10 years. Leasehold improvements are amortized over the term of the lease or the estimated useful lives of the improvements, whichever is shorter. Equipment under finance leases are amortized over the shorter of the lease term or the assets' useful lives. Advances paid towards the acquisition of property and equipment and the cost of property and equipment not ready for use before the end of the period are classified as construction in progress.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instruments with a maturity of three months or less when purchased to be cash equivalents.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Company’s cash and cash equivalents are potentially subject to concentration of credit risk. The Company maintains cash with several financial institutions that, in some cases, is in excess of Federal Deposit Insurance Corporation insurance limits.</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Concentrations of credit risk with respect to trade accounts receivable are limited due to the large number of entities comprising the Company’s customer base.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years ended December 31, 2020, 2019 and 2018, Wal-Mart Stores, Inc., including Sam’s Club and, in the U.K., Asda Superstore, (“Walmart”), accounted for 20%, 16% and 14% of consolidated net sales, respectively. During the years ended December 31, 2020 and 2019, sales to Costco Wholesale Corporation (“Costco”) accounted for 11% of consolidated net sales. During the year ended December 31, 2020, Amazon.com Inc., (“Amazon”), accounted for 10% of consolidated net sales. Sales to Walmart, Costco and Amazon are included in the Company's U.S. and International segments. No other customers accounted for 10% or more of the Company’s sales during these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 xml:space="preserve">Financial Accounting Standards Board (“FASB”) Accounting Standards Codification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provides enhanced guidance for using fair value to measure assets and liabilities and establishes a common definition of fair value, provides a framework for measuring fair value under U.S. GAAP and expands disclosure requirements about fair value measurements. Fair value measurements included in the Company’s consolidated financial statements relate to the Company’s annual goodwill and other intangible asset impairment tests and derivatives, described in NOTE 7 — GOODWILL AND INTANGIBLE ASSETS and NOTE 9 — DERIVATIVES,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Company determined that the carrying amounts of cash and cash equivalents, accounts receivable and accounts payable are reasonable estimates of their fair values because of their short-term nature. The Company determined that the carrying amounts of borrowings outstanding under its ABL Agreement and Term Loan approximate fair value since such borrowings bear interest at variable market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accounts for derivative instruments in accordance with ASC Topic 815, Derivatives and Hedging. ASC 815 requires that all derivative instruments be recognized on the balance sheet at fair value as either an asset or liability. Changes in the fair value of derivatives that qualify as hedges and have been designated as part of a hedging relationship for accounting purposes have no net impact on earnings until the hedged item is recognized in earnings. The change in the fair value of hedges are included in accumulated other comprehensive income (loss) and is subsequently recognized in the Company’s consolidated statements of operations to mirror the location of the hedged items impacting earnings. Changes in fair value of derivatives that do not qualify as hedging instruments for accounting purposes are recorded in the consolidated statements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long-lived assets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w:t>
      </w:r>
    </w:p>
    <w:p>
      <w:pPr>
        <w:spacing w:after="0" w:line="18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the FASB's Accounting Standards Update No. (“ASU”) Topic 350, Intangibles – Goodwill and Other. If, after assessing qualitative factors, the Company determines that it is not more likely than not that the fair value of a reporting unit is less than its carrying amount, then performing the quantitative test is unnecessary and 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 See NOTE 7 — GOODWILL AND INTANGIBLE ASSETS for further discussion regarding goodwill impairment.</w:t>
      </w:r>
    </w:p>
    <w:p>
      <w:pPr>
        <w:spacing w:after="0" w:line="178" w:lineRule="exact"/>
        <w:rPr>
          <w:sz w:val="20"/>
          <w:szCs w:val="20"/>
          <w:color w:val="auto"/>
        </w:rPr>
      </w:pPr>
    </w:p>
    <w:p>
      <w:pPr>
        <w:jc w:val="both"/>
        <w:ind w:right="760"/>
        <w:spacing w:after="0" w:line="263" w:lineRule="auto"/>
        <w:rPr>
          <w:sz w:val="20"/>
          <w:szCs w:val="20"/>
          <w:color w:val="auto"/>
        </w:rPr>
      </w:pPr>
      <w:r>
        <w:rPr>
          <w:rFonts w:ascii="Arial" w:cs="Arial" w:eastAsia="Arial" w:hAnsi="Arial"/>
          <w:sz w:val="18"/>
          <w:szCs w:val="18"/>
          <w:color w:val="auto"/>
        </w:rPr>
        <w:t>The Company also evaluates qualitative factors to determine whether or not its indefinite lived intangibles have been impaired and then performs quantitative tests if required. These tests can include the relief from royalty model or other valuation models. See NOTE 7 — GOODWILL AND INTANGIBLE ASSETS for further discussion regarding impairment of indefinite lived intangibles.</w:t>
      </w:r>
    </w:p>
    <w:p>
      <w:pPr>
        <w:spacing w:after="0" w:line="18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 The Company accounts for foreign income taxes based upon anticipated reinvestment of profits into respective foreign tax jurisdictions.</w:t>
      </w:r>
    </w:p>
    <w:p>
      <w:pPr>
        <w:spacing w:after="0" w:line="18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applies the authoritative guidance for the financial statement recognition, measurement and disclosure of uncertain tax positions recognized in the Company’s financial statements</w:t>
      </w:r>
      <w:r>
        <w:rPr>
          <w:rFonts w:ascii="Arial" w:cs="Arial" w:eastAsia="Arial" w:hAnsi="Arial"/>
          <w:sz w:val="17"/>
          <w:szCs w:val="17"/>
          <w:i w:val="1"/>
          <w:iCs w:val="1"/>
          <w:color w:val="auto"/>
        </w:rPr>
        <w:t>.</w:t>
      </w:r>
      <w:r>
        <w:rPr>
          <w:rFonts w:ascii="Arial" w:cs="Arial" w:eastAsia="Arial" w:hAnsi="Arial"/>
          <w:sz w:val="17"/>
          <w:szCs w:val="17"/>
          <w:color w:val="auto"/>
        </w:rPr>
        <w:t xml:space="preserve"> In accordance with this guidance, tax positions must meet a more-likely-than-not recognition threshold and measurement attribute for the financial statement recognition and measurement of a tax position. A valuation allowance is required to be established or maintained when it is “more likely than not” that all or a portion of deferred tax assets will not be realized.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Company accounts for its share-based compensation arrangements in accordance with ASC Topic 718, Compensation: Stock-based Compensation, which requires the measurement of compensation expense for all share-based compensation granted to employees and non-employee directors at fair value on the date of grant and recognition of compensation expense over the related service period. Forfeitures are accounted for as they occur.</w:t>
      </w:r>
    </w:p>
    <w:p>
      <w:pPr>
        <w:sectPr>
          <w:pgSz w:w="11900" w:h="16838" w:orient="portrait"/>
          <w:cols w:equalWidth="0" w:num="1">
            <w:col w:w="11240"/>
          </w:cols>
          <w:pgMar w:left="320" w:top="121" w:right="33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444444"/>
        </w:rPr>
        <w:t>F</w:t>
      </w:r>
      <w:r>
        <w:rPr>
          <w:rFonts w:ascii="Arial" w:cs="Arial" w:eastAsia="Arial" w:hAnsi="Arial"/>
          <w:sz w:val="16"/>
          <w:szCs w:val="16"/>
          <w:color w:val="00000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uses the Black-Scholes option valuation model to estimate the fair value of its stock options. The Black-Scholes option valuation model requires the input of highly subjective assumptions including the expected stock price volatility of the Company’s common stock and the risk-free interest rate. Changes in these subjective input assumptions can materially affect the fair value estimate of the Company’s stock options on the date of the option grant.</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Performance share awards are initially valued at the Company’s closing stock price on the date of grant. Each performance award represents the right to receive up to 150% of the target number of shares of common stock. The number of shares of common stock earned will be determined based on the attainment of specified performance goals, as determined by the Compensation Committee of the Board of Directors, by the end of the performance period. Compensation expense for performance awards is recognized over the vesting period and will vary based on remeasurement during the performance period. If achievement of the performance metrics is not probable of achievement during the performance period, compensation expense is reversed. The awards are forfeited if the performance metrics are not achieved as of the end of the performance period. The performance share awards vest at the end of a three year period, as determined by the Compensation Committee.</w:t>
      </w:r>
    </w:p>
    <w:p>
      <w:pPr>
        <w:spacing w:after="0" w:line="17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bases the estimated fair value of restricted stock awards on the date of grant. The estimated fair value is determined based on the closing price of the Company’s common stock on the date of grant multiplied by the number of shares awarded. Compensation expense is recognized on a straight-line basis over the vesting period.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determines if an arrangement is a lease at the inception of a contract. Operating lease right-of-use (“ROU”) assets are included in operating lease right-of-use assets on the consolidated balance sheets. The current and long-term components of operating lease liabilities are included in the current portion of operating lease liability and operating lease liabilities, respectively, on the consolidated balance sheets. Finance leases are included in property and equipment, net, accrued expenses and other long-term liabilities. The Company's finance leases are not material to the Company’s consolidated balance sheets.</w:t>
      </w:r>
    </w:p>
    <w:p>
      <w:pPr>
        <w:spacing w:after="0" w:line="18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operating lease ROU asset may also include any lease payments made, adjusted for any prepaid or accrued rent payments, lease incentives, and initial direct costs incurred. Certain leases may include options to extend or terminate the lease. Lease expense for minimum lease payments is recognized on a straight-line basis over the lease term.</w:t>
      </w:r>
    </w:p>
    <w:p>
      <w:pPr>
        <w:spacing w:after="0" w:line="16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 certain equipment leases, the Company applies a portfolio approach to effectively account for any ROU assets and lease liabilities. Leases with an initial term of twelve months or less are not recorded on the balance sheet.</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has elected the practical expedient to account for each separate lease component of a contract and its associated non-lease components as a single lease component, thus causing all fixed payments to be capitalized.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healthcare</w:t>
      </w:r>
    </w:p>
    <w:p>
      <w:pPr>
        <w:spacing w:after="0" w:line="12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Company self-insures certain portions of its health insurance plan. The Company maintains an accrual for estimated unpaid claims and claims incurred but not yet reported (“IBNR”). Although management believes that it uses the best information available to estimate IBNR claims, actual claims may vary significantly from estimated claims.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Costs associated with restructuring activities are recorded at fair value when a liability has been incurred. A liability has been incurred at the communication date for severance. Charges associated with lease terminations, related to restructuring activities, are recognized at the effective date of the lease modification.</w:t>
      </w:r>
    </w:p>
    <w:p>
      <w:pPr>
        <w:spacing w:after="0" w:line="7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years ended December 31, 2019 and 2018, the Company's U.S. segment incurred $0.7 million and $2.1 million, respectively, of restructuring expense related to the integration of Filament, of which $0.1 million was accrued at December 31, 2019.</w:t>
      </w:r>
    </w:p>
    <w:p>
      <w:pPr>
        <w:spacing w:after="0" w:line="62"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During the year ended December 31, 2020, the Company's International segment incurred $0.2 million of restructuring expenses related to severance associated with the strategic reorganization of the International segment’s product development and sales workforce. The strategic reorganization was the result of the Company's efforts for product development efficiencies and an international sales approach tailored to countries.</w:t>
      </w:r>
    </w:p>
    <w:p>
      <w:pPr>
        <w:sectPr>
          <w:pgSz w:w="11900" w:h="16838" w:orient="portrait"/>
          <w:cols w:equalWidth="0" w:num="1">
            <w:col w:w="11240"/>
          </w:cols>
          <w:pgMar w:left="320" w:top="121" w:right="33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444444"/>
        </w:rPr>
        <w:t>F</w:t>
      </w:r>
      <w:r>
        <w:rPr>
          <w:rFonts w:ascii="Arial" w:cs="Arial" w:eastAsia="Arial" w:hAnsi="Arial"/>
          <w:sz w:val="16"/>
          <w:szCs w:val="16"/>
          <w:color w:val="00000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33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years ended December 31, 2019, and 2018, the Company's International segment incurred $0.7 million and $0.2 million, respectively, of restructuring expense primarily related to the integration of its legal entities operating in Europe. The Company had no international restructuring accrual as of December 31, 2020 and December 31, 2019.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expect to incur any additional restructuring charges for these efforts.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Company is subject to various claims and contingencies related to lawsuits, certain taxes and environmental matters, as well as commitments under contractual and other commercial obligations. The Company recognizes liabilities for contingencies and commitments when a loss is probable and estimable.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Adopted Accounting Pronouncements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April 10, 2020, the FASB staff issued a question-and-answer document to address stakeholder questions on the application of the lease accounting guidance for lease concessions related to the effects of the COVID-19 pandemic (the “Question-and-Answer Document”). The guidance allows concessions related to the timing of payments, where the total consideration has not changed, to not be accounted for as lease modifications. Instead, any such concessions can be accounted for as if no change was made to the contract or as variable lease payments. The Company adopted the guidance on April 1, 2020 and elected to account for COVID-19-related rent concessions that did not result in a substantial increase in the rights of the lessor or the obligations of the lessee not as lease modifications. See NOTE 4 — LEASES for additional information on the Company’s adoption of this guidance.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to be Adopted in Future Periods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Updates not listed below were assessed and either determined to not be applicable or are expected to have a minimal effect on the Company’s financial position, results of operations, and disclosures.</w:t>
      </w:r>
    </w:p>
    <w:p>
      <w:pPr>
        <w:spacing w:after="0" w:line="17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 December 2019, the FASB issued ASU 2019-12, Income Taxes (Topic 740): Simplifying the Accounting for Income Taxes, which simplifies the accounting for income taxes by removing certain exceptions to the general principles and simplifies the application of U.S. GAAP for other areas of Topic 740 by clarifying and amending the existing guidance. The guidance is effective for fiscal years and interim periods within those fiscal years beginning after December 15, 2020. The impact of the adoption is not expected to have a material impact on the Company's consolidated financial statements.</w:t>
      </w:r>
    </w:p>
    <w:p>
      <w:pPr>
        <w:spacing w:after="0" w:line="15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June 2016, the FASB issued ASU 2016-13, Measurement of Credit Losses on Financial Instruments. This guidance introduces a new model for recognizing credit losses on financial instruments based on an estimate of current expected credit losses. The ASU also provides updated guidance regarding the impairment of available-for-sale debt securities and includes additional disclosure requirements. The new guidance is effective for public business entities that meet the definition of a Smaller Reporting Company as defined by the Securities and Exchange Commission for interim and annual periods beginning after December 15, 2022. Early adoption is permitted. Management is currently evaluating the impact of this standard on its consolidated financial statements and related disclosures.</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which provides optional expedients and exceptions to account for contract modifications, hedging relationships and other transactions that reference LIBOR or another reference rate that is expected to be discontinued as a result of reference rate reform. The guidance was effective upon issuance and may be applied prospectively to contract modifications and hedging relationships entered into or evaluated as of any date from March 12, 2020 but no later than December 31, 2022. The Company has not yet applied the guidance in this ASU and is currently evaluating the impact of this standard on its consolidated financial statements and related disclosures.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sells products wholesale, to retailers and distributors, and sells products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444444"/>
        </w:rPr>
        <w:t>F</w:t>
      </w:r>
      <w:r>
        <w:rPr>
          <w:rFonts w:ascii="Arial" w:cs="Arial" w:eastAsia="Arial" w:hAnsi="Arial"/>
          <w:sz w:val="16"/>
          <w:szCs w:val="16"/>
          <w:color w:val="00000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33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and amounted to $3.9 million, $3.6 million and $3.5 million for the years ended December 31, 2020, 2019 and 2018, respectively. Net sales exclude taxes that are collected from customers and remitted to the taxing authorities.</w:t>
      </w:r>
    </w:p>
    <w:p>
      <w:pPr>
        <w:spacing w:after="0" w:line="18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arrangements represent forms of variable consideration, and an estimate of sales returns are reflected as reductions in net sales in the Company’s consolidated statements of operations. These estimates are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w:t>
      </w:r>
    </w:p>
    <w:p>
      <w:pPr>
        <w:spacing w:after="0" w:line="19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Payment terms vary by customer, but generally range from 30 to 90 days or at the point of sale for the Company’s retail direct sales. As a result of the COVID-19 pandemic, beginning in the first quarter of 2020 and lasting through the fourth quarter of 2020, many of the Company's customers that operate retail locations temporarily closed their stores voluntarily or as mandated by government stay at home orders. In response to these closings, the affected customers have requested extended payment terms. The Company has been working with these customers to address their temporary extended payment requests.</w:t>
      </w:r>
    </w:p>
    <w:p>
      <w:pPr>
        <w:spacing w:after="0" w:line="80"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consolidated statement of operations. Incidental items that are immaterial in the context of the contract are expensed as incurred.</w:t>
      </w:r>
    </w:p>
    <w:p>
      <w:pPr>
        <w:spacing w:after="0" w:line="149"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The following tables present the Company’s net sales disaggregated by segment, product category and geographic region for the years ended December 31, 2020, 2019 and 2018 (in thousands).</w:t>
      </w: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7"/>
        </w:trPr>
        <w:tc>
          <w:tcPr>
            <w:tcW w:w="6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181"/>
        </w:trPr>
        <w:tc>
          <w:tcPr>
            <w:tcW w:w="6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95"/>
              <w:spacing w:after="0"/>
              <w:rPr>
                <w:sz w:val="20"/>
                <w:szCs w:val="20"/>
                <w:color w:val="auto"/>
              </w:rPr>
            </w:pPr>
            <w:r>
              <w:rPr>
                <w:rFonts w:ascii="Arial" w:cs="Arial" w:eastAsia="Arial" w:hAnsi="Arial"/>
                <w:sz w:val="14"/>
                <w:szCs w:val="14"/>
                <w:color w:val="auto"/>
                <w:w w:val="92"/>
              </w:rPr>
              <w:t>(in thousands)</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 segment</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6940" w:type="dxa"/>
            <w:vAlign w:val="bottom"/>
          </w:tcPr>
          <w:p>
            <w:pPr>
              <w:ind w:left="360"/>
              <w:spacing w:after="0"/>
              <w:rPr>
                <w:sz w:val="20"/>
                <w:szCs w:val="20"/>
                <w:color w:val="auto"/>
              </w:rPr>
            </w:pPr>
            <w:r>
              <w:rPr>
                <w:rFonts w:ascii="Arial" w:cs="Arial" w:eastAsia="Arial" w:hAnsi="Arial"/>
                <w:sz w:val="18"/>
                <w:szCs w:val="18"/>
                <w:color w:val="auto"/>
              </w:rPr>
              <w:t>Kitchenware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426,883</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354,331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330,110</w:t>
            </w:r>
          </w:p>
        </w:tc>
      </w:tr>
      <w:tr>
        <w:trPr>
          <w:trHeight w:val="230"/>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Tableware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141,113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168,781</w:t>
            </w:r>
          </w:p>
        </w:tc>
      </w:tr>
      <w:tr>
        <w:trPr>
          <w:trHeight w:val="229"/>
        </w:trPr>
        <w:tc>
          <w:tcPr>
            <w:tcW w:w="6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Home Solutions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115,543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133,779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110,223</w:t>
            </w:r>
          </w:p>
        </w:tc>
      </w:tr>
      <w:tr>
        <w:trPr>
          <w:trHeight w:val="223"/>
        </w:trPr>
        <w:tc>
          <w:tcPr>
            <w:tcW w:w="6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U.S. segment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683,539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644,171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609,114</w:t>
            </w:r>
          </w:p>
        </w:tc>
      </w:tr>
      <w:tr>
        <w:trPr>
          <w:trHeight w:val="210"/>
        </w:trPr>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International segment</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Kitchenware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69,322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59,657</w:t>
            </w:r>
          </w:p>
        </w:tc>
      </w:tr>
      <w:tr>
        <w:trPr>
          <w:trHeight w:val="230"/>
        </w:trPr>
        <w:tc>
          <w:tcPr>
            <w:tcW w:w="6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Tableware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35,771</w:t>
            </w:r>
          </w:p>
        </w:tc>
      </w:tr>
      <w:tr>
        <w:trPr>
          <w:trHeight w:val="223"/>
        </w:trPr>
        <w:tc>
          <w:tcPr>
            <w:tcW w:w="6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International segment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85,630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90,731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95,428</w:t>
            </w:r>
          </w:p>
        </w:tc>
      </w:tr>
      <w:tr>
        <w:trPr>
          <w:trHeight w:val="223"/>
        </w:trPr>
        <w:tc>
          <w:tcPr>
            <w:tcW w:w="6940" w:type="dxa"/>
            <w:vAlign w:val="bottom"/>
          </w:tcPr>
          <w:p>
            <w:pPr>
              <w:ind w:left="1120"/>
              <w:spacing w:after="0"/>
              <w:rPr>
                <w:sz w:val="20"/>
                <w:szCs w:val="20"/>
                <w:color w:val="auto"/>
              </w:rPr>
            </w:pPr>
            <w:r>
              <w:rPr>
                <w:rFonts w:ascii="Arial" w:cs="Arial" w:eastAsia="Arial" w:hAnsi="Arial"/>
                <w:sz w:val="18"/>
                <w:szCs w:val="18"/>
                <w:color w:val="auto"/>
              </w:rPr>
              <w:t>Total net sales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769,169</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734,902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704,542</w:t>
            </w:r>
          </w:p>
        </w:tc>
      </w:tr>
      <w:tr>
        <w:trPr>
          <w:trHeight w:val="20"/>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55"/>
        </w:trPr>
        <w:tc>
          <w:tcPr>
            <w:tcW w:w="69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87"/>
        </w:trPr>
        <w:tc>
          <w:tcPr>
            <w:tcW w:w="6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180"/>
        </w:trPr>
        <w:tc>
          <w:tcPr>
            <w:tcW w:w="6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95"/>
              <w:spacing w:after="0"/>
              <w:rPr>
                <w:sz w:val="20"/>
                <w:szCs w:val="20"/>
                <w:color w:val="auto"/>
              </w:rPr>
            </w:pPr>
            <w:r>
              <w:rPr>
                <w:rFonts w:ascii="Arial" w:cs="Arial" w:eastAsia="Arial" w:hAnsi="Arial"/>
                <w:sz w:val="14"/>
                <w:szCs w:val="14"/>
                <w:color w:val="auto"/>
                <w:w w:val="92"/>
              </w:rPr>
              <w:t>(in thousands)</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658,285</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612,762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575,158</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54,364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62,991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65,852</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56,520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59,149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63,532</w:t>
            </w:r>
          </w:p>
        </w:tc>
      </w:tr>
      <w:tr>
        <w:trPr>
          <w:trHeight w:val="223"/>
        </w:trPr>
        <w:tc>
          <w:tcPr>
            <w:tcW w:w="6940" w:type="dxa"/>
            <w:vAlign w:val="bottom"/>
          </w:tcPr>
          <w:p>
            <w:pPr>
              <w:ind w:left="360"/>
              <w:spacing w:after="0"/>
              <w:rPr>
                <w:sz w:val="20"/>
                <w:szCs w:val="20"/>
                <w:color w:val="auto"/>
              </w:rPr>
            </w:pPr>
            <w:r>
              <w:rPr>
                <w:rFonts w:ascii="Arial" w:cs="Arial" w:eastAsia="Arial" w:hAnsi="Arial"/>
                <w:sz w:val="18"/>
                <w:szCs w:val="18"/>
                <w:color w:val="auto"/>
              </w:rPr>
              <w:t>Total net sales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769,169</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734,902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704,542</w:t>
            </w:r>
          </w:p>
        </w:tc>
      </w:tr>
      <w:tr>
        <w:trPr>
          <w:trHeight w:val="21"/>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444444"/>
        </w:rPr>
        <w:t>F</w:t>
      </w:r>
      <w:r>
        <w:rPr>
          <w:rFonts w:ascii="Arial" w:cs="Arial" w:eastAsia="Arial" w:hAnsi="Arial"/>
          <w:sz w:val="16"/>
          <w:szCs w:val="16"/>
          <w:color w:val="000000"/>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Filament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2017, the Company entered into an agreement providing for the acquisition of Filament by the Company. The acquisition was completed on March 2, 2018. The aggregate consideration for Filament, after taking into account certain adjustments, was $294.4 million, consisting of $217.5 million of cash consideration and 5,593,116 newly issued shares of the Company’s common stock, with a value equal to $76.9 million based on the market value of the Company’s common stock as of March 2, 2018.</w:t>
      </w:r>
    </w:p>
    <w:p>
      <w:pPr>
        <w:spacing w:after="0" w:line="29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In the first two months of 2019, the Company decreased goodwill by approximately $1.0 million due to certain opening balance sheet fair value adjustments, primarily related to deferred taxes.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as adjusted, has been determined to be as follows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217,511</w:t>
            </w:r>
          </w:p>
        </w:tc>
      </w:tr>
      <w:tr>
        <w:trPr>
          <w:trHeight w:val="229"/>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 consideration</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76,905</w:t>
            </w:r>
          </w:p>
        </w:tc>
      </w:tr>
      <w:tr>
        <w:trPr>
          <w:trHeight w:val="248"/>
        </w:trPr>
        <w:tc>
          <w:tcPr>
            <w:tcW w:w="9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purchase price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294,416</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purchase price was allocated based on the Company’s final estimate of the fair value of the assets acquired and liabilities assumed,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26,224</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Inventory</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29,044</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(23,018)</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(13,881)</w:t>
            </w:r>
          </w:p>
        </w:tc>
      </w:tr>
      <w:tr>
        <w:trPr>
          <w:trHeight w:val="229"/>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 and other intangibles</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270,427</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allocated value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294,416</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The acquisition was being accounted for as a business combination using the acquisition method of accounting in accordance with FASB ASC Topic 805, </w:t>
      </w:r>
      <w:r>
        <w:rPr>
          <w:rFonts w:ascii="Arial" w:cs="Arial" w:eastAsia="Arial" w:hAnsi="Arial"/>
          <w:sz w:val="17"/>
          <w:szCs w:val="17"/>
          <w:i w:val="1"/>
          <w:iCs w:val="1"/>
          <w:color w:val="auto"/>
        </w:rPr>
        <w:t xml:space="preserve">Business Combinations </w:t>
      </w:r>
      <w:r>
        <w:rPr>
          <w:rFonts w:ascii="Arial" w:cs="Arial" w:eastAsia="Arial" w:hAnsi="Arial"/>
          <w:sz w:val="17"/>
          <w:szCs w:val="17"/>
          <w:color w:val="auto"/>
        </w:rPr>
        <w:t>(“ASC Topic 805”), which established a new basis of accounting for all identifiable assets acquired and liabilities assumed at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ASC Topic 805 allows the acquiring company to adjust preliminary amounts recognized at the acquisition date to their subsequently determined final fair values during a measurement period, generally up to one year from the date of the acquisition.</w:t>
      </w:r>
    </w:p>
    <w:p>
      <w:pPr>
        <w:spacing w:after="0" w:line="27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goodwill and other intangible assets are included in the U.S. segment. Customer relationships and certain trade names, which are included in intangible assets, net, are amortized on a straight-line basis over their estimated useful lives (see NOTE 7 — GOODWILL AND INTANGIBLE ASSETS). Goodwill results from such factors as an assembled workforce. The total amount of goodwill is not expected to be deductible for tax purposes.</w:t>
      </w:r>
    </w:p>
    <w:p>
      <w:pPr>
        <w:spacing w:after="0" w:line="14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year ended December 31, 2018 includes the operations of Filament for the period from March 2, 2018, the date of the acquisition of Filament, to December 31, 2018. The consolidated statement of operations for the year ended December 31, 2018, includes $128.8 million of net sales contributed by Filament.</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Included in Selling, general and administrative expenses for the year ended December 31, 2018 is a $1.8 million credit to reflect the change in fair value of a contingent consideration obligation acquired by the Company in connection with its acquisition of Filament.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Unaudited Pro forma Results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unaudited pro forma financial information presents the results of the Company as if the acquisition of Filament had occurred on January 1, 2018.</w:t>
      </w:r>
    </w:p>
    <w:p>
      <w:pPr>
        <w:sectPr>
          <w:pgSz w:w="11900" w:h="16838" w:orient="portrait"/>
          <w:cols w:equalWidth="0" w:num="1">
            <w:col w:w="11240"/>
          </w:cols>
          <w:pgMar w:left="320" w:top="121"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444444"/>
        </w:rPr>
        <w:t>F</w:t>
      </w:r>
      <w:r>
        <w:rPr>
          <w:rFonts w:ascii="Arial" w:cs="Arial" w:eastAsia="Arial" w:hAnsi="Arial"/>
          <w:sz w:val="16"/>
          <w:szCs w:val="16"/>
          <w:color w:val="00000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unaudited pro forma results do not include any revenue or cost reductions that may be achieved through the business combination or the impact of non-recurring items directly related to the business combination.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color w:val="auto"/>
              </w:rPr>
              <w:t>Year ended December 31,</w:t>
            </w:r>
          </w:p>
        </w:tc>
      </w:tr>
      <w:tr>
        <w:trPr>
          <w:trHeight w:val="185"/>
        </w:trPr>
        <w:tc>
          <w:tcPr>
            <w:tcW w:w="8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jc w:val="right"/>
              <w:ind w:right="1138"/>
              <w:spacing w:after="0"/>
              <w:rPr>
                <w:sz w:val="20"/>
                <w:szCs w:val="20"/>
                <w:color w:val="auto"/>
              </w:rPr>
            </w:pPr>
            <w:r>
              <w:rPr>
                <w:rFonts w:ascii="Arial" w:cs="Arial" w:eastAsia="Arial" w:hAnsi="Arial"/>
                <w:sz w:val="14"/>
                <w:szCs w:val="14"/>
                <w:color w:val="auto"/>
              </w:rPr>
              <w:t>2018</w:t>
            </w:r>
          </w:p>
        </w:tc>
      </w:tr>
      <w:tr>
        <w:trPr>
          <w:trHeight w:val="172"/>
        </w:trPr>
        <w:tc>
          <w:tcPr>
            <w:tcW w:w="8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Pr>
          <w:p>
            <w:pPr>
              <w:jc w:val="right"/>
              <w:ind w:right="278"/>
              <w:spacing w:after="0"/>
              <w:rPr>
                <w:sz w:val="20"/>
                <w:szCs w:val="20"/>
                <w:color w:val="auto"/>
              </w:rPr>
            </w:pPr>
            <w:r>
              <w:rPr>
                <w:rFonts w:ascii="Arial" w:cs="Arial" w:eastAsia="Arial" w:hAnsi="Arial"/>
                <w:sz w:val="14"/>
                <w:szCs w:val="14"/>
                <w:color w:val="auto"/>
                <w:w w:val="92"/>
              </w:rPr>
              <w:t>(In thousands, except per share data)</w:t>
            </w:r>
          </w:p>
        </w:tc>
      </w:tr>
      <w:tr>
        <w:trPr>
          <w:trHeight w:val="230"/>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730,353</w:t>
            </w:r>
          </w:p>
        </w:tc>
      </w:tr>
      <w:tr>
        <w:trPr>
          <w:trHeight w:val="229"/>
        </w:trPr>
        <w:tc>
          <w:tcPr>
            <w:tcW w:w="840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 and equity in earnings</w:t>
            </w:r>
          </w:p>
        </w:tc>
        <w:tc>
          <w:tcPr>
            <w:tcW w:w="16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2,439</w:t>
            </w:r>
          </w:p>
        </w:tc>
      </w:tr>
      <w:tr>
        <w:trPr>
          <w:trHeight w:val="229"/>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30"/>
        </w:trPr>
        <w:tc>
          <w:tcPr>
            <w:tcW w:w="8400" w:type="dxa"/>
            <w:vAlign w:val="bottom"/>
            <w:gridSpan w:val="2"/>
          </w:tcPr>
          <w:p>
            <w:pPr>
              <w:ind w:left="20"/>
              <w:spacing w:after="0"/>
              <w:rPr>
                <w:sz w:val="20"/>
                <w:szCs w:val="20"/>
                <w:color w:val="auto"/>
              </w:rPr>
            </w:pPr>
            <w:r>
              <w:rPr>
                <w:rFonts w:ascii="Arial" w:cs="Arial" w:eastAsia="Arial" w:hAnsi="Arial"/>
                <w:sz w:val="18"/>
                <w:szCs w:val="18"/>
                <w:color w:val="auto"/>
              </w:rPr>
              <w:t>Basic and diluted loss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540" w:type="dxa"/>
            <w:vAlign w:val="bottom"/>
          </w:tcPr>
          <w:p>
            <w:pPr>
              <w:jc w:val="right"/>
              <w:spacing w:after="0"/>
              <w:rPr>
                <w:sz w:val="20"/>
                <w:szCs w:val="20"/>
                <w:color w:val="auto"/>
              </w:rPr>
            </w:pPr>
            <w:r>
              <w:rPr>
                <w:rFonts w:ascii="Arial" w:cs="Arial" w:eastAsia="Arial" w:hAnsi="Arial"/>
                <w:sz w:val="18"/>
                <w:szCs w:val="18"/>
                <w:color w:val="auto"/>
              </w:rPr>
              <w:t>(0.01)</w:t>
            </w:r>
          </w:p>
        </w:tc>
      </w:tr>
    </w:tbl>
    <w:p>
      <w:pPr>
        <w:spacing w:after="0" w:line="30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unaudited pro forma results are not necessarily indicative of the operating results that would have occurred if the Filament acquisition had been completed as of the date for which the pro forma financial information is presented. In addition, the unaudited pro forma results do not purport to project the future consolidated operating results of the combined company.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256" w:lineRule="exact"/>
        <w:rPr>
          <w:sz w:val="20"/>
          <w:szCs w:val="20"/>
          <w:color w:val="auto"/>
        </w:rPr>
      </w:pPr>
    </w:p>
    <w:p>
      <w:pPr>
        <w:jc w:val="both"/>
        <w:ind w:right="40"/>
        <w:spacing w:after="0" w:line="307" w:lineRule="auto"/>
        <w:rPr>
          <w:sz w:val="20"/>
          <w:szCs w:val="20"/>
          <w:color w:val="auto"/>
        </w:rPr>
      </w:pPr>
      <w:r>
        <w:rPr>
          <w:rFonts w:ascii="Arial" w:cs="Arial" w:eastAsia="Arial" w:hAnsi="Arial"/>
          <w:sz w:val="15"/>
          <w:szCs w:val="15"/>
          <w:color w:val="auto"/>
        </w:rPr>
        <w:t>The Company has operating leases for corporate offices, distribution facilities, manufacturing plants, and certain vehicles. Leases with an initial term of 12 months or less are not recorded on the condensed consolidated balance sheet. The Company has elected the practical expedient to account for each separate lease component of a contract and its associated non-lease components as a single lease component, thus causing all fixed payments to be capitalized.</w:t>
      </w:r>
    </w:p>
    <w:p>
      <w:pPr>
        <w:ind w:right="260"/>
        <w:spacing w:after="0" w:line="255" w:lineRule="auto"/>
        <w:rPr>
          <w:sz w:val="20"/>
          <w:szCs w:val="20"/>
          <w:color w:val="auto"/>
        </w:rPr>
      </w:pPr>
      <w:r>
        <w:rPr>
          <w:rFonts w:ascii="Arial" w:cs="Arial" w:eastAsia="Arial" w:hAnsi="Arial"/>
          <w:sz w:val="18"/>
          <w:szCs w:val="18"/>
          <w:color w:val="auto"/>
        </w:rPr>
        <w:t>Variable lease payment amounts that cannot be determined at the commencement of the lease, such as increases in lease payments that do not depend on changes in index rates or payments based on usage, are not included in the ROU assets or liabilities. These are expensed as incurred and recorded as variable lease expense.</w:t>
      </w:r>
    </w:p>
    <w:p>
      <w:pPr>
        <w:spacing w:after="0" w:line="1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ROU assets represent the Company’s right to use an underlying asset during the lease term and lease liabilities represent the Company’s obligation to make lease payments arising from the lease. ROU assets and liabilities are recognized at the commencement date based on the net present value of fixed lease payments over the lease term. The Company’s lease term includes options to extend or terminate the lease when it is reasonably certain that the Company will exercise that option. ROU assets also include any advance lease payments. As most of the Company’s operating leases do not provide an implicit rate, the Company uses its incremental borrowing rate based on the information available at commencement date in determining the present value of lease payments.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for the year ended December 31, 2020 and 2019 were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120" w:type="dxa"/>
            <w:vAlign w:val="bottom"/>
            <w:tcBorders>
              <w:bottom w:val="single" w:sz="8" w:color="auto"/>
            </w:tcBorders>
          </w:tcPr>
          <w:p>
            <w:pPr>
              <w:spacing w:after="0"/>
              <w:rPr>
                <w:sz w:val="16"/>
                <w:szCs w:val="16"/>
                <w:color w:val="auto"/>
              </w:rPr>
            </w:pPr>
          </w:p>
        </w:tc>
      </w:tr>
      <w:tr>
        <w:trPr>
          <w:trHeight w:val="229"/>
        </w:trPr>
        <w:tc>
          <w:tcPr>
            <w:tcW w:w="72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84"/>
              </w:rPr>
              <w:t>2019</w:t>
            </w:r>
          </w:p>
        </w:tc>
      </w:tr>
      <w:tr>
        <w:trPr>
          <w:trHeight w:val="210"/>
        </w:trPr>
        <w:tc>
          <w:tcPr>
            <w:tcW w:w="7260" w:type="dxa"/>
            <w:vAlign w:val="bottom"/>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Operating lease costs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Fixed lease expense</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18,181</w:t>
            </w:r>
          </w:p>
        </w:tc>
        <w:tc>
          <w:tcPr>
            <w:tcW w:w="80" w:type="dxa"/>
            <w:vAlign w:val="bottom"/>
          </w:tcPr>
          <w:p>
            <w:pPr>
              <w:spacing w:after="0"/>
              <w:rPr>
                <w:sz w:val="19"/>
                <w:szCs w:val="19"/>
                <w:color w:val="auto"/>
              </w:rPr>
            </w:pP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18,898</w:t>
            </w: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w:t>
            </w:r>
          </w:p>
        </w:tc>
        <w:tc>
          <w:tcPr>
            <w:tcW w:w="1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4,571</w:t>
            </w: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21,979</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23,469</w:t>
            </w:r>
          </w:p>
        </w:tc>
      </w:tr>
      <w:tr>
        <w:trPr>
          <w:trHeight w:val="20"/>
        </w:trPr>
        <w:tc>
          <w:tcPr>
            <w:tcW w:w="7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Expenses are recorded in selling, general and administrative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Rent and related expenses under operating leases was $18.4 million for the years ended December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for the year ended December 31, 2020 and 2019 were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120" w:type="dxa"/>
            <w:vAlign w:val="bottom"/>
            <w:tcBorders>
              <w:bottom w:val="single" w:sz="8" w:color="auto"/>
            </w:tcBorders>
          </w:tcPr>
          <w:p>
            <w:pPr>
              <w:spacing w:after="0"/>
              <w:rPr>
                <w:sz w:val="16"/>
                <w:szCs w:val="16"/>
                <w:color w:val="auto"/>
              </w:rPr>
            </w:pPr>
          </w:p>
        </w:tc>
      </w:tr>
      <w:tr>
        <w:trPr>
          <w:trHeight w:val="229"/>
        </w:trPr>
        <w:tc>
          <w:tcPr>
            <w:tcW w:w="73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84"/>
              </w:rPr>
              <w:t>2019</w:t>
            </w: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cash flows for operating leases</w:t>
            </w: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15,802</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17,851</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17,851</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444444"/>
        </w:rPr>
        <w:t>F</w:t>
      </w:r>
      <w:r>
        <w:rPr>
          <w:rFonts w:ascii="Arial" w:cs="Arial" w:eastAsia="Arial" w:hAnsi="Arial"/>
          <w:sz w:val="16"/>
          <w:szCs w:val="16"/>
          <w:color w:val="00000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120" w:type="dxa"/>
            <w:vAlign w:val="bottom"/>
            <w:tcBorders>
              <w:bottom w:val="single" w:sz="8" w:color="auto"/>
            </w:tcBorders>
          </w:tcPr>
          <w:p>
            <w:pPr>
              <w:spacing w:after="0"/>
              <w:rPr>
                <w:sz w:val="16"/>
                <w:szCs w:val="16"/>
                <w:color w:val="auto"/>
              </w:rPr>
            </w:pPr>
          </w:p>
        </w:tc>
      </w:tr>
      <w:tr>
        <w:trPr>
          <w:trHeight w:val="229"/>
        </w:trPr>
        <w:tc>
          <w:tcPr>
            <w:tcW w:w="73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84"/>
              </w:rPr>
              <w:t>2019</w:t>
            </w:r>
          </w:p>
        </w:tc>
      </w:tr>
      <w:tr>
        <w:trPr>
          <w:trHeight w:val="209"/>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leases</w:t>
            </w: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118,447</w:t>
            </w:r>
          </w:p>
        </w:tc>
      </w:tr>
      <w:tr>
        <w:trPr>
          <w:trHeight w:val="248"/>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118,447</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Included in machinery, furniture and equipment at each of December 31, 2020 and 2019 is $0.4 million and $0.3 million, respectively, related to assets recorded under finance leases. Included in accumulated depreciation and amortization at December 31, 2020 and December 31, 2019 is $0.2 million and $0.1 million, respectively, related to assets recorded under finance leases.</w:t>
      </w:r>
    </w:p>
    <w:p>
      <w:pPr>
        <w:spacing w:after="0" w:line="18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response to the COVID-19 pandemic, the Company negotiated COVID-19-related rent concessions for several of its leased properties. The majority of these rent concessions were in the form of deferred rent payments for one or more months. For these rent concessions the Company elected to account for these as if no changes to the lease were made and continued to recognize the straight-line lease expense for these leases in accordance with the FASB Question-and-Answer Document. COVID-19-related deferred rent payments at December 31, 2020 were $1.0 million and were recorded in accrued expenses in the condensed consolidated balance sheet at December 31, 2020. In addition, there were a limited number of rent concessions obtained by the Company in the form of rent abatement and changes in lease terms. These lease modifications were accounted for as a resolution to a contingency that fixes previously variable lease payments which resulted in the remeasurement of the right-of-use asset and lease liability. The remeasurement of the right-of-use and lease liability did not have a material effect on our consolidated financial statements or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aggregate future lease payments for operating leases as of December 31, 2020 were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Operating</w:t>
            </w:r>
          </w:p>
        </w:tc>
      </w:tr>
      <w:tr>
        <w:trPr>
          <w:trHeight w:val="229"/>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18,112</w:t>
            </w:r>
          </w:p>
        </w:tc>
      </w:tr>
      <w:tr>
        <w:trPr>
          <w:trHeight w:val="230"/>
        </w:trPr>
        <w:tc>
          <w:tcPr>
            <w:tcW w:w="9320" w:type="dxa"/>
            <w:vAlign w:val="bottom"/>
          </w:tcPr>
          <w:p>
            <w:pPr>
              <w:ind w:left="20"/>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18,199</w:t>
            </w:r>
          </w:p>
        </w:tc>
      </w:tr>
      <w:tr>
        <w:trPr>
          <w:trHeight w:val="230"/>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18,176</w:t>
            </w:r>
          </w:p>
        </w:tc>
      </w:tr>
      <w:tr>
        <w:trPr>
          <w:trHeight w:val="230"/>
        </w:trPr>
        <w:tc>
          <w:tcPr>
            <w:tcW w:w="9320" w:type="dxa"/>
            <w:vAlign w:val="bottom"/>
          </w:tcPr>
          <w:p>
            <w:pPr>
              <w:ind w:left="20"/>
              <w:spacing w:after="0"/>
              <w:rPr>
                <w:sz w:val="20"/>
                <w:szCs w:val="20"/>
                <w:color w:val="auto"/>
              </w:rPr>
            </w:pPr>
            <w:r>
              <w:rPr>
                <w:rFonts w:ascii="Arial" w:cs="Arial" w:eastAsia="Arial" w:hAnsi="Arial"/>
                <w:sz w:val="18"/>
                <w:szCs w:val="18"/>
                <w:color w:val="auto"/>
              </w:rPr>
              <w:t>2024</w:t>
            </w: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17,857</w:t>
            </w:r>
          </w:p>
        </w:tc>
      </w:tr>
      <w:tr>
        <w:trPr>
          <w:trHeight w:val="229"/>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17,831</w:t>
            </w:r>
          </w:p>
        </w:tc>
      </w:tr>
      <w:tr>
        <w:trPr>
          <w:trHeight w:val="230"/>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56,115</w:t>
            </w:r>
          </w:p>
        </w:tc>
      </w:tr>
      <w:tr>
        <w:trPr>
          <w:trHeight w:val="223"/>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146,290</w:t>
            </w:r>
          </w:p>
        </w:tc>
      </w:tr>
      <w:tr>
        <w:trPr>
          <w:trHeight w:val="230"/>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(32,455)</w:t>
            </w:r>
          </w:p>
        </w:tc>
      </w:tr>
      <w:tr>
        <w:trPr>
          <w:trHeight w:val="248"/>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payments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113,835</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expects to make payments related to the deferrals obtained as a result of COVID-19-related rent concessions of $1.0 million in 2021, per the updated terms of the applicable lease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Average lease terms and discount rates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Borders>
              <w:bottom w:val="single" w:sz="8" w:color="CCEEFF"/>
            </w:tcBorders>
          </w:tcPr>
          <w:p>
            <w:pPr>
              <w:spacing w:after="0"/>
              <w:rPr>
                <w:sz w:val="16"/>
                <w:szCs w:val="16"/>
                <w:color w:val="auto"/>
              </w:rPr>
            </w:pPr>
          </w:p>
        </w:tc>
        <w:tc>
          <w:tcPr>
            <w:tcW w:w="2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December 31, 2020</w:t>
            </w:r>
          </w:p>
        </w:tc>
        <w:tc>
          <w:tcPr>
            <w:tcW w:w="17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December 31, 2019</w:t>
            </w:r>
          </w:p>
        </w:tc>
      </w:tr>
      <w:tr>
        <w:trPr>
          <w:trHeight w:val="215"/>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2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2100" w:type="dxa"/>
            <w:vAlign w:val="bottom"/>
          </w:tcPr>
          <w:p>
            <w:pPr>
              <w:jc w:val="right"/>
              <w:ind w:right="116"/>
              <w:spacing w:after="0"/>
              <w:rPr>
                <w:sz w:val="20"/>
                <w:szCs w:val="20"/>
                <w:color w:val="auto"/>
              </w:rPr>
            </w:pPr>
            <w:r>
              <w:rPr>
                <w:rFonts w:ascii="Arial" w:cs="Arial" w:eastAsia="Arial" w:hAnsi="Arial"/>
                <w:sz w:val="18"/>
                <w:szCs w:val="18"/>
                <w:color w:val="auto"/>
              </w:rPr>
              <w:t>8.2</w:t>
            </w:r>
          </w:p>
        </w:tc>
        <w:tc>
          <w:tcPr>
            <w:tcW w:w="17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2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2100" w:type="dxa"/>
            <w:vAlign w:val="bottom"/>
          </w:tcPr>
          <w:p>
            <w:pPr>
              <w:jc w:val="right"/>
              <w:ind w:right="116"/>
              <w:spacing w:after="0"/>
              <w:rPr>
                <w:sz w:val="20"/>
                <w:szCs w:val="20"/>
                <w:color w:val="auto"/>
              </w:rPr>
            </w:pPr>
            <w:r>
              <w:rPr>
                <w:rFonts w:ascii="Arial" w:cs="Arial" w:eastAsia="Arial" w:hAnsi="Arial"/>
                <w:sz w:val="18"/>
                <w:szCs w:val="18"/>
                <w:color w:val="auto"/>
              </w:rPr>
              <w:t>6.2 %</w:t>
            </w:r>
          </w:p>
        </w:tc>
        <w:tc>
          <w:tcPr>
            <w:tcW w:w="1740" w:type="dxa"/>
            <w:vAlign w:val="bottom"/>
          </w:tcPr>
          <w:p>
            <w:pPr>
              <w:jc w:val="right"/>
              <w:spacing w:after="0"/>
              <w:rPr>
                <w:sz w:val="20"/>
                <w:szCs w:val="20"/>
                <w:color w:val="auto"/>
              </w:rPr>
            </w:pPr>
            <w:r>
              <w:rPr>
                <w:rFonts w:ascii="Arial" w:cs="Arial" w:eastAsia="Arial" w:hAnsi="Arial"/>
                <w:sz w:val="18"/>
                <w:szCs w:val="18"/>
                <w:color w:val="auto"/>
              </w:rPr>
              <w:t>6.2 %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SALE OF ACCOUNTS RECEIVABLE</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To improve its liquidity during seasonally high working capital periods, the Company has an uncommitted Receivables Purchase Agreement with HSBC Bank USA, as Purchaser (the “Receivables Purchase Agreement”). Under the Receivables Purchase Agreement, the Company may offer to sell certain eligible accounts receivables (the “Receivables”) to HSBC Bank USA, which may accept such offer, and purchase the offered Receivables. Under the Receivables Purchase Agreement, following each purchase of Receivables, the outstanding aggregate purchased Receivables shall not exceed $30.0 million. HSBC Bank USA will assume the credit risk of the Receivables purchased; and, the Company will continue to be responsible for all non-credit risk matters. The Company will service the Receivables, and as such servicer, collect and otherwise enforce the Receivables on behalf of HSBC Bank USA. The term of the agreement is for 364 days and automatically extends for annual successive terms unless terminated. Either party may terminate the agreement at any time upon 60 days prior written notice to the other party. Pursuant to this agreement, the Company sold $159.4 million and $115.4 million of Receivables during the years ended December 31, 2020 and 2019, respectively. At December 31, 2020 and 2019, $24.7 million and $20.9 million, respectively, of receivables sold are outstanding and are due to HSBC Bank USA from customers. A charge of $0.4 million and $0.6 million related to the sale of the Receivables is included in selling, general and administrative expenses in the consolidated statements of operations for the years ended December 31, 2020 and 2019, respectively.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EQUITY INVESTMENTS</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owns approximately 30% of the outstanding capital stock of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statement of operations. Accordingly, the Company has recorded its proportionate share of Vasconia’s net income (reduced for amortization expense related to the customer relationships acquired) for the years ended December 31, 2020, 2019 and 2018 in the accompanying consolidated statements of operations.</w:t>
      </w:r>
    </w:p>
    <w:p>
      <w:pPr>
        <w:spacing w:after="0" w:line="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value of the Company’s investment balance has been translated from Mexican pesos (“MXN”) to U.S. dollars (“USD”) using the spot rate of MXN 19.88 and MXN 18.91 at December 31,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Company's proportionate share of Vasconia's net income (loss) has been translated from MXN to USD using the following exchange rates: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Year Ended December 31,</w:t>
            </w:r>
          </w:p>
        </w:tc>
        <w:tc>
          <w:tcPr>
            <w:tcW w:w="2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4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jc w:val="right"/>
              <w:ind w:right="779"/>
              <w:spacing w:after="0"/>
              <w:rPr>
                <w:sz w:val="20"/>
                <w:szCs w:val="20"/>
                <w:color w:val="auto"/>
              </w:rPr>
            </w:pPr>
            <w:r>
              <w:rPr>
                <w:rFonts w:ascii="Arial" w:cs="Arial" w:eastAsia="Arial" w:hAnsi="Arial"/>
                <w:sz w:val="14"/>
                <w:szCs w:val="14"/>
                <w:b w:val="1"/>
                <w:bCs w:val="1"/>
                <w:color w:val="auto"/>
              </w:rPr>
              <w:t>2020</w:t>
            </w:r>
          </w:p>
        </w:tc>
        <w:tc>
          <w:tcPr>
            <w:tcW w:w="2560" w:type="dxa"/>
            <w:vAlign w:val="bottom"/>
            <w:tcBorders>
              <w:bottom w:val="single" w:sz="8" w:color="auto"/>
            </w:tcBorders>
          </w:tcPr>
          <w:p>
            <w:pPr>
              <w:jc w:val="right"/>
              <w:ind w:right="1202"/>
              <w:spacing w:after="0"/>
              <w:rPr>
                <w:sz w:val="20"/>
                <w:szCs w:val="20"/>
                <w:color w:val="auto"/>
              </w:rPr>
            </w:pPr>
            <w:r>
              <w:rPr>
                <w:rFonts w:ascii="Arial" w:cs="Arial" w:eastAsia="Arial" w:hAnsi="Arial"/>
                <w:sz w:val="14"/>
                <w:szCs w:val="14"/>
                <w:b w:val="1"/>
                <w:bCs w:val="1"/>
                <w:color w:val="auto"/>
              </w:rPr>
              <w:t>2019</w:t>
            </w:r>
          </w:p>
        </w:tc>
        <w:tc>
          <w:tcPr>
            <w:tcW w:w="2080" w:type="dxa"/>
            <w:vAlign w:val="bottom"/>
            <w:tcBorders>
              <w:bottom w:val="single" w:sz="8" w:color="auto"/>
            </w:tcBorders>
          </w:tcPr>
          <w:p>
            <w:pPr>
              <w:jc w:val="right"/>
              <w:ind w:right="91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exchange rate (MXN to USD)</w:t>
            </w:r>
          </w:p>
        </w:tc>
        <w:tc>
          <w:tcPr>
            <w:tcW w:w="2000" w:type="dxa"/>
            <w:vAlign w:val="bottom"/>
            <w:vMerge w:val="restart"/>
            <w:shd w:val="clear" w:color="auto" w:fill="CCEEFF"/>
          </w:tcPr>
          <w:p>
            <w:pPr>
              <w:jc w:val="right"/>
              <w:ind w:right="439"/>
              <w:spacing w:after="0"/>
              <w:rPr>
                <w:sz w:val="20"/>
                <w:szCs w:val="20"/>
                <w:color w:val="auto"/>
              </w:rPr>
            </w:pPr>
            <w:r>
              <w:rPr>
                <w:rFonts w:ascii="Arial" w:cs="Arial" w:eastAsia="Arial" w:hAnsi="Arial"/>
                <w:sz w:val="18"/>
                <w:szCs w:val="18"/>
                <w:color w:val="auto"/>
              </w:rPr>
              <w:t>19.91 - 23.31</w:t>
            </w:r>
          </w:p>
        </w:tc>
        <w:tc>
          <w:tcPr>
            <w:tcW w:w="2560" w:type="dxa"/>
            <w:vAlign w:val="bottom"/>
            <w:vMerge w:val="restart"/>
            <w:shd w:val="clear" w:color="auto" w:fill="CCEEFF"/>
          </w:tcPr>
          <w:p>
            <w:pPr>
              <w:jc w:val="right"/>
              <w:ind w:right="862"/>
              <w:spacing w:after="0"/>
              <w:rPr>
                <w:sz w:val="20"/>
                <w:szCs w:val="20"/>
                <w:color w:val="auto"/>
              </w:rPr>
            </w:pPr>
            <w:r>
              <w:rPr>
                <w:rFonts w:ascii="Arial" w:cs="Arial" w:eastAsia="Arial" w:hAnsi="Arial"/>
                <w:sz w:val="18"/>
                <w:szCs w:val="18"/>
                <w:color w:val="auto"/>
              </w:rPr>
              <w:t>19.11 - 19.42</w:t>
            </w:r>
          </w:p>
        </w:tc>
        <w:tc>
          <w:tcPr>
            <w:tcW w:w="2080" w:type="dxa"/>
            <w:vAlign w:val="bottom"/>
            <w:vMerge w:val="restart"/>
            <w:shd w:val="clear" w:color="auto" w:fill="CCEEFF"/>
          </w:tcPr>
          <w:p>
            <w:pPr>
              <w:jc w:val="right"/>
              <w:ind w:right="579"/>
              <w:spacing w:after="0"/>
              <w:rPr>
                <w:sz w:val="20"/>
                <w:szCs w:val="20"/>
                <w:color w:val="auto"/>
              </w:rPr>
            </w:pPr>
            <w:r>
              <w:rPr>
                <w:rFonts w:ascii="Arial" w:cs="Arial" w:eastAsia="Arial" w:hAnsi="Arial"/>
                <w:sz w:val="18"/>
                <w:szCs w:val="18"/>
                <w:color w:val="auto"/>
              </w:rPr>
              <w:t>18.71 - 19.81</w:t>
            </w:r>
          </w:p>
        </w:tc>
        <w:tc>
          <w:tcPr>
            <w:tcW w:w="0" w:type="dxa"/>
            <w:vAlign w:val="bottom"/>
          </w:tcPr>
          <w:p>
            <w:pPr>
              <w:spacing w:after="0"/>
              <w:rPr>
                <w:sz w:val="1"/>
                <w:szCs w:val="1"/>
                <w:color w:val="auto"/>
              </w:rPr>
            </w:pPr>
          </w:p>
        </w:tc>
      </w:tr>
      <w:tr>
        <w:trPr>
          <w:trHeight w:val="134"/>
        </w:trPr>
        <w:tc>
          <w:tcPr>
            <w:tcW w:w="3840" w:type="dxa"/>
            <w:vAlign w:val="bottom"/>
            <w:shd w:val="clear" w:color="auto" w:fill="CCEEFF"/>
          </w:tcPr>
          <w:p>
            <w:pPr>
              <w:spacing w:after="0"/>
              <w:rPr>
                <w:sz w:val="11"/>
                <w:szCs w:val="11"/>
                <w:color w:val="auto"/>
              </w:rPr>
            </w:pPr>
          </w:p>
        </w:tc>
        <w:tc>
          <w:tcPr>
            <w:tcW w:w="2000" w:type="dxa"/>
            <w:vAlign w:val="bottom"/>
            <w:vMerge w:val="continue"/>
            <w:shd w:val="clear" w:color="auto" w:fill="CCEEFF"/>
          </w:tcPr>
          <w:p>
            <w:pPr>
              <w:spacing w:after="0"/>
              <w:rPr>
                <w:sz w:val="11"/>
                <w:szCs w:val="11"/>
                <w:color w:val="auto"/>
              </w:rPr>
            </w:pPr>
          </w:p>
        </w:tc>
        <w:tc>
          <w:tcPr>
            <w:tcW w:w="2560" w:type="dxa"/>
            <w:vAlign w:val="bottom"/>
            <w:vMerge w:val="continue"/>
            <w:shd w:val="clear" w:color="auto" w:fill="CCEEFF"/>
          </w:tcPr>
          <w:p>
            <w:pPr>
              <w:spacing w:after="0"/>
              <w:rPr>
                <w:sz w:val="11"/>
                <w:szCs w:val="11"/>
                <w:color w:val="auto"/>
              </w:rPr>
            </w:pPr>
          </w:p>
        </w:tc>
        <w:tc>
          <w:tcPr>
            <w:tcW w:w="20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84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effect of the translation of the Company’s investment, as well as the translation of Vasconia’s balance sheet, resulted in a decrease of the investment of $2.7 million during the year ended December 31, 2020 and a decrease of the investment of $1.6 million during the year ended December 31, 2019. These translation effects are recorded in accumulated other comprehensive loss. The Company received cash dividends of $52,000, $124,000 and $115,000, from Vasconia during the years ended December 31, 2020, 2019 and 2018, respectively.</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amounts due to and due from Vasconia as of December 31, 2020 and 2019 are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Vasconia due to and due from balances</w:t>
            </w:r>
          </w:p>
        </w:tc>
        <w:tc>
          <w:tcPr>
            <w:tcW w:w="4360" w:type="dxa"/>
            <w:vAlign w:val="bottom"/>
            <w:tcBorders>
              <w:bottom w:val="single" w:sz="8" w:color="auto"/>
            </w:tcBorders>
          </w:tcPr>
          <w:p>
            <w:pPr>
              <w:ind w:left="1980"/>
              <w:spacing w:after="0"/>
              <w:rPr>
                <w:sz w:val="20"/>
                <w:szCs w:val="20"/>
                <w:color w:val="auto"/>
              </w:rPr>
            </w:pPr>
            <w:r>
              <w:rPr>
                <w:rFonts w:ascii="Arial" w:cs="Arial" w:eastAsia="Arial" w:hAnsi="Arial"/>
                <w:sz w:val="14"/>
                <w:szCs w:val="14"/>
                <w:b w:val="1"/>
                <w:bCs w:val="1"/>
                <w:color w:val="auto"/>
              </w:rPr>
              <w:t>Balance Sheet Location</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 2019</w:t>
            </w:r>
          </w:p>
        </w:tc>
      </w:tr>
      <w:tr>
        <w:trPr>
          <w:trHeight w:val="215"/>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due from Vasconia</w:t>
            </w:r>
          </w:p>
        </w:tc>
        <w:tc>
          <w:tcPr>
            <w:tcW w:w="444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0"/>
        </w:trPr>
        <w:tc>
          <w:tcPr>
            <w:tcW w:w="3480" w:type="dxa"/>
            <w:vAlign w:val="bottom"/>
          </w:tcPr>
          <w:p>
            <w:pPr>
              <w:ind w:left="20"/>
              <w:spacing w:after="0"/>
              <w:rPr>
                <w:sz w:val="20"/>
                <w:szCs w:val="20"/>
                <w:color w:val="auto"/>
              </w:rPr>
            </w:pPr>
            <w:r>
              <w:rPr>
                <w:rFonts w:ascii="Arial" w:cs="Arial" w:eastAsia="Arial" w:hAnsi="Arial"/>
                <w:sz w:val="16"/>
                <w:szCs w:val="16"/>
                <w:color w:val="auto"/>
              </w:rPr>
              <w:t>Amounts due to Vasconia</w:t>
            </w:r>
          </w:p>
        </w:tc>
        <w:tc>
          <w:tcPr>
            <w:tcW w:w="4440" w:type="dxa"/>
            <w:vAlign w:val="bottom"/>
            <w:gridSpan w:val="2"/>
          </w:tcPr>
          <w:p>
            <w:pPr>
              <w:ind w:left="1060"/>
              <w:spacing w:after="0"/>
              <w:rPr>
                <w:sz w:val="20"/>
                <w:szCs w:val="20"/>
                <w:color w:val="auto"/>
              </w:rPr>
            </w:pPr>
            <w:r>
              <w:rPr>
                <w:rFonts w:ascii="Arial" w:cs="Arial" w:eastAsia="Arial" w:hAnsi="Arial"/>
                <w:sz w:val="16"/>
                <w:szCs w:val="16"/>
                <w:color w:val="auto"/>
              </w:rPr>
              <w:t>Accrued expenses and 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(77)</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444444"/>
        </w:rPr>
        <w:t>F</w:t>
      </w:r>
      <w:r>
        <w:rPr>
          <w:rFonts w:ascii="Arial" w:cs="Arial" w:eastAsia="Arial" w:hAnsi="Arial"/>
          <w:sz w:val="16"/>
          <w:szCs w:val="16"/>
          <w:color w:val="00000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Summarized income statement information for the years ended December 31, 2020, 2019 and 2018, as well as summarized balance sheet information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 for Vasconia, calculated in accordance with U.S. GAAP, in USD and MXN is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87"/>
        </w:trPr>
        <w:tc>
          <w:tcPr>
            <w:tcW w:w="32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gridSpan w:val="3"/>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gridSpan w:val="3"/>
            <w:shd w:val="clear" w:color="auto" w:fill="CCEEFF"/>
          </w:tcPr>
          <w:p>
            <w:pPr>
              <w:jc w:val="center"/>
              <w:ind w:left="459"/>
              <w:spacing w:after="0"/>
              <w:rPr>
                <w:sz w:val="20"/>
                <w:szCs w:val="20"/>
                <w:color w:val="auto"/>
              </w:rPr>
            </w:pPr>
            <w:r>
              <w:rPr>
                <w:rFonts w:ascii="Arial" w:cs="Arial" w:eastAsia="Arial" w:hAnsi="Arial"/>
                <w:sz w:val="14"/>
                <w:szCs w:val="14"/>
                <w:b w:val="1"/>
                <w:bCs w:val="1"/>
                <w:color w:val="auto"/>
                <w:w w:val="89"/>
              </w:rPr>
              <w:t>2019</w:t>
            </w:r>
          </w:p>
        </w:tc>
        <w:tc>
          <w:tcPr>
            <w:tcW w:w="8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gridSpan w:val="3"/>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960" w:type="dxa"/>
            <w:vAlign w:val="bottom"/>
            <w:tcBorders>
              <w:bottom w:val="single" w:sz="8" w:color="auto"/>
            </w:tcBorders>
            <w:shd w:val="clear" w:color="auto" w:fill="CCEEFF"/>
          </w:tcPr>
          <w:p>
            <w:pPr>
              <w:spacing w:after="0"/>
              <w:rPr>
                <w:sz w:val="16"/>
                <w:szCs w:val="16"/>
                <w:color w:val="auto"/>
              </w:rPr>
            </w:pPr>
          </w:p>
        </w:tc>
      </w:tr>
      <w:tr>
        <w:trPr>
          <w:trHeight w:val="180"/>
        </w:trPr>
        <w:tc>
          <w:tcPr>
            <w:tcW w:w="3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3"/>
          </w:tcPr>
          <w:p>
            <w:pPr>
              <w:jc w:val="center"/>
              <w:ind w:left="479"/>
              <w:spacing w:after="0"/>
              <w:rPr>
                <w:sz w:val="20"/>
                <w:szCs w:val="20"/>
                <w:color w:val="auto"/>
              </w:rPr>
            </w:pPr>
            <w:r>
              <w:rPr>
                <w:rFonts w:ascii="Arial" w:cs="Arial" w:eastAsia="Arial" w:hAnsi="Arial"/>
                <w:sz w:val="14"/>
                <w:szCs w:val="14"/>
                <w:color w:val="auto"/>
                <w:w w:val="92"/>
              </w:rPr>
              <w:t>(in thousands)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2"/>
        </w:trPr>
        <w:tc>
          <w:tcPr>
            <w:tcW w:w="3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USD</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MXN</w:t>
            </w:r>
          </w:p>
        </w:tc>
        <w:tc>
          <w:tcPr>
            <w:tcW w:w="3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USD</w:t>
            </w:r>
          </w:p>
        </w:tc>
        <w:tc>
          <w:tcPr>
            <w:tcW w:w="4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MXN</w:t>
            </w:r>
          </w:p>
        </w:tc>
        <w:tc>
          <w:tcPr>
            <w:tcW w:w="3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USD</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74"/>
              <w:spacing w:after="0"/>
              <w:rPr>
                <w:sz w:val="20"/>
                <w:szCs w:val="20"/>
                <w:color w:val="auto"/>
              </w:rPr>
            </w:pPr>
            <w:r>
              <w:rPr>
                <w:rFonts w:ascii="Arial" w:cs="Arial" w:eastAsia="Arial" w:hAnsi="Arial"/>
                <w:sz w:val="14"/>
                <w:szCs w:val="14"/>
                <w:color w:val="auto"/>
              </w:rPr>
              <w:t>MXN</w:t>
            </w:r>
          </w:p>
        </w:tc>
      </w:tr>
      <w:tr>
        <w:trPr>
          <w:trHeight w:val="209"/>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Income Statement</w:t>
            </w: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3,330,855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159,746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3,074,398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3,456,852</w:t>
            </w: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540,244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34,032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654,342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36,891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711,941</w:t>
            </w: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222,115</w:t>
            </w: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5,566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108,678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28,892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57,590</w:t>
            </w:r>
          </w:p>
        </w:tc>
      </w:tr>
    </w:tbl>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6"/>
              </w:rPr>
              <w:t>December 31,</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7"/>
        </w:trPr>
        <w:tc>
          <w:tcPr>
            <w:tcW w:w="58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gridSpan w:val="3"/>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gridSpan w:val="3"/>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980" w:type="dxa"/>
            <w:vAlign w:val="bottom"/>
            <w:tcBorders>
              <w:bottom w:val="single" w:sz="8" w:color="auto"/>
            </w:tcBorders>
            <w:shd w:val="clear" w:color="auto" w:fill="CCEEFF"/>
          </w:tcPr>
          <w:p>
            <w:pPr>
              <w:spacing w:after="0"/>
              <w:rPr>
                <w:sz w:val="16"/>
                <w:szCs w:val="16"/>
                <w:color w:val="auto"/>
              </w:rPr>
            </w:pPr>
          </w:p>
        </w:tc>
      </w:tr>
      <w:tr>
        <w:trPr>
          <w:trHeight w:val="181"/>
        </w:trPr>
        <w:tc>
          <w:tcPr>
            <w:tcW w:w="5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tcPr>
          <w:p>
            <w:pPr>
              <w:ind w:left="620"/>
              <w:spacing w:after="0"/>
              <w:rPr>
                <w:sz w:val="20"/>
                <w:szCs w:val="20"/>
                <w:color w:val="auto"/>
              </w:rPr>
            </w:pPr>
            <w:r>
              <w:rPr>
                <w:rFonts w:ascii="Arial" w:cs="Arial" w:eastAsia="Arial" w:hAnsi="Arial"/>
                <w:sz w:val="14"/>
                <w:szCs w:val="14"/>
                <w:color w:val="auto"/>
                <w:w w:val="96"/>
              </w:rPr>
              <w:t>(in thousands)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2"/>
        </w:trPr>
        <w:tc>
          <w:tcPr>
            <w:tcW w:w="5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USD</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MXN</w:t>
            </w:r>
          </w:p>
        </w:tc>
        <w:tc>
          <w:tcPr>
            <w:tcW w:w="4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USD</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74"/>
              <w:spacing w:after="0"/>
              <w:rPr>
                <w:sz w:val="20"/>
                <w:szCs w:val="20"/>
                <w:color w:val="auto"/>
              </w:rPr>
            </w:pPr>
            <w:r>
              <w:rPr>
                <w:rFonts w:ascii="Arial" w:cs="Arial" w:eastAsia="Arial" w:hAnsi="Arial"/>
                <w:sz w:val="14"/>
                <w:szCs w:val="14"/>
                <w:b w:val="1"/>
                <w:bCs w:val="1"/>
                <w:color w:val="auto"/>
              </w:rPr>
              <w:t>MXN</w:t>
            </w:r>
          </w:p>
        </w:tc>
      </w:tr>
      <w:tr>
        <w:trPr>
          <w:trHeight w:val="209"/>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Balance Sheet</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1,885,323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1,782,170</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100,140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1,991,116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110,908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2,096,880</w:t>
            </w: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1,376,742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1,400,883</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48,419</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962,723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946,014</w:t>
            </w:r>
          </w:p>
        </w:tc>
      </w:tr>
    </w:tbl>
    <w:p>
      <w:pPr>
        <w:spacing w:after="0" w:line="20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Company recorded equity in earnings of Vasconia, net of taxes, of $1.5 million, $0.5 million and $0.9 million for the years ended December 31, 2020, 2019 and 2018, respectively. Equity in earnings in 2018 includes deferred tax benefit of $0.1 million due to a change in the tax basis of the investment as a result of the Tax Act.</w:t>
      </w:r>
    </w:p>
    <w:p>
      <w:pPr>
        <w:spacing w:after="0" w:line="18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of December 31, 2020, the fair value (based on Level 1 inputs using the quoted stock price) of the Company’s investment in Vasconia was $32.8 million. The carrying value of the Company’s investment in Vasconia was $20.0 million.</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Lifetime Brands Do Brasil Participacoes Ltda., a 100% owned subsidiary of Lifetime Brands, Inc., was dissolved on May 5, 2020. The subsidiary held a note receivable relating to the 2016 sale of its 40% equity interest in GS International S/A (“GSI”), a wholesale distributor of branded housewares products in Brazil, which was accounted for as an equity method investment. The final installment due on the note receivable was received prior to dissolution of the subsidiary. Foreign currency translation losses of $0.2 million, which were previously recorded as a component of stockholder’s equity within accumulated other comprehensive loss, were recognized in earnings upon dissolution of this subsidiary during the year ended December 31, 2020. The Company included this loss within equity in earnings (losses), net of taxes.</w:t>
      </w:r>
    </w:p>
    <w:p>
      <w:pPr>
        <w:spacing w:after="0" w:line="178"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In February 2012, the Company entered into a joint venture, Grand Venture Holdings Limited (“Grand Venture”), with Manweal Development Limited (“Manweal”), a Chinese corporation, to distribute Mikasa® products in China, which included an initial investment by the Company of $0.5 million. The Company and Manweal each own 50% of Grand Venture and have rights and obligations proportionate to their ownership percentages. The Company accounts for its investment in Grand Venture using the equity method of accounting and has recorded its proportionate share of Grand Venture’s net loss as equity in earnings (losses) in the Company’s consolidated statements of operations. Due to the operating losses the Company evaluated the carrying value of its investment for other-than temporary impairment under the equity method of accounting and recorded an impairment charge of approximately</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$0.2 million during the year ended December 31, 2018. As of December 31, 2020 and 2019, the Company had a carrying value of zero in Grand Venture.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444444"/>
        </w:rPr>
        <w:t>F</w:t>
      </w:r>
      <w:r>
        <w:rPr>
          <w:rFonts w:ascii="Arial" w:cs="Arial" w:eastAsia="Arial" w:hAnsi="Arial"/>
          <w:sz w:val="16"/>
          <w:szCs w:val="16"/>
          <w:color w:val="00000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intangible assets consist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Gross</w:t>
            </w: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Impairment</w:t>
            </w: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b w:val="1"/>
                <w:bCs w:val="1"/>
                <w:color w:val="auto"/>
              </w:rPr>
              <w:t>Accumulated</w:t>
            </w:r>
          </w:p>
        </w:tc>
        <w:tc>
          <w:tcPr>
            <w:tcW w:w="2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Net</w:t>
            </w:r>
          </w:p>
        </w:tc>
        <w:tc>
          <w:tcPr>
            <w:tcW w:w="1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Gross</w:t>
            </w:r>
          </w:p>
        </w:tc>
        <w:tc>
          <w:tcPr>
            <w:tcW w:w="110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Impairment</w:t>
            </w:r>
          </w:p>
        </w:tc>
        <w:tc>
          <w:tcPr>
            <w:tcW w:w="1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Accumulated</w:t>
            </w:r>
          </w:p>
        </w:tc>
        <w:tc>
          <w:tcPr>
            <w:tcW w:w="2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100" w:type="dxa"/>
            <w:vAlign w:val="bottom"/>
            <w:gridSpan w:val="3"/>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Amortization</w:t>
            </w: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Goodwill</w:t>
            </w: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49,371</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(19,100)</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30,271</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92,361</w:t>
            </w:r>
          </w:p>
        </w:tc>
        <w:tc>
          <w:tcPr>
            <w:tcW w:w="120" w:type="dxa"/>
            <w:vAlign w:val="bottom"/>
          </w:tcPr>
          <w:p>
            <w:pPr>
              <w:spacing w:after="0"/>
              <w:rPr>
                <w:sz w:val="15"/>
                <w:szCs w:val="15"/>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(42,990)</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49,371</w:t>
            </w:r>
          </w:p>
        </w:tc>
        <w:tc>
          <w:tcPr>
            <w:tcW w:w="0" w:type="dxa"/>
            <w:vAlign w:val="bottom"/>
          </w:tcPr>
          <w:p>
            <w:pPr>
              <w:spacing w:after="0"/>
              <w:rPr>
                <w:sz w:val="1"/>
                <w:szCs w:val="1"/>
                <w:color w:val="auto"/>
              </w:rPr>
            </w:pPr>
          </w:p>
        </w:tc>
      </w:tr>
      <w:tr>
        <w:trPr>
          <w:trHeight w:val="192"/>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Indefinite -lived intangible assets:</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20" w:type="dxa"/>
            <w:vAlign w:val="bottom"/>
          </w:tcPr>
          <w:p>
            <w:pPr>
              <w:ind w:left="360"/>
              <w:spacing w:after="0" w:line="189" w:lineRule="exact"/>
              <w:rPr>
                <w:sz w:val="20"/>
                <w:szCs w:val="20"/>
                <w:color w:val="auto"/>
              </w:rPr>
            </w:pPr>
            <w:r>
              <w:rPr>
                <w:rFonts w:ascii="Arial" w:cs="Arial" w:eastAsia="Arial" w:hAnsi="Arial"/>
                <w:sz w:val="14"/>
                <w:szCs w:val="14"/>
                <w:color w:val="auto"/>
              </w:rPr>
              <w:t xml:space="preserve">Trade names </w:t>
            </w:r>
            <w:r>
              <w:rPr>
                <w:rFonts w:ascii="Arial" w:cs="Arial" w:eastAsia="Arial" w:hAnsi="Arial"/>
                <w:sz w:val="18"/>
                <w:szCs w:val="18"/>
                <w:color w:val="auto"/>
                <w:vertAlign w:val="superscript"/>
              </w:rPr>
              <w:t>(1)</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50,600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49,600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58,216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58,216</w:t>
            </w: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Finite -lived intangible assets:</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20" w:type="dxa"/>
            <w:vAlign w:val="bottom"/>
          </w:tcPr>
          <w:p>
            <w:pPr>
              <w:ind w:left="360"/>
              <w:spacing w:after="0"/>
              <w:rPr>
                <w:sz w:val="20"/>
                <w:szCs w:val="20"/>
                <w:color w:val="auto"/>
              </w:rPr>
            </w:pPr>
            <w:r>
              <w:rPr>
                <w:rFonts w:ascii="Arial" w:cs="Arial" w:eastAsia="Arial" w:hAnsi="Arial"/>
                <w:sz w:val="14"/>
                <w:szCs w:val="14"/>
                <w:color w:val="auto"/>
              </w:rPr>
              <w:t>Licenses</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15,847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(10,742)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5,105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15,847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(10,287)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5,560</w:t>
            </w:r>
          </w:p>
        </w:tc>
        <w:tc>
          <w:tcPr>
            <w:tcW w:w="0" w:type="dxa"/>
            <w:vAlign w:val="bottom"/>
          </w:tcPr>
          <w:p>
            <w:pPr>
              <w:spacing w:after="0"/>
              <w:rPr>
                <w:sz w:val="1"/>
                <w:szCs w:val="1"/>
                <w:color w:val="auto"/>
              </w:rPr>
            </w:pPr>
          </w:p>
        </w:tc>
      </w:tr>
      <w:tr>
        <w:trPr>
          <w:trHeight w:val="192"/>
        </w:trPr>
        <w:tc>
          <w:tcPr>
            <w:tcW w:w="2420" w:type="dxa"/>
            <w:vAlign w:val="bottom"/>
            <w:shd w:val="clear" w:color="auto" w:fill="CCEEFF"/>
          </w:tcPr>
          <w:p>
            <w:pPr>
              <w:ind w:left="360"/>
              <w:spacing w:after="0" w:line="193" w:lineRule="exact"/>
              <w:rPr>
                <w:sz w:val="20"/>
                <w:szCs w:val="20"/>
                <w:color w:val="auto"/>
              </w:rPr>
            </w:pPr>
            <w:r>
              <w:rPr>
                <w:rFonts w:ascii="Arial" w:cs="Arial" w:eastAsia="Arial" w:hAnsi="Arial"/>
                <w:sz w:val="14"/>
                <w:szCs w:val="14"/>
                <w:color w:val="auto"/>
              </w:rPr>
              <w:t xml:space="preserve">Trade names </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52,030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(20,874)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31,156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43,986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(17,337)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26,649</w:t>
            </w:r>
          </w:p>
        </w:tc>
        <w:tc>
          <w:tcPr>
            <w:tcW w:w="0" w:type="dxa"/>
            <w:vAlign w:val="bottom"/>
          </w:tcPr>
          <w:p>
            <w:pPr>
              <w:spacing w:after="0"/>
              <w:rPr>
                <w:sz w:val="1"/>
                <w:szCs w:val="1"/>
                <w:color w:val="auto"/>
              </w:rPr>
            </w:pPr>
          </w:p>
        </w:tc>
      </w:tr>
      <w:tr>
        <w:trPr>
          <w:trHeight w:val="186"/>
        </w:trPr>
        <w:tc>
          <w:tcPr>
            <w:tcW w:w="2420" w:type="dxa"/>
            <w:vAlign w:val="bottom"/>
          </w:tcPr>
          <w:p>
            <w:pPr>
              <w:ind w:left="360"/>
              <w:spacing w:after="0"/>
              <w:rPr>
                <w:sz w:val="20"/>
                <w:szCs w:val="20"/>
                <w:color w:val="auto"/>
              </w:rPr>
            </w:pPr>
            <w:r>
              <w:rPr>
                <w:rFonts w:ascii="Arial" w:cs="Arial" w:eastAsia="Arial" w:hAnsi="Arial"/>
                <w:sz w:val="14"/>
                <w:szCs w:val="14"/>
                <w:color w:val="auto"/>
              </w:rPr>
              <w:t>Customer relationships</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177,801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(54,008)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123,793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176,602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(40,605)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135,997</w:t>
            </w:r>
          </w:p>
        </w:tc>
        <w:tc>
          <w:tcPr>
            <w:tcW w:w="0" w:type="dxa"/>
            <w:vAlign w:val="bottom"/>
          </w:tcPr>
          <w:p>
            <w:pPr>
              <w:spacing w:after="0"/>
              <w:rPr>
                <w:sz w:val="1"/>
                <w:szCs w:val="1"/>
                <w:color w:val="auto"/>
              </w:rPr>
            </w:pPr>
          </w:p>
        </w:tc>
      </w:tr>
      <w:tr>
        <w:trPr>
          <w:trHeight w:val="192"/>
        </w:trPr>
        <w:tc>
          <w:tcPr>
            <w:tcW w:w="24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6,582</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(2,482)</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6,546</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(1,868)</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4,678</w:t>
            </w:r>
          </w:p>
        </w:tc>
        <w:tc>
          <w:tcPr>
            <w:tcW w:w="0" w:type="dxa"/>
            <w:vAlign w:val="bottom"/>
          </w:tcPr>
          <w:p>
            <w:pPr>
              <w:spacing w:after="0"/>
              <w:rPr>
                <w:sz w:val="1"/>
                <w:szCs w:val="1"/>
                <w:color w:val="auto"/>
              </w:rPr>
            </w:pPr>
          </w:p>
        </w:tc>
      </w:tr>
      <w:tr>
        <w:trPr>
          <w:trHeight w:val="179"/>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352,231</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(20,100)</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(88,106)</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244,025</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393,558</w:t>
            </w:r>
          </w:p>
        </w:tc>
        <w:tc>
          <w:tcPr>
            <w:tcW w:w="120" w:type="dxa"/>
            <w:vAlign w:val="bottom"/>
          </w:tcPr>
          <w:p>
            <w:pPr>
              <w:spacing w:after="0"/>
              <w:rPr>
                <w:sz w:val="15"/>
                <w:szCs w:val="15"/>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(42,990)</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(70,097)</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280,471</w:t>
            </w:r>
          </w:p>
        </w:tc>
        <w:tc>
          <w:tcPr>
            <w:tcW w:w="0" w:type="dxa"/>
            <w:vAlign w:val="bottom"/>
          </w:tcPr>
          <w:p>
            <w:pPr>
              <w:spacing w:after="0"/>
              <w:rPr>
                <w:sz w:val="1"/>
                <w:szCs w:val="1"/>
                <w:color w:val="auto"/>
              </w:rPr>
            </w:pPr>
          </w:p>
        </w:tc>
      </w:tr>
      <w:tr>
        <w:trPr>
          <w:trHeight w:val="24"/>
        </w:trPr>
        <w:tc>
          <w:tcPr>
            <w:tcW w:w="2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40" w:firstLine="8"/>
        <w:spacing w:after="0" w:line="269" w:lineRule="auto"/>
        <w:tabs>
          <w:tab w:leader="none" w:pos="181" w:val="left"/>
        </w:tabs>
        <w:numPr>
          <w:ilvl w:val="0"/>
          <w:numId w:val="33"/>
        </w:numPr>
        <w:rPr>
          <w:rFonts w:ascii="Arial" w:cs="Arial" w:eastAsia="Arial" w:hAnsi="Arial"/>
          <w:sz w:val="21"/>
          <w:szCs w:val="21"/>
          <w:color w:val="auto"/>
          <w:vertAlign w:val="superscript"/>
        </w:rPr>
      </w:pPr>
      <w:r>
        <w:rPr>
          <w:rFonts w:ascii="Arial" w:cs="Arial" w:eastAsia="Arial" w:hAnsi="Arial"/>
          <w:sz w:val="16"/>
          <w:szCs w:val="16"/>
          <w:color w:val="auto"/>
        </w:rPr>
        <w:t>During 2020, as part of the Company’s annual impairment analysis of indefinite-lived trade names it was determined that certain of the Company’s trade names, previously estimated to contribute to cash flows indefinitely, have definite lives. Accordingly, these trade names were reclassified from indefinite-lived to finite-lived or amortizable intangible assets as of October 1, 2020. These trade names are being amortized over an estimated useful life of 18 years.</w:t>
      </w:r>
    </w:p>
    <w:p>
      <w:pPr>
        <w:spacing w:after="0" w:line="181"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A summary of the activities related to the Company’s intangible assets for the years ended December 31, 2020, 2019 and 2018 consists of the following (in thousands):</w:t>
      </w:r>
    </w:p>
    <w:tbl>
      <w:tblPr>
        <w:tblLayout w:type="fixed"/>
        <w:tblInd w:w="0" w:type="dxa"/>
        <w:tblCellMar>
          <w:top w:w="0" w:type="dxa"/>
          <w:left w:w="0" w:type="dxa"/>
          <w:bottom w:w="0" w:type="dxa"/>
          <w:right w:w="0" w:type="dxa"/>
        </w:tblCellMar>
      </w:tblPr>
      <w:tr>
        <w:trPr>
          <w:trHeight w:val="144"/>
        </w:trPr>
        <w:tc>
          <w:tcPr>
            <w:tcW w:w="7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Intangible</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32"/>
              <w:spacing w:after="0" w:line="145" w:lineRule="exact"/>
              <w:rPr>
                <w:sz w:val="20"/>
                <w:szCs w:val="20"/>
                <w:color w:val="auto"/>
              </w:rPr>
            </w:pPr>
            <w:r>
              <w:rPr>
                <w:rFonts w:ascii="Arial" w:cs="Arial" w:eastAsia="Arial" w:hAnsi="Arial"/>
                <w:sz w:val="14"/>
                <w:szCs w:val="14"/>
                <w:b w:val="1"/>
                <w:bCs w:val="1"/>
                <w:color w:val="auto"/>
                <w:w w:val="98"/>
              </w:rPr>
              <w:t>Total Intangible</w:t>
            </w:r>
          </w:p>
        </w:tc>
        <w:tc>
          <w:tcPr>
            <w:tcW w:w="0" w:type="dxa"/>
            <w:vAlign w:val="bottom"/>
          </w:tcPr>
          <w:p>
            <w:pPr>
              <w:spacing w:after="0"/>
              <w:rPr>
                <w:sz w:val="1"/>
                <w:szCs w:val="1"/>
                <w:color w:val="auto"/>
              </w:rPr>
            </w:pPr>
          </w:p>
        </w:tc>
      </w:tr>
      <w:tr>
        <w:trPr>
          <w:trHeight w:val="135"/>
        </w:trPr>
        <w:tc>
          <w:tcPr>
            <w:tcW w:w="7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Goodwill</w:t>
            </w:r>
          </w:p>
        </w:tc>
        <w:tc>
          <w:tcPr>
            <w:tcW w:w="120" w:type="dxa"/>
            <w:vAlign w:val="bottom"/>
          </w:tcPr>
          <w:p>
            <w:pPr>
              <w:spacing w:after="0"/>
              <w:rPr>
                <w:sz w:val="11"/>
                <w:szCs w:val="11"/>
                <w:color w:val="auto"/>
              </w:rPr>
            </w:pPr>
          </w:p>
        </w:tc>
        <w:tc>
          <w:tcPr>
            <w:tcW w:w="1140" w:type="dxa"/>
            <w:vAlign w:val="bottom"/>
          </w:tcPr>
          <w:p>
            <w:pPr>
              <w:jc w:val="center"/>
              <w:ind w:right="32"/>
              <w:spacing w:after="0" w:line="135" w:lineRule="exact"/>
              <w:rPr>
                <w:sz w:val="20"/>
                <w:szCs w:val="20"/>
                <w:color w:val="auto"/>
              </w:rPr>
            </w:pPr>
            <w:r>
              <w:rPr>
                <w:rFonts w:ascii="Arial" w:cs="Arial" w:eastAsia="Arial" w:hAnsi="Arial"/>
                <w:sz w:val="14"/>
                <w:szCs w:val="14"/>
                <w:b w:val="1"/>
                <w:bCs w:val="1"/>
                <w:color w:val="auto"/>
                <w:w w:val="88"/>
              </w:rPr>
              <w:t>Assets and</w:t>
            </w:r>
          </w:p>
        </w:tc>
        <w:tc>
          <w:tcPr>
            <w:tcW w:w="0" w:type="dxa"/>
            <w:vAlign w:val="bottom"/>
          </w:tcPr>
          <w:p>
            <w:pPr>
              <w:spacing w:after="0"/>
              <w:rPr>
                <w:sz w:val="1"/>
                <w:szCs w:val="1"/>
                <w:color w:val="auto"/>
              </w:rPr>
            </w:pPr>
          </w:p>
        </w:tc>
      </w:tr>
      <w:tr>
        <w:trPr>
          <w:trHeight w:val="188"/>
        </w:trPr>
        <w:tc>
          <w:tcPr>
            <w:tcW w:w="7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Assets</w:t>
            </w: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52"/>
              <w:spacing w:after="0"/>
              <w:rPr>
                <w:sz w:val="20"/>
                <w:szCs w:val="20"/>
                <w:color w:val="auto"/>
              </w:rPr>
            </w:pPr>
            <w:r>
              <w:rPr>
                <w:rFonts w:ascii="Arial" w:cs="Arial" w:eastAsia="Arial" w:hAnsi="Arial"/>
                <w:sz w:val="14"/>
                <w:szCs w:val="14"/>
                <w:b w:val="1"/>
                <w:bCs w:val="1"/>
                <w:color w:val="auto"/>
                <w:w w:val="94"/>
              </w:rPr>
              <w:t>Goodwill</w:t>
            </w:r>
          </w:p>
        </w:tc>
        <w:tc>
          <w:tcPr>
            <w:tcW w:w="0" w:type="dxa"/>
            <w:vAlign w:val="bottom"/>
          </w:tcPr>
          <w:p>
            <w:pPr>
              <w:spacing w:after="0"/>
              <w:rPr>
                <w:sz w:val="1"/>
                <w:szCs w:val="1"/>
                <w:color w:val="auto"/>
              </w:rPr>
            </w:pPr>
          </w:p>
        </w:tc>
      </w:tr>
      <w:tr>
        <w:trPr>
          <w:trHeight w:val="224"/>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 and Intangible Assets, December 31, 2017</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72,707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88,479</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Acquisition of goodwill</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78,795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78,795</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trade names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61,500</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Acquisition of customer relationships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124,430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124,430</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other intangible assets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(15,323)</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Impairment of goodwill</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 and Intangible Assets, December 31, 2018</w:t>
            </w: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247,157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91,690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338,847</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Purchase price adjustment</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(16,843)</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goodwill</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(42,990)</w:t>
            </w:r>
          </w:p>
        </w:tc>
        <w:tc>
          <w:tcPr>
            <w:tcW w:w="0" w:type="dxa"/>
            <w:vAlign w:val="bottom"/>
          </w:tcPr>
          <w:p>
            <w:pPr>
              <w:spacing w:after="0"/>
              <w:rPr>
                <w:sz w:val="1"/>
                <w:szCs w:val="1"/>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Goodwill and Intangible Assets, December 31, 2019</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231,100</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49,371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280,471</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(16,953)</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indefinite -lived intangible assets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Impairment of goodwill</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(19,100)</w:t>
            </w:r>
          </w:p>
        </w:tc>
        <w:tc>
          <w:tcPr>
            <w:tcW w:w="0" w:type="dxa"/>
            <w:vAlign w:val="bottom"/>
          </w:tcPr>
          <w:p>
            <w:pPr>
              <w:spacing w:after="0"/>
              <w:rPr>
                <w:sz w:val="1"/>
                <w:szCs w:val="1"/>
                <w:color w:val="auto"/>
              </w:rPr>
            </w:pPr>
          </w:p>
        </w:tc>
      </w:tr>
      <w:tr>
        <w:trPr>
          <w:trHeight w:val="248"/>
        </w:trPr>
        <w:tc>
          <w:tcPr>
            <w:tcW w:w="7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 and Intangible Assets, December 31, 2020</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244,025</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Table of Contents</w:t>
        </w:r>
      </w:hyperlink>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80" w:type="dxa"/>
            <w:vAlign w:val="bottom"/>
          </w:tcPr>
          <w:p>
            <w:pPr>
              <w:jc w:val="center"/>
              <w:ind w:left="1171"/>
              <w:spacing w:after="0"/>
              <w:rPr>
                <w:sz w:val="20"/>
                <w:szCs w:val="20"/>
                <w:color w:val="auto"/>
              </w:rPr>
            </w:pPr>
            <w:r>
              <w:rPr>
                <w:rFonts w:ascii="Arial" w:cs="Arial" w:eastAsia="Arial" w:hAnsi="Arial"/>
                <w:sz w:val="18"/>
                <w:szCs w:val="18"/>
                <w:b w:val="1"/>
                <w:bCs w:val="1"/>
                <w:color w:val="auto"/>
              </w:rPr>
              <w:t>LIFETIME BRANDS, INC.</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9980" w:type="dxa"/>
            <w:vAlign w:val="bottom"/>
          </w:tcPr>
          <w:p>
            <w:pPr>
              <w:jc w:val="center"/>
              <w:ind w:left="1171"/>
              <w:spacing w:after="0"/>
              <w:rPr>
                <w:sz w:val="20"/>
                <w:szCs w:val="20"/>
                <w:color w:val="auto"/>
              </w:rPr>
            </w:pPr>
            <w:r>
              <w:rPr>
                <w:rFonts w:ascii="Arial" w:cs="Arial" w:eastAsia="Arial" w:hAnsi="Arial"/>
                <w:sz w:val="18"/>
                <w:szCs w:val="18"/>
                <w:b w:val="1"/>
                <w:bCs w:val="1"/>
                <w:color w:val="auto"/>
              </w:rPr>
              <w:t>NOTES TO CONSOLIDATED FINANCIAL STATEMENTS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9980" w:type="dxa"/>
            <w:vAlign w:val="bottom"/>
          </w:tcPr>
          <w:p>
            <w:pPr>
              <w:jc w:val="center"/>
              <w:ind w:left="1171"/>
              <w:spacing w:after="0"/>
              <w:rPr>
                <w:sz w:val="20"/>
                <w:szCs w:val="20"/>
                <w:color w:val="auto"/>
              </w:rPr>
            </w:pPr>
            <w:r>
              <w:rPr>
                <w:rFonts w:ascii="Arial" w:cs="Arial" w:eastAsia="Arial" w:hAnsi="Arial"/>
                <w:sz w:val="18"/>
                <w:szCs w:val="18"/>
                <w:b w:val="1"/>
                <w:bCs w:val="1"/>
                <w:color w:val="auto"/>
                <w:w w:val="88"/>
              </w:rPr>
              <w:t>December 31, 2020</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864"/>
        </w:trPr>
        <w:tc>
          <w:tcPr>
            <w:tcW w:w="9980" w:type="dxa"/>
            <w:vAlign w:val="bottom"/>
          </w:tcPr>
          <w:p>
            <w:pPr>
              <w:spacing w:after="0"/>
              <w:rPr>
                <w:sz w:val="20"/>
                <w:szCs w:val="20"/>
                <w:color w:val="auto"/>
              </w:rPr>
            </w:pPr>
            <w:r>
              <w:rPr>
                <w:rFonts w:ascii="Arial" w:cs="Arial" w:eastAsia="Arial" w:hAnsi="Arial"/>
                <w:sz w:val="18"/>
                <w:szCs w:val="18"/>
                <w:color w:val="auto"/>
                <w:w w:val="94"/>
              </w:rPr>
              <w:t>The weighted-average amortization periods for the Company’s finite-lived intangible assets as of December 31, 2020 are as follows: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0"/>
        </w:trPr>
        <w:tc>
          <w:tcPr>
            <w:tcW w:w="99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Years</w:t>
            </w:r>
          </w:p>
        </w:tc>
      </w:tr>
      <w:tr>
        <w:trPr>
          <w:trHeight w:val="229"/>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9980" w:type="dxa"/>
            <w:vAlign w:val="bottom"/>
          </w:tcPr>
          <w:p>
            <w:pPr>
              <w:ind w:left="20"/>
              <w:spacing w:after="0"/>
              <w:rPr>
                <w:sz w:val="20"/>
                <w:szCs w:val="20"/>
                <w:color w:val="auto"/>
              </w:rPr>
            </w:pPr>
            <w:r>
              <w:rPr>
                <w:rFonts w:ascii="Arial" w:cs="Arial" w:eastAsia="Arial" w:hAnsi="Arial"/>
                <w:sz w:val="18"/>
                <w:szCs w:val="18"/>
                <w:color w:val="auto"/>
              </w:rPr>
              <w:t>Licenses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998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1"/>
        </w:trPr>
        <w:tc>
          <w:tcPr>
            <w:tcW w:w="9980" w:type="dxa"/>
            <w:vAlign w:val="bottom"/>
          </w:tcPr>
          <w:p>
            <w:pPr>
              <w:spacing w:after="0"/>
              <w:rPr>
                <w:sz w:val="20"/>
                <w:szCs w:val="20"/>
                <w:color w:val="auto"/>
              </w:rPr>
            </w:pPr>
            <w:r>
              <w:rPr>
                <w:rFonts w:ascii="Arial" w:cs="Arial" w:eastAsia="Arial" w:hAnsi="Arial"/>
                <w:sz w:val="18"/>
                <w:szCs w:val="18"/>
                <w:color w:val="auto"/>
              </w:rPr>
              <w:t>Estimated amortization expense for each of the five succeeding fiscal years is as follows (in thousands):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0"/>
        </w:trPr>
        <w:tc>
          <w:tcPr>
            <w:tcW w:w="998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6"/>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17,014</w:t>
            </w:r>
          </w:p>
        </w:tc>
      </w:tr>
      <w:tr>
        <w:trPr>
          <w:trHeight w:val="229"/>
        </w:trPr>
        <w:tc>
          <w:tcPr>
            <w:tcW w:w="9980" w:type="dxa"/>
            <w:vAlign w:val="bottom"/>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17,014</w:t>
            </w:r>
          </w:p>
        </w:tc>
      </w:tr>
      <w:tr>
        <w:trPr>
          <w:trHeight w:val="230"/>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16,971</w:t>
            </w:r>
          </w:p>
        </w:tc>
      </w:tr>
      <w:tr>
        <w:trPr>
          <w:trHeight w:val="229"/>
        </w:trPr>
        <w:tc>
          <w:tcPr>
            <w:tcW w:w="998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16,387</w:t>
            </w:r>
          </w:p>
        </w:tc>
      </w:tr>
      <w:tr>
        <w:trPr>
          <w:trHeight w:val="229"/>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the years ended December 31, 2020, 2019 and 2018 was $17.0 million, $16.8 million and $15.3 million,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 test</w:t>
      </w:r>
    </w:p>
    <w:p>
      <w:pPr>
        <w:spacing w:after="0" w:line="108"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The Company reviews goodwill and other intangibles that have indefinite lives for impairment annually as of October 1st or when events or changes in circumstances indicate the carrying value of these assets might exceed their current fair values. For goodwill, impairment testing is based upon the best information available using a combination of the discounted cash flow method, a form of the income approach, and the guideline public company method, a form of the market approach.</w:t>
      </w:r>
    </w:p>
    <w:p>
      <w:pPr>
        <w:spacing w:after="0" w:line="202"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The significant assumptions used under the income approach, or discounted cash flow method, are projected net sales, projected earnings before interest, tax, depreciation and amortization (“EBITDA”), terminal growth rates, and the cost of capital. Projected net sales, projected EBITDA and terminal growth rates were determined to be significant assumptions because they are three primary drivers of the projected cash flows in the discounted cash flow fair value model. Cost of capital was also determined to be a significant assumption as it is the discount rate used to calculate the current fair value of those projected cash flows. For the guideline public company method, significant assumptions relate to the selection of appropriate guideline companies and related valuation multiples used in the market analysis.</w:t>
      </w:r>
    </w:p>
    <w:p>
      <w:pPr>
        <w:spacing w:after="0" w:line="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the Company believes the assumptions and estimates made are reasonable and appropriate, different assumptions and estimates could materially impact its reported financial results. In addition, sustained declines in the Company's stock price and related market capitalization could impact key assumptions in the overall estimated fair values of its reporting units and could result in non-cash impairment charges that could be material to the Company's consolidated balance sheet or results of operations. Should the carrying value of a reporting unit be in excess of the estimated fair value of that reporting unit, an impairment charge will be recorded to reduce the reporting unit to fair value. The Company also evaluates qualitative factors to determine whether or not its indefinite lived intangibles have been impaired and then performs quantitative tests if required. These tests can include the relief from royalty model or other valuation models. The significant assumptions used in the relief from royalty model are future net sales for the related brands, royalty rates and the cost of capital to determine the fair value of the indefinite lived intangibles.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Reporting Unit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the goodwill for the International reporting unit was zero as of December 31, 2020.</w:t>
      </w:r>
    </w:p>
    <w:p>
      <w:pPr>
        <w:spacing w:after="0" w:line="11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During 2019 several impairment indicators for the European kitchenware business were considered by the Company including the continued uncertainties of the macro-environment in Europe as a result of the then-ongoing Brexit negotiations. In addition, the Company considered the decline in operating performance for the European kitchenware business, which included slower fulfillment of orders and labor inefficiencies associated with setting up the new warehouse in the U.K. These factors resulted in a decline in the long-term forecast for the European kitchenware business.</w:t>
      </w:r>
    </w:p>
    <w:p>
      <w:pPr>
        <w:spacing w:after="0" w:line="1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the third quarter of 2019, the Company performed an interim assessment of its European kitchenware business by comparing the fair value of the reporting unit with its carrying value as of September 30, 2019. The Company performed the analysis using a discounted cash flow and market multiple approach. Based upon the analysis performed, the Company recognized a $9.7 million non-cash goodwill impairment charge during the third quarter of 2019. The goodwill impairment charge was the result of a decline in operating performance and reduced expectations for future cash flows of the European kitchenware business. The fair value of the business was approximately 30.1% below its carrying value as of September 30, 2019.</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33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During the third quarter of 2019 the Company also determined its European kitchenware and tableware reporting units had met the criteria to be combined into one reporting unit based on the guidance of ASC Topic No. 350, Intangibles - Goodwill and Other and ASC Topic No. 280, Segment Reporting.</w:t>
      </w:r>
    </w:p>
    <w:p>
      <w:pPr>
        <w:spacing w:after="0" w:line="1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2018, the Company incurred a non-cash goodwill impairment charge of $2.2 million related to the European tableware business due to a decline in operating performance and reduced expectations for future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Reporting Unit</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the first quarter of 2020, as a result of the economic downturn caused by the COVID-19 pandemic, the Company performed an interim assessment of the goodwill for the U.S. reporting unit as of March 31, 2020, by comparing the fair value of the reporting unit with its carrying value. The Company performed the analysis using a discounted cash flow and market multiple method. Based upon the analysis performed, the Company recognized a non-cash goodwill impairment charge of $19.1 million during the first quarter of 2020. The goodwill impairment charge resulted from, among other factors, the uncertain market conditions arising from the COVID-19 pandemic, which impacted the Company's market capitalization, as well as a reduction of forecasted future cash flows associated with the effects of the COVID-19 pandemic. The fair value of the U.S. reporting unit was approximately 3.9% below its carrying value as of March 31, 2020.</w:t>
      </w:r>
    </w:p>
    <w:p>
      <w:pPr>
        <w:spacing w:after="0" w:line="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performed its annual impairment assessment of its U.S. reporting unit as of October 1, 2020 by comparing the fair value of the reporting unit with its carrying value. The Company performed the analysis using a discounted cash flow and market multiple method. As of October 1, 2020, the fair value of the U.S. reporting unit exceeded the carrying value of goodwill.</w:t>
      </w:r>
    </w:p>
    <w:p>
      <w:pPr>
        <w:spacing w:after="0" w:line="7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Management’s projections used to estimate the cash flows included organic net sales growth and net sales growth through new customer channels as well as continued operating efficiencies in future periods. Changes in any of the significant assumptions used in the valuation of the reporting unit could materially affect the expected cash flows, and such impacts could potentially result in a material non-cash impairment charge.</w:t>
      </w:r>
    </w:p>
    <w:p>
      <w:pPr>
        <w:spacing w:after="0" w:line="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2020, the Company assessed the carrying value of goodwill and determined, based on qualitative factors, that no further impairment existed for goodwill.</w:t>
      </w:r>
    </w:p>
    <w:p>
      <w:pPr>
        <w:spacing w:after="0" w:line="19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2019, the Company recognized a non-cash goodwill impairment charge of $33.2 million, during the three months ended December 31, 2019. The Company performed the analysis using a discounted cash flow and market multiple method. The goodwill impairment charge resulted from, among other factors, a sustained decline in the Company's market capitalization observed in the fourth quarter of 2019. The fair value of the U.S, reporting unit was approximately 6.1% below its carrying value at October 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indefinite-lived trade name impairment test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values its indefinite-lived trade names using a relief-from-royalty approach, which assumes the value of the trade name is the discounted cash flows of the amount that would be paid by a hypothetical market participant had they not owned the trade name and instead licensed the trade name from another company.</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quarter of 2020, as a result of the economic decline caused by the COVID-19 pandemic, the Company determined its indefinite-lived trade names had indicators for impairment. As a result, the Company bypassed the optional qualitative impairment analysis for its indefinite-lived trade names and performed an interim quantitative impairment analysis as of March 31, 2020, by comparing the fair value of the indefinite-lived trade names to their respective carrying values. As a result of the impairment testing performed in connection with the COVID-19 pandemic triggering event, the Company determined that certain of its indefinite-lived intangible assets in the U.S. segment were impaired. As a result, the Company recorded a $1.0 million non-cash impairment charge during the first quarter of 2020.</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bypassed the optional qualitative impairment analysis for its indefinite-lived trade name assets annual October 1, 2020 impairment test. As of October 1, 2020, the Company completed the quantitative impairment analysis by comparing the fair value of the indefinite-lived trade names to their respective carrying value. The Company determined that the fair value of all its indefinite-lived trade names were above their respective carrying values. While the indefinite-lived trade names were not determined to be impaired, the indefinite-lived trade names are at risk of future impairment in the event the trade names do not perform as projected or if market factors utilized in the impairment analysis deteriorate, including an unfavorable change in long-term growth rates or the weighted average cost of capital.</w:t>
      </w:r>
    </w:p>
    <w:p>
      <w:pPr>
        <w:spacing w:after="0" w:line="314"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As of December 31, 2020, the Company assessed the carrying value of its indefinite-lived trade names and determined based on qualitative factors that no impairment existed.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DEBT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Company’s credit agreement (the “ABL Agreement”) with JPMorgan Chase Bank, N.A. (“JPMorgan”), includes a senior secured asset-based revolving credit facility in the maximum aggregate principal amount of $150.0 million, which facility will mature on March 2, 2023, and a loan agreement (the “Term Loan” and together with the ABL Agreement, the “Debt Agreements”) provides for a senior secured term loan credit facility in the original principal amount of $275.0 million, which matures on February 28, 2025. The Term Loan facility will be repaid in quarterly payments, which commenced June 30, 2018, of principal equal to 0.25% of the original aggregate principal amount of the Term Loan facility. The Term Loan requires the Company to make an annual prepayment of principal based upon excess cash flow (the “Excess Cash Flow”), if any. This estimated amount is recorded in the current maturity of term loan on the consolidated balance sheets. Per the Debt Agreements, when the Company makes an Excess Cash Flow payment, the payment is first applied to satisfy the future quarterly required payments in order of maturity. The maximum borrowing amount under the ABL Agreement may be increased to up to $200.0 million if certain conditions are met. One or more tranches of Incremental Facilities may be added under the Term Loan if certain conditions are met. 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and 2019, the total availability under the ABL Agreement were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2020</w:t>
            </w:r>
          </w:p>
        </w:tc>
        <w:tc>
          <w:tcPr>
            <w:tcW w:w="160" w:type="dxa"/>
            <w:vAlign w:val="bottom"/>
          </w:tcPr>
          <w:p>
            <w:pPr>
              <w:spacing w:after="0"/>
              <w:rPr>
                <w:sz w:val="18"/>
                <w:szCs w:val="18"/>
                <w:color w:val="auto"/>
              </w:rPr>
            </w:pPr>
          </w:p>
        </w:tc>
        <w:tc>
          <w:tcPr>
            <w:tcW w:w="1540" w:type="dxa"/>
            <w:vAlign w:val="bottom"/>
          </w:tcPr>
          <w:p>
            <w:pPr>
              <w:jc w:val="right"/>
              <w:ind w:right="112"/>
              <w:spacing w:after="0"/>
              <w:rPr>
                <w:sz w:val="20"/>
                <w:szCs w:val="20"/>
                <w:color w:val="auto"/>
              </w:rPr>
            </w:pPr>
            <w:r>
              <w:rPr>
                <w:rFonts w:ascii="Arial" w:cs="Arial" w:eastAsia="Arial" w:hAnsi="Arial"/>
                <w:sz w:val="16"/>
                <w:szCs w:val="16"/>
                <w:b w:val="1"/>
                <w:bCs w:val="1"/>
                <w:color w:val="auto"/>
                <w:w w:val="91"/>
              </w:rPr>
              <w:t>December 31, 2019</w:t>
            </w:r>
          </w:p>
        </w:tc>
      </w:tr>
      <w:tr>
        <w:trPr>
          <w:trHeight w:val="226"/>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Maximum aggregate principal allowed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r>
      <w:tr>
        <w:trPr>
          <w:trHeight w:val="230"/>
        </w:trPr>
        <w:tc>
          <w:tcPr>
            <w:tcW w:w="7400" w:type="dxa"/>
            <w:vAlign w:val="bottom"/>
          </w:tcPr>
          <w:p>
            <w:pPr>
              <w:ind w:left="20"/>
              <w:spacing w:after="0"/>
              <w:rPr>
                <w:sz w:val="20"/>
                <w:szCs w:val="20"/>
                <w:color w:val="auto"/>
              </w:rPr>
            </w:pPr>
            <w:r>
              <w:rPr>
                <w:rFonts w:ascii="Arial" w:cs="Arial" w:eastAsia="Arial" w:hAnsi="Arial"/>
                <w:sz w:val="16"/>
                <w:szCs w:val="16"/>
                <w:color w:val="auto"/>
              </w:rPr>
              <w:t>Outstanding borrowings under the ABL Agreement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(27,302)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(32,822)</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Standby letters of credit</w:t>
            </w: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r>
      <w:tr>
        <w:trPr>
          <w:trHeight w:val="223"/>
        </w:trPr>
        <w:tc>
          <w:tcPr>
            <w:tcW w:w="7400" w:type="dxa"/>
            <w:vAlign w:val="bottom"/>
          </w:tcPr>
          <w:p>
            <w:pPr>
              <w:ind w:left="20"/>
              <w:spacing w:after="0"/>
              <w:rPr>
                <w:sz w:val="20"/>
                <w:szCs w:val="20"/>
                <w:color w:val="auto"/>
              </w:rPr>
            </w:pPr>
            <w:r>
              <w:rPr>
                <w:rFonts w:ascii="Arial" w:cs="Arial" w:eastAsia="Arial" w:hAnsi="Arial"/>
                <w:sz w:val="16"/>
                <w:szCs w:val="16"/>
                <w:color w:val="auto"/>
              </w:rPr>
              <w:t>Total availability under the ABL Agreement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114,890</w:t>
            </w:r>
          </w:p>
        </w:tc>
      </w:tr>
      <w:tr>
        <w:trPr>
          <w:trHeight w:val="21"/>
        </w:trPr>
        <w:tc>
          <w:tcPr>
            <w:tcW w:w="7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Availability under the ABL Agreement depends on the valuation of certain current assets comprising the borrowing base. Due to the seasonality of the Company’s business, this may mean that the Company will have greater borrowing availability during the third and fourth quarters of each year. The borrowing capacity under the ABL Agreement will depend, in part, on eligible levels of accounts receivable and inventory that fluctuate regularly. Consequently, the $150.0 million commitment thereunder may not represent actual borrowing capacity.</w:t>
      </w:r>
    </w:p>
    <w:p>
      <w:pPr>
        <w:spacing w:after="0" w:line="17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current and non-current portions of the Company’s Term Loan facility included in the consolidated balance sheets are presented as follows (in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2020</w:t>
            </w:r>
          </w:p>
        </w:tc>
        <w:tc>
          <w:tcPr>
            <w:tcW w:w="300" w:type="dxa"/>
            <w:vAlign w:val="bottom"/>
          </w:tcPr>
          <w:p>
            <w:pPr>
              <w:spacing w:after="0"/>
              <w:rPr>
                <w:sz w:val="18"/>
                <w:szCs w:val="18"/>
                <w:color w:val="auto"/>
              </w:rPr>
            </w:pPr>
          </w:p>
        </w:tc>
        <w:tc>
          <w:tcPr>
            <w:tcW w:w="1980" w:type="dxa"/>
            <w:vAlign w:val="bottom"/>
          </w:tcPr>
          <w:p>
            <w:pPr>
              <w:jc w:val="right"/>
              <w:ind w:right="391"/>
              <w:spacing w:after="0"/>
              <w:rPr>
                <w:sz w:val="20"/>
                <w:szCs w:val="20"/>
                <w:color w:val="auto"/>
              </w:rPr>
            </w:pPr>
            <w:r>
              <w:rPr>
                <w:rFonts w:ascii="Arial" w:cs="Arial" w:eastAsia="Arial" w:hAnsi="Arial"/>
                <w:sz w:val="16"/>
                <w:szCs w:val="16"/>
                <w:b w:val="1"/>
                <w:bCs w:val="1"/>
                <w:color w:val="auto"/>
              </w:rPr>
              <w:t>December 31, 2019</w:t>
            </w:r>
          </w:p>
        </w:tc>
      </w:tr>
      <w:tr>
        <w:trPr>
          <w:trHeight w:val="199"/>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Term Loan facility:</w:t>
            </w:r>
          </w:p>
        </w:tc>
        <w:tc>
          <w:tcPr>
            <w:tcW w:w="300" w:type="dxa"/>
            <w:vAlign w:val="bottom"/>
            <w:tcBorders>
              <w:top w:val="single" w:sz="8" w:color="auto"/>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r>
      <w:tr>
        <w:trPr>
          <w:trHeight w:val="229"/>
        </w:trPr>
        <w:tc>
          <w:tcPr>
            <w:tcW w:w="6420" w:type="dxa"/>
            <w:vAlign w:val="bottom"/>
          </w:tcPr>
          <w:p>
            <w:pPr>
              <w:ind w:left="140"/>
              <w:spacing w:after="0"/>
              <w:rPr>
                <w:sz w:val="20"/>
                <w:szCs w:val="20"/>
                <w:color w:val="auto"/>
              </w:rPr>
            </w:pPr>
            <w:r>
              <w:rPr>
                <w:rFonts w:ascii="Arial" w:cs="Arial" w:eastAsia="Arial" w:hAnsi="Arial"/>
                <w:sz w:val="16"/>
                <w:szCs w:val="16"/>
                <w:color w:val="auto"/>
              </w:rPr>
              <w:t>Term Loan facility payment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2,750</w:t>
            </w:r>
          </w:p>
        </w:tc>
      </w:tr>
      <w:tr>
        <w:trPr>
          <w:trHeight w:val="230"/>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Estimated Excess Cash Flow principal payment</w:t>
            </w:r>
          </w:p>
        </w:tc>
        <w:tc>
          <w:tcPr>
            <w:tcW w:w="3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w:t>
            </w:r>
          </w:p>
        </w:tc>
      </w:tr>
      <w:tr>
        <w:trPr>
          <w:trHeight w:val="230"/>
        </w:trPr>
        <w:tc>
          <w:tcPr>
            <w:tcW w:w="6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Estimated unamortized debt issuance costs</w:t>
            </w:r>
          </w:p>
        </w:tc>
        <w:tc>
          <w:tcPr>
            <w:tcW w:w="3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r>
      <w:tr>
        <w:trPr>
          <w:trHeight w:val="248"/>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portion of Term Loan facility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8,413</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Term Loan facility:</w:t>
            </w:r>
          </w:p>
        </w:tc>
        <w:tc>
          <w:tcPr>
            <w:tcW w:w="3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29"/>
        </w:trPr>
        <w:tc>
          <w:tcPr>
            <w:tcW w:w="6420" w:type="dxa"/>
            <w:vAlign w:val="bottom"/>
          </w:tcPr>
          <w:p>
            <w:pPr>
              <w:ind w:left="140"/>
              <w:spacing w:after="0"/>
              <w:rPr>
                <w:sz w:val="20"/>
                <w:szCs w:val="20"/>
                <w:color w:val="auto"/>
              </w:rPr>
            </w:pPr>
            <w:r>
              <w:rPr>
                <w:rFonts w:ascii="Arial" w:cs="Arial" w:eastAsia="Arial" w:hAnsi="Arial"/>
                <w:sz w:val="16"/>
                <w:szCs w:val="16"/>
                <w:color w:val="auto"/>
              </w:rPr>
              <w:t>Term Loan facility, net of current portion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243,485</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260,293</w:t>
            </w:r>
          </w:p>
        </w:tc>
      </w:tr>
      <w:tr>
        <w:trPr>
          <w:trHeight w:val="230"/>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Estimated unamortized debt issuance costs</w:t>
            </w:r>
          </w:p>
        </w:tc>
        <w:tc>
          <w:tcPr>
            <w:tcW w:w="3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(6,012)</w:t>
            </w:r>
          </w:p>
        </w:tc>
      </w:tr>
      <w:tr>
        <w:trPr>
          <w:trHeight w:val="223"/>
        </w:trPr>
        <w:tc>
          <w:tcPr>
            <w:tcW w:w="6420" w:type="dxa"/>
            <w:vAlign w:val="bottom"/>
          </w:tcPr>
          <w:p>
            <w:pPr>
              <w:ind w:left="20"/>
              <w:spacing w:after="0"/>
              <w:rPr>
                <w:sz w:val="20"/>
                <w:szCs w:val="20"/>
                <w:color w:val="auto"/>
              </w:rPr>
            </w:pPr>
            <w:r>
              <w:rPr>
                <w:rFonts w:ascii="Arial" w:cs="Arial" w:eastAsia="Arial" w:hAnsi="Arial"/>
                <w:sz w:val="16"/>
                <w:szCs w:val="16"/>
                <w:b w:val="1"/>
                <w:bCs w:val="1"/>
                <w:color w:val="auto"/>
              </w:rPr>
              <w:t>Total Non-current portion of Term Loan facility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238,977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254,281</w:t>
            </w:r>
          </w:p>
        </w:tc>
      </w:tr>
      <w:tr>
        <w:trPr>
          <w:trHeight w:val="21"/>
        </w:trPr>
        <w:tc>
          <w:tcPr>
            <w:tcW w:w="6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the future principal payments of the Term Loan are $19.1 million, due in 2021 and $243.5 million, due at loan maturity in 2025.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quarterly principal payments have been satisfied through maturity of the Term Loan by the annual Excess Cash Flow payments.</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17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Borrowings under the revolving credit facility bear interest, at the Company’s option, at one of the following rates: (i) an alternate base rate, defined, for any day, as the greater of the prime rate, a federal funds and overnight bank funding based rate plus 0.5% or one-month LIBOR plus 1.0%, plus a margin of 0.25% to 0.75%, or (ii) LIBOR plus a margin of 1.25% to 1.75%. The respective margins are based upon the Company’s total leverage ratio, as defined in and computed pursuant to the ABL Agreement. The interest rate on outstanding borrowings under the ABL Agreement at December 31, 2020 was 1.52%. In addition, the Company paid a commitment fee that ranged from 0.250% to 0.375% on the unused portion of the ABL Agreement during the year ended December 31, 2020.</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Term Loan facility bears interest, at the Company’s option, at one of the following rates: (i) an alternate base rate, defined, for any day, as the greater of the prime rate, a federal funds and overnight bank funding based rate plus 0.50% or one-month LIBOR plus 1.0%, plus a margin of 2.50% or (ii) LIBOR plus a margin of 3.50%. The interest rate on outstanding borrowings under the Term Loan at December 31, 2020 was 4.5%.</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debt agreements provide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$15.0 million or 10% of the aggregate commitment under the ABL Agreement at any time and (b) ending on the day after such availability has exceeded the greater of $15.0 million or 10% of the aggregate commitment under the ABL Agreement for forty-five (45) consecutive days, the Company is required to maintain a minimum fixed charge coverage ratio of 1.10 to 1.00 as of the last day of any period of four consecutive fiscal quarters.</w:t>
      </w:r>
    </w:p>
    <w:p>
      <w:pPr>
        <w:spacing w:after="0" w:line="1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was in compliance with the covenants of the Debt Agreements at December 31, 2020. The Company expects that it will continue to borrow and repay funds, subject to availability, under the ABL Agreement based on working capital and other corporate needs.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Credit Agreements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2019, a subsidiary of the Company held a credit facility (“HSBC Facility”) with HSBC Bank (China) Company Limited, Shanghai Branch (“HSBC”) for up to $18.0 million Chinese renminbi ($2.6 million). The HSBC Facility was subject to annual renewal and may have been used to fund general working capital needs of the Company’s subsidiary, which is a trading company in the China. Borrowings under the HSBC Facility were guaranteed by the Company and were granted at the sole discretion of HSBC. No borrowings were outstanding under the HSBC Facility at December 31, 2019. The credit facility was not renewed as of December 31,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net total outstanding notional value of interest rate swaps was $100 million at December 31, 2020.</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designated a portion of these interest rate swaps as cash flow hedges of the Company’s exposure to the variability of the payment of interest on a portion of its Term Loan borrowings. The hedge periods of these agreements commenced in April 2018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expire in March 2023. The original notional values are reduced over these periods. The aggregate notional value was $75.0 million at December 31, 2020.</w:t>
      </w:r>
    </w:p>
    <w:p>
      <w:pPr>
        <w:spacing w:after="0" w:line="140"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June 2019, the Company entered into additional interest rate swap agreements, with an aggregate notional value of $25.0 million at December 31, 2020. These non-designated interest rate swaps serve as cash flow hedges of the Company’s exposure to the variability of the payment of interest on a portion of its Term Loan borrowings and expire in February 2025.</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Contracts</w:t>
      </w:r>
    </w:p>
    <w:p>
      <w:pPr>
        <w:spacing w:after="0" w:line="117"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The Company is a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short-term (i.e., 12 months or less) foreign currency forward contracts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 The Company's foreign exchange contracts, that had been designed as hedges in order to apply hedge accounting, matured in April 2020. At December 31, 2020, the Company had no outstanding foreign exchange contracts. The aggregate gross notional values of foreign exchange contracts at December 31, 2019 was $7.3 million.</w:t>
      </w:r>
    </w:p>
    <w:p>
      <w:pPr>
        <w:spacing w:after="0" w:line="200" w:lineRule="exact"/>
        <w:rPr>
          <w:sz w:val="20"/>
          <w:szCs w:val="20"/>
          <w:color w:val="auto"/>
        </w:rPr>
      </w:pPr>
    </w:p>
    <w:p>
      <w:pPr>
        <w:spacing w:after="0" w:line="22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is exposed to market risks, as well as changes in foreign currency exchange rates, as measured against the USD and each other, and changes to credit risk of derivative counterparties. The Company attempts to minimize these risks by primarily using foreign currency forward contracts and by maintaining counterparty credit limits. These hedging activities provide only limited protection against currency exchange and credit risk. Factors that could influence the effectiveness of the Company’s hedging programs include currency markets and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December 31, 2020, the Company does not have any foreign currency forward contract derivatives that are not designated as hedges. These foreign exchange contracts have been designated as hedges in to order to apply hedge accounting.</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of the Company’s derivative financial instruments included in the consolidated balance sheets are presented as follows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6"/>
                <w:szCs w:val="16"/>
                <w:color w:val="auto"/>
              </w:rPr>
            </w:pPr>
          </w:p>
        </w:tc>
      </w:tr>
      <w:tr>
        <w:trPr>
          <w:trHeight w:val="195"/>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4060" w:type="dxa"/>
            <w:vAlign w:val="bottom"/>
            <w:gridSpan w:val="2"/>
          </w:tcPr>
          <w:p>
            <w:pPr>
              <w:ind w:left="1960"/>
              <w:spacing w:after="0"/>
              <w:rPr>
                <w:sz w:val="20"/>
                <w:szCs w:val="20"/>
                <w:color w:val="auto"/>
              </w:rPr>
            </w:pPr>
            <w:r>
              <w:rPr>
                <w:rFonts w:ascii="Arial" w:cs="Arial" w:eastAsia="Arial" w:hAnsi="Arial"/>
                <w:sz w:val="14"/>
                <w:szCs w:val="14"/>
                <w:b w:val="1"/>
                <w:bCs w:val="1"/>
                <w:color w:val="auto"/>
              </w:rPr>
              <w:t>Balance Sheet Location</w:t>
            </w:r>
          </w:p>
        </w:tc>
        <w:tc>
          <w:tcPr>
            <w:tcW w:w="300" w:type="dxa"/>
            <w:vAlign w:val="bottom"/>
          </w:tcPr>
          <w:p>
            <w:pPr>
              <w:spacing w:after="0"/>
              <w:rPr>
                <w:sz w:val="16"/>
                <w:szCs w:val="16"/>
                <w:color w:val="auto"/>
              </w:rPr>
            </w:pPr>
          </w:p>
        </w:tc>
        <w:tc>
          <w:tcPr>
            <w:tcW w:w="960" w:type="dxa"/>
            <w:vAlign w:val="bottom"/>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ind w:right="394"/>
              <w:spacing w:after="0"/>
              <w:rPr>
                <w:sz w:val="20"/>
                <w:szCs w:val="20"/>
                <w:color w:val="auto"/>
              </w:rPr>
            </w:pPr>
            <w:r>
              <w:rPr>
                <w:rFonts w:ascii="Arial" w:cs="Arial" w:eastAsia="Arial" w:hAnsi="Arial"/>
                <w:sz w:val="14"/>
                <w:szCs w:val="14"/>
                <w:b w:val="1"/>
                <w:bCs w:val="1"/>
                <w:color w:val="auto"/>
              </w:rPr>
              <w:t>2019</w:t>
            </w:r>
          </w:p>
        </w:tc>
      </w:tr>
      <w:tr>
        <w:trPr>
          <w:trHeight w:val="229"/>
        </w:trPr>
        <w:tc>
          <w:tcPr>
            <w:tcW w:w="45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Interest rate swaps</w:t>
            </w:r>
          </w:p>
        </w:tc>
        <w:tc>
          <w:tcPr>
            <w:tcW w:w="3960" w:type="dxa"/>
            <w:vAlign w:val="bottom"/>
            <w:tcBorders>
              <w:top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rPr>
              <w:t>Prepaid expenses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30"/>
        </w:trPr>
        <w:tc>
          <w:tcPr>
            <w:tcW w:w="4560" w:type="dxa"/>
            <w:vAlign w:val="bottom"/>
          </w:tcPr>
          <w:p>
            <w:pPr>
              <w:spacing w:after="0"/>
              <w:rPr>
                <w:sz w:val="19"/>
                <w:szCs w:val="19"/>
                <w:color w:val="auto"/>
              </w:rPr>
            </w:pPr>
          </w:p>
        </w:tc>
        <w:tc>
          <w:tcPr>
            <w:tcW w:w="4060" w:type="dxa"/>
            <w:vAlign w:val="bottom"/>
            <w:gridSpan w:val="2"/>
          </w:tcPr>
          <w:p>
            <w:pPr>
              <w:ind w:left="144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1,267</w:t>
            </w:r>
          </w:p>
        </w:tc>
      </w:tr>
      <w:tr>
        <w:trPr>
          <w:trHeight w:val="230"/>
        </w:trPr>
        <w:tc>
          <w:tcPr>
            <w:tcW w:w="456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560" w:type="dxa"/>
            <w:vAlign w:val="bottom"/>
          </w:tcPr>
          <w:p>
            <w:pPr>
              <w:spacing w:after="0"/>
              <w:rPr>
                <w:sz w:val="19"/>
                <w:szCs w:val="19"/>
                <w:color w:val="auto"/>
              </w:rPr>
            </w:pPr>
          </w:p>
        </w:tc>
        <w:tc>
          <w:tcPr>
            <w:tcW w:w="4060" w:type="dxa"/>
            <w:vAlign w:val="bottom"/>
            <w:gridSpan w:val="2"/>
          </w:tcPr>
          <w:p>
            <w:pPr>
              <w:ind w:left="1440"/>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contracts</w:t>
            </w:r>
          </w:p>
        </w:tc>
        <w:tc>
          <w:tcPr>
            <w:tcW w:w="406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555"/>
        </w:trPr>
        <w:tc>
          <w:tcPr>
            <w:tcW w:w="45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24"/>
                <w:szCs w:val="24"/>
                <w:color w:val="auto"/>
              </w:rPr>
            </w:pPr>
          </w:p>
        </w:tc>
      </w:tr>
      <w:tr>
        <w:trPr>
          <w:trHeight w:val="195"/>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4060" w:type="dxa"/>
            <w:vAlign w:val="bottom"/>
            <w:gridSpan w:val="2"/>
          </w:tcPr>
          <w:p>
            <w:pPr>
              <w:ind w:left="1440"/>
              <w:spacing w:after="0"/>
              <w:rPr>
                <w:sz w:val="20"/>
                <w:szCs w:val="20"/>
                <w:color w:val="auto"/>
              </w:rPr>
            </w:pPr>
            <w:r>
              <w:rPr>
                <w:rFonts w:ascii="Arial" w:cs="Arial" w:eastAsia="Arial" w:hAnsi="Arial"/>
                <w:sz w:val="14"/>
                <w:szCs w:val="14"/>
                <w:b w:val="1"/>
                <w:bCs w:val="1"/>
                <w:color w:val="auto"/>
              </w:rPr>
              <w:t>Balance Sheet Location</w:t>
            </w:r>
          </w:p>
        </w:tc>
        <w:tc>
          <w:tcPr>
            <w:tcW w:w="300" w:type="dxa"/>
            <w:vAlign w:val="bottom"/>
          </w:tcPr>
          <w:p>
            <w:pPr>
              <w:spacing w:after="0"/>
              <w:rPr>
                <w:sz w:val="16"/>
                <w:szCs w:val="16"/>
                <w:color w:val="auto"/>
              </w:rPr>
            </w:pPr>
          </w:p>
        </w:tc>
        <w:tc>
          <w:tcPr>
            <w:tcW w:w="960" w:type="dxa"/>
            <w:vAlign w:val="bottom"/>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ind w:right="394"/>
              <w:spacing w:after="0"/>
              <w:rPr>
                <w:sz w:val="20"/>
                <w:szCs w:val="20"/>
                <w:color w:val="auto"/>
              </w:rPr>
            </w:pPr>
            <w:r>
              <w:rPr>
                <w:rFonts w:ascii="Arial" w:cs="Arial" w:eastAsia="Arial" w:hAnsi="Arial"/>
                <w:sz w:val="14"/>
                <w:szCs w:val="14"/>
                <w:b w:val="1"/>
                <w:bCs w:val="1"/>
                <w:color w:val="auto"/>
              </w:rPr>
              <w:t>2019</w:t>
            </w:r>
          </w:p>
        </w:tc>
      </w:tr>
      <w:tr>
        <w:trPr>
          <w:trHeight w:val="229"/>
        </w:trPr>
        <w:tc>
          <w:tcPr>
            <w:tcW w:w="45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Interest rate swaps</w:t>
            </w:r>
          </w:p>
        </w:tc>
        <w:tc>
          <w:tcPr>
            <w:tcW w:w="3960" w:type="dxa"/>
            <w:vAlign w:val="bottom"/>
            <w:tcBorders>
              <w:top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rPr>
              <w:t>Other assets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30"/>
        </w:trPr>
        <w:tc>
          <w:tcPr>
            <w:tcW w:w="4560" w:type="dxa"/>
            <w:vAlign w:val="bottom"/>
          </w:tcPr>
          <w:p>
            <w:pPr>
              <w:spacing w:after="0"/>
              <w:rPr>
                <w:sz w:val="20"/>
                <w:szCs w:val="20"/>
                <w:color w:val="auto"/>
              </w:rPr>
            </w:pPr>
          </w:p>
        </w:tc>
        <w:tc>
          <w:tcPr>
            <w:tcW w:w="4060" w:type="dxa"/>
            <w:vAlign w:val="bottom"/>
            <w:gridSpan w:val="2"/>
          </w:tcPr>
          <w:p>
            <w:pPr>
              <w:ind w:left="1440"/>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fair value of the interest rate swaps have been obtained from the counterparties to the agreements and were based on Level 2 observable inputs using proprietary models and estimates about relevant future market conditions. The fair value of the foreign exchange contracts were based on Level 2 observable inputs using quoted market prices for similar assets in an active market.</w:t>
      </w:r>
    </w:p>
    <w:p>
      <w:pPr>
        <w:spacing w:after="0" w:line="18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counterparties to the derivative financial instruments are major international financial institutions. The Company is exposed to credit risk for the net exchanges under these agreements, but not for the notional amounts. The Company does not anticipate non-performance by any of its counterparties.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0"/>
        <w:spacing w:after="0" w:line="269" w:lineRule="auto"/>
        <w:rPr>
          <w:sz w:val="20"/>
          <w:szCs w:val="20"/>
          <w:color w:val="auto"/>
        </w:rPr>
      </w:pPr>
      <w:r>
        <w:rPr>
          <w:rFonts w:ascii="Arial" w:cs="Arial" w:eastAsia="Arial" w:hAnsi="Arial"/>
          <w:sz w:val="18"/>
          <w:szCs w:val="18"/>
          <w:color w:val="auto"/>
        </w:rPr>
        <w:t>The amounts of the gains and (losses), realized and unrealized, net of taxes, related to the Company’s derivative financial instruments designated as hedging instruments are recognized in other comprehensive (loss) income as follows (in thousands):</w:t>
      </w:r>
    </w:p>
    <w:tbl>
      <w:tblPr>
        <w:tblLayout w:type="fixed"/>
        <w:tblInd w:w="0" w:type="dxa"/>
        <w:tblCellMar>
          <w:top w:w="0" w:type="dxa"/>
          <w:left w:w="0" w:type="dxa"/>
          <w:bottom w:w="0" w:type="dxa"/>
          <w:right w:w="0" w:type="dxa"/>
        </w:tblCellMar>
      </w:tblPr>
      <w:tr>
        <w:trPr>
          <w:trHeight w:val="186"/>
        </w:trPr>
        <w:tc>
          <w:tcPr>
            <w:tcW w:w="7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6"/>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Pr>
          <w:p>
            <w:pPr>
              <w:spacing w:after="0"/>
              <w:rPr>
                <w:sz w:val="16"/>
                <w:szCs w:val="16"/>
                <w:color w:val="auto"/>
              </w:rPr>
            </w:pPr>
          </w:p>
        </w:tc>
      </w:tr>
      <w:tr>
        <w:trPr>
          <w:trHeight w:val="195"/>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r>
      <w:tr>
        <w:trPr>
          <w:trHeight w:val="229"/>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29"/>
        </w:trPr>
        <w:tc>
          <w:tcPr>
            <w:tcW w:w="7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exchange contracts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Realized gains or (losses) on the interest rate swaps are reclassified into earnings as interest expense as the interest expense on the debt is recognized. The Company had no terminated or matured interest rate swaps during the year ended December 31, 2020.</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Realized gains or (losses) on foreign exchange contracts that are reported in other comprehensive income (loss) are reclassified into cost of sales as the underlying inventory purchased is sold.</w:t>
      </w:r>
    </w:p>
    <w:p>
      <w:pPr>
        <w:spacing w:after="0" w:line="6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During the year ended December 31, 2020, the Company reclassified $1.0 million of cash flow hedges in other comprehensive losses to earnings. This comprised of a charge of $1.2 million related to interest rate swaps recognized in interest expense and a gain of $0.2 million related to foreign exchange contracts recognized in cost of sales. At December 31, 2020, the estimated amount of existing losses expected to be reclassified into earnings within the next 12 months was $1.0 million.</w:t>
      </w:r>
    </w:p>
    <w:p>
      <w:pPr>
        <w:spacing w:after="0" w:line="79"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During the year ended December 31, 2019, the Company reclassified $0.2 million of cash flow hedges in other comprehensive losses to earnings. This comprised of $0.3 million related to interest rate swaps recognized in interest expense and a gain of $0.5 million related to foreign exchange contracts recognized in cost of sales.</w:t>
      </w:r>
    </w:p>
    <w:p>
      <w:pPr>
        <w:spacing w:after="0" w:line="184" w:lineRule="exact"/>
        <w:rPr>
          <w:sz w:val="20"/>
          <w:szCs w:val="20"/>
          <w:color w:val="auto"/>
        </w:rPr>
      </w:pPr>
    </w:p>
    <w:p>
      <w:pPr>
        <w:jc w:val="both"/>
        <w:ind w:right="380"/>
        <w:spacing w:after="0" w:line="269" w:lineRule="auto"/>
        <w:rPr>
          <w:sz w:val="20"/>
          <w:szCs w:val="20"/>
          <w:color w:val="auto"/>
        </w:rPr>
      </w:pPr>
      <w:r>
        <w:rPr>
          <w:rFonts w:ascii="Arial" w:cs="Arial" w:eastAsia="Arial" w:hAnsi="Arial"/>
          <w:sz w:val="18"/>
          <w:szCs w:val="18"/>
          <w:color w:val="auto"/>
        </w:rPr>
        <w:t>The amounts of the gains and losses related to the Company’s derivative financial instruments not designated as hedging instruments are recognized in earnings as follows (in thousands):</w:t>
      </w:r>
    </w:p>
    <w:tbl>
      <w:tblPr>
        <w:tblLayout w:type="fixed"/>
        <w:tblInd w:w="0" w:type="dxa"/>
        <w:tblCellMar>
          <w:top w:w="0" w:type="dxa"/>
          <w:left w:w="0" w:type="dxa"/>
          <w:bottom w:w="0" w:type="dxa"/>
          <w:right w:w="0" w:type="dxa"/>
        </w:tblCellMar>
      </w:tblPr>
      <w:tr>
        <w:trPr>
          <w:trHeight w:val="186"/>
        </w:trPr>
        <w:tc>
          <w:tcPr>
            <w:tcW w:w="326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60" w:type="dxa"/>
            <w:vAlign w:val="bottom"/>
          </w:tcPr>
          <w:p>
            <w:pPr>
              <w:ind w:left="20"/>
              <w:spacing w:after="0"/>
              <w:rPr>
                <w:sz w:val="20"/>
                <w:szCs w:val="20"/>
                <w:color w:val="auto"/>
              </w:rPr>
            </w:pPr>
            <w:r>
              <w:rPr>
                <w:rFonts w:ascii="Arial" w:cs="Arial" w:eastAsia="Arial" w:hAnsi="Arial"/>
                <w:sz w:val="14"/>
                <w:szCs w:val="14"/>
                <w:b w:val="1"/>
                <w:bCs w:val="1"/>
                <w:color w:val="auto"/>
                <w:w w:val="94"/>
              </w:rPr>
              <w:t>Derivatives not designated as hedging instruments</w:t>
            </w:r>
          </w:p>
        </w:tc>
        <w:tc>
          <w:tcPr>
            <w:tcW w:w="4600" w:type="dxa"/>
            <w:vAlign w:val="bottom"/>
            <w:gridSpan w:val="2"/>
          </w:tcPr>
          <w:p>
            <w:pPr>
              <w:ind w:left="1500"/>
              <w:spacing w:after="0"/>
              <w:rPr>
                <w:sz w:val="20"/>
                <w:szCs w:val="20"/>
                <w:color w:val="auto"/>
              </w:rPr>
            </w:pPr>
            <w:r>
              <w:rPr>
                <w:rFonts w:ascii="Arial" w:cs="Arial" w:eastAsia="Arial" w:hAnsi="Arial"/>
                <w:sz w:val="14"/>
                <w:szCs w:val="14"/>
                <w:b w:val="1"/>
                <w:bCs w:val="1"/>
                <w:color w:val="auto"/>
              </w:rPr>
              <w:t>Location of Gain or (Loss)</w:t>
            </w:r>
          </w:p>
        </w:tc>
        <w:tc>
          <w:tcPr>
            <w:tcW w:w="260" w:type="dxa"/>
            <w:vAlign w:val="bottom"/>
          </w:tcPr>
          <w:p>
            <w:pPr>
              <w:spacing w:after="0"/>
              <w:rPr>
                <w:sz w:val="16"/>
                <w:szCs w:val="16"/>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9"/>
        </w:trPr>
        <w:tc>
          <w:tcPr>
            <w:tcW w:w="32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Interest rate swaps</w:t>
            </w:r>
          </w:p>
        </w:tc>
        <w:tc>
          <w:tcPr>
            <w:tcW w:w="45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Mark to market gain (loss) on interest rate derivatives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26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Foreign exchange contracts</w:t>
            </w:r>
          </w:p>
        </w:tc>
        <w:tc>
          <w:tcPr>
            <w:tcW w:w="460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Arial" w:cs="Arial" w:eastAsia="Arial" w:hAnsi="Arial"/>
                <w:sz w:val="18"/>
                <w:szCs w:val="18"/>
                <w:color w:val="auto"/>
              </w:rPr>
              <w:t>Selling, general &amp; administrative expense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260" w:type="dxa"/>
            <w:vAlign w:val="bottom"/>
            <w:vMerge w:val="continue"/>
          </w:tcPr>
          <w:p>
            <w:pPr>
              <w:spacing w:after="0"/>
              <w:rPr>
                <w:sz w:val="17"/>
                <w:szCs w:val="17"/>
                <w:color w:val="auto"/>
              </w:rPr>
            </w:pPr>
          </w:p>
        </w:tc>
        <w:tc>
          <w:tcPr>
            <w:tcW w:w="4600" w:type="dxa"/>
            <w:vAlign w:val="bottom"/>
            <w:gridSpan w:val="2"/>
            <w:vMerge w:val="continue"/>
          </w:tcPr>
          <w:p>
            <w:pPr>
              <w:spacing w:after="0"/>
              <w:rPr>
                <w:sz w:val="17"/>
                <w:szCs w:val="17"/>
                <w:color w:val="auto"/>
              </w:rPr>
            </w:pPr>
          </w:p>
        </w:tc>
        <w:tc>
          <w:tcPr>
            <w:tcW w:w="260" w:type="dxa"/>
            <w:vAlign w:val="bottom"/>
          </w:tcPr>
          <w:p>
            <w:pPr>
              <w:jc w:val="right"/>
              <w:ind w:right="50"/>
              <w:spacing w:after="0" w:line="204"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60" w:type="dxa"/>
            <w:vAlign w:val="bottom"/>
          </w:tcPr>
          <w:p>
            <w:pPr>
              <w:jc w:val="right"/>
              <w:ind w:right="50"/>
              <w:spacing w:after="0" w:line="204"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80" w:type="dxa"/>
            <w:vAlign w:val="bottom"/>
          </w:tcPr>
          <w:p>
            <w:pPr>
              <w:jc w:val="right"/>
              <w:ind w:right="70"/>
              <w:spacing w:after="0" w:line="204"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204"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CAPITAL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Dividends were declared in 2020 and 2019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gridSpan w:val="2"/>
          </w:tcPr>
          <w:p>
            <w:pPr>
              <w:ind w:left="20"/>
              <w:spacing w:after="0"/>
              <w:rPr>
                <w:sz w:val="20"/>
                <w:szCs w:val="20"/>
                <w:color w:val="auto"/>
              </w:rPr>
            </w:pPr>
            <w:r>
              <w:rPr>
                <w:rFonts w:ascii="Arial" w:cs="Arial" w:eastAsia="Arial" w:hAnsi="Arial"/>
                <w:sz w:val="14"/>
                <w:szCs w:val="14"/>
                <w:b w:val="1"/>
                <w:bCs w:val="1"/>
                <w:color w:val="auto"/>
              </w:rPr>
              <w:t>Dividend per share</w:t>
            </w:r>
          </w:p>
        </w:tc>
        <w:tc>
          <w:tcPr>
            <w:tcW w:w="2880" w:type="dxa"/>
            <w:vAlign w:val="bottom"/>
            <w:gridSpan w:val="2"/>
          </w:tcPr>
          <w:p>
            <w:pPr>
              <w:ind w:left="840"/>
              <w:spacing w:after="0"/>
              <w:rPr>
                <w:sz w:val="20"/>
                <w:szCs w:val="20"/>
                <w:color w:val="auto"/>
              </w:rPr>
            </w:pPr>
            <w:r>
              <w:rPr>
                <w:rFonts w:ascii="Arial" w:cs="Arial" w:eastAsia="Arial" w:hAnsi="Arial"/>
                <w:sz w:val="14"/>
                <w:szCs w:val="14"/>
                <w:b w:val="1"/>
                <w:bCs w:val="1"/>
                <w:color w:val="auto"/>
              </w:rPr>
              <w:t>Date declared</w:t>
            </w:r>
          </w:p>
        </w:tc>
        <w:tc>
          <w:tcPr>
            <w:tcW w:w="2900" w:type="dxa"/>
            <w:vAlign w:val="bottom"/>
            <w:gridSpan w:val="2"/>
          </w:tcPr>
          <w:p>
            <w:pPr>
              <w:ind w:left="840"/>
              <w:spacing w:after="0"/>
              <w:rPr>
                <w:sz w:val="20"/>
                <w:szCs w:val="20"/>
                <w:color w:val="auto"/>
              </w:rPr>
            </w:pPr>
            <w:r>
              <w:rPr>
                <w:rFonts w:ascii="Arial" w:cs="Arial" w:eastAsia="Arial" w:hAnsi="Arial"/>
                <w:sz w:val="14"/>
                <w:szCs w:val="14"/>
                <w:b w:val="1"/>
                <w:bCs w:val="1"/>
                <w:color w:val="auto"/>
              </w:rPr>
              <w:t>Date of record</w:t>
            </w:r>
          </w:p>
        </w:tc>
        <w:tc>
          <w:tcPr>
            <w:tcW w:w="2560" w:type="dxa"/>
            <w:vAlign w:val="bottom"/>
          </w:tcPr>
          <w:p>
            <w:pPr>
              <w:ind w:left="860"/>
              <w:spacing w:after="0"/>
              <w:rPr>
                <w:sz w:val="20"/>
                <w:szCs w:val="20"/>
                <w:color w:val="auto"/>
              </w:rPr>
            </w:pPr>
            <w:r>
              <w:rPr>
                <w:rFonts w:ascii="Arial" w:cs="Arial" w:eastAsia="Arial" w:hAnsi="Arial"/>
                <w:sz w:val="14"/>
                <w:szCs w:val="14"/>
                <w:b w:val="1"/>
                <w:bCs w:val="1"/>
                <w:color w:val="auto"/>
              </w:rPr>
              <w:t>Payment date</w:t>
            </w:r>
          </w:p>
        </w:tc>
      </w:tr>
      <w:tr>
        <w:trPr>
          <w:trHeight w:val="229"/>
        </w:trPr>
        <w:tc>
          <w:tcPr>
            <w:tcW w:w="2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$0.0425</w:t>
            </w:r>
          </w:p>
        </w:tc>
        <w:tc>
          <w:tcPr>
            <w:tcW w:w="340" w:type="dxa"/>
            <w:vAlign w:val="bottom"/>
            <w:tcBorders>
              <w:top w:val="single" w:sz="8" w:color="CCEEFF"/>
            </w:tcBorders>
            <w:shd w:val="clear" w:color="auto" w:fill="CCEEFF"/>
          </w:tcPr>
          <w:p>
            <w:pPr>
              <w:spacing w:after="0"/>
              <w:rPr>
                <w:sz w:val="19"/>
                <w:szCs w:val="19"/>
                <w:color w:val="auto"/>
              </w:rPr>
            </w:pPr>
          </w:p>
        </w:tc>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12, 2019</w:t>
            </w:r>
          </w:p>
        </w:tc>
        <w:tc>
          <w:tcPr>
            <w:tcW w:w="340" w:type="dxa"/>
            <w:vAlign w:val="bottom"/>
            <w:tcBorders>
              <w:top w:val="single" w:sz="8" w:color="CCEEFF"/>
            </w:tcBorders>
            <w:shd w:val="clear" w:color="auto" w:fill="CCEEFF"/>
          </w:tcPr>
          <w:p>
            <w:pPr>
              <w:spacing w:after="0"/>
              <w:rPr>
                <w:sz w:val="19"/>
                <w:szCs w:val="19"/>
                <w:color w:val="auto"/>
              </w:rPr>
            </w:pPr>
          </w:p>
        </w:tc>
        <w:tc>
          <w:tcPr>
            <w:tcW w:w="2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 1, 2019</w:t>
            </w:r>
          </w:p>
        </w:tc>
        <w:tc>
          <w:tcPr>
            <w:tcW w:w="340" w:type="dxa"/>
            <w:vAlign w:val="bottom"/>
            <w:tcBorders>
              <w:top w:val="single" w:sz="8" w:color="CCEEFF"/>
            </w:tcBorders>
            <w:shd w:val="clear" w:color="auto" w:fill="CCEEFF"/>
          </w:tcPr>
          <w:p>
            <w:pPr>
              <w:spacing w:after="0"/>
              <w:rPr>
                <w:sz w:val="19"/>
                <w:szCs w:val="19"/>
                <w:color w:val="auto"/>
              </w:rPr>
            </w:pPr>
          </w:p>
        </w:tc>
        <w:tc>
          <w:tcPr>
            <w:tcW w:w="2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 15, 2019</w:t>
            </w: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$0.0425</w:t>
            </w:r>
          </w:p>
        </w:tc>
        <w:tc>
          <w:tcPr>
            <w:tcW w:w="34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June 27, 2019</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August 1, 2019</w:t>
            </w:r>
          </w:p>
        </w:tc>
        <w:tc>
          <w:tcPr>
            <w:tcW w:w="2560" w:type="dxa"/>
            <w:vAlign w:val="bottom"/>
          </w:tcPr>
          <w:p>
            <w:pPr>
              <w:ind w:left="20"/>
              <w:spacing w:after="0"/>
              <w:rPr>
                <w:sz w:val="20"/>
                <w:szCs w:val="20"/>
                <w:color w:val="auto"/>
              </w:rPr>
            </w:pPr>
            <w:r>
              <w:rPr>
                <w:rFonts w:ascii="Arial" w:cs="Arial" w:eastAsia="Arial" w:hAnsi="Arial"/>
                <w:sz w:val="18"/>
                <w:szCs w:val="18"/>
                <w:color w:val="auto"/>
              </w:rPr>
              <w:t>August 15, 2019</w:t>
            </w: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$0.0425</w:t>
            </w:r>
          </w:p>
        </w:tc>
        <w:tc>
          <w:tcPr>
            <w:tcW w:w="34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6, 2019</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1, 2019</w:t>
            </w:r>
          </w:p>
        </w:tc>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November 15, 2019</w:t>
            </w: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$0.0425</w:t>
            </w:r>
          </w:p>
        </w:tc>
        <w:tc>
          <w:tcPr>
            <w:tcW w:w="34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November 7, 2019</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January 31, 2020</w:t>
            </w:r>
          </w:p>
        </w:tc>
        <w:tc>
          <w:tcPr>
            <w:tcW w:w="2560" w:type="dxa"/>
            <w:vAlign w:val="bottom"/>
          </w:tcPr>
          <w:p>
            <w:pPr>
              <w:ind w:left="20"/>
              <w:spacing w:after="0"/>
              <w:rPr>
                <w:sz w:val="20"/>
                <w:szCs w:val="20"/>
                <w:color w:val="auto"/>
              </w:rPr>
            </w:pPr>
            <w:r>
              <w:rPr>
                <w:rFonts w:ascii="Arial" w:cs="Arial" w:eastAsia="Arial" w:hAnsi="Arial"/>
                <w:sz w:val="18"/>
                <w:szCs w:val="18"/>
                <w:color w:val="auto"/>
              </w:rPr>
              <w:t>February 14, 2020</w:t>
            </w:r>
          </w:p>
        </w:tc>
      </w:tr>
      <w:tr>
        <w:trPr>
          <w:trHeight w:val="229"/>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$0.0425</w:t>
            </w:r>
          </w:p>
        </w:tc>
        <w:tc>
          <w:tcPr>
            <w:tcW w:w="34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10, 2020</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16, 2020</w:t>
            </w:r>
          </w:p>
        </w:tc>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16, 2020</w:t>
            </w: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$0.0425</w:t>
            </w:r>
          </w:p>
        </w:tc>
        <w:tc>
          <w:tcPr>
            <w:tcW w:w="34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June 25, 2020</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August 3, 2020</w:t>
            </w:r>
          </w:p>
        </w:tc>
        <w:tc>
          <w:tcPr>
            <w:tcW w:w="2560" w:type="dxa"/>
            <w:vAlign w:val="bottom"/>
          </w:tcPr>
          <w:p>
            <w:pPr>
              <w:ind w:left="20"/>
              <w:spacing w:after="0"/>
              <w:rPr>
                <w:sz w:val="20"/>
                <w:szCs w:val="20"/>
                <w:color w:val="auto"/>
              </w:rPr>
            </w:pPr>
            <w:r>
              <w:rPr>
                <w:rFonts w:ascii="Arial" w:cs="Arial" w:eastAsia="Arial" w:hAnsi="Arial"/>
                <w:sz w:val="18"/>
                <w:szCs w:val="18"/>
                <w:color w:val="auto"/>
              </w:rPr>
              <w:t>August 17, 2020</w:t>
            </w: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$0.0425</w:t>
            </w:r>
          </w:p>
        </w:tc>
        <w:tc>
          <w:tcPr>
            <w:tcW w:w="34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4, 2020</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2, 2020</w:t>
            </w:r>
          </w:p>
        </w:tc>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November 16, 2020</w:t>
            </w: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$0.0425</w:t>
            </w:r>
          </w:p>
        </w:tc>
        <w:tc>
          <w:tcPr>
            <w:tcW w:w="340" w:type="dxa"/>
            <w:vAlign w:val="bottom"/>
          </w:tcPr>
          <w:p>
            <w:pPr>
              <w:spacing w:after="0"/>
              <w:rPr>
                <w:sz w:val="20"/>
                <w:szCs w:val="20"/>
                <w:color w:val="auto"/>
              </w:rPr>
            </w:pP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November 3, 2020</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January 29, 2021</w:t>
            </w:r>
          </w:p>
        </w:tc>
        <w:tc>
          <w:tcPr>
            <w:tcW w:w="2560" w:type="dxa"/>
            <w:vAlign w:val="bottom"/>
          </w:tcPr>
          <w:p>
            <w:pPr>
              <w:ind w:left="20"/>
              <w:spacing w:after="0"/>
              <w:rPr>
                <w:sz w:val="20"/>
                <w:szCs w:val="20"/>
                <w:color w:val="auto"/>
              </w:rPr>
            </w:pPr>
            <w:r>
              <w:rPr>
                <w:rFonts w:ascii="Arial" w:cs="Arial" w:eastAsia="Arial" w:hAnsi="Arial"/>
                <w:sz w:val="18"/>
                <w:szCs w:val="18"/>
                <w:color w:val="auto"/>
              </w:rPr>
              <w:t>February 12, 2021</w:t>
            </w:r>
          </w:p>
        </w:tc>
      </w:tr>
    </w:tbl>
    <w:p>
      <w:pPr>
        <w:spacing w:after="0" w:line="20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On March 9, 2021, the Board of Directors declared a quarterly dividend of $0.0425 per share payable on May 17, 2021 to shareholders of record on May 3,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444444"/>
        </w:rPr>
        <w:t>F</w:t>
      </w:r>
      <w:r>
        <w:rPr>
          <w:rFonts w:ascii="Arial" w:cs="Arial" w:eastAsia="Arial" w:hAnsi="Arial"/>
          <w:sz w:val="16"/>
          <w:szCs w:val="16"/>
          <w:color w:val="000000"/>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April 30, 2013, Lifetime’s Board of Directors authorized the repurchase of up to $10.0 million of the Company’s common stock. The repurchase authorization permits the Company to effect repurchases from time to time through open market purchases and privately negotiated transactions. No shares were repurchased during the years ended December 31, 2020, 2019 and 2018.</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is authorized to issue 100 shares of Series A Preferred Stock and 2,000,000 shares of Series B Preferred Stock, none of which has been issued or is outstanding at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plan</w:t>
      </w:r>
    </w:p>
    <w:p>
      <w:pPr>
        <w:spacing w:after="0" w:line="12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Company’s Amended and Restated 2000 Long-Term Incentive Plan (the “Plan”) provides for the granting of awards of up to 7,037,500 shares of common stock. These shares of the Company’s common stock are available for grants to directors, officers, employees, consultants and service providers and affiliates in the form of stock options or other equity-based awards. The Plan authorizes the Board of Directors of the Company, or a duly appointed committee thereof, to issue incentive stock options, non-qualified options, restricted stock, performance-based awards and other stock-based awards. Options that have been granted under the Plan expire over a range of 5 years to 10 years from the date of grant and vest over a range of up to 4 years from the date of grant. Shares of restricted stock that have been granted under the Plan vest over a range of up to 4 years from the date of grant. Performance-based awards that have been granted under the Plan vest after 3 years based upon the attainment of specified performance goals. On June 25, 2020, the shareholders of the Company approved an amendment and restatement of the Company’s Amended and Restated 2000 Long Term Incentive Plan (the “Plan”). The amendment and restatement of the Plan revised the terms and conditions of the Plan to, among other things, increase the shares available for grant under the Plan by 850,000 shares. As of December 31, 2020, there were 780,315 shares available for the grant of awards under the Plan.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and related information for the three years ended December 31, 2020,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112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5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remaining</w:t>
            </w:r>
          </w:p>
        </w:tc>
        <w:tc>
          <w:tcPr>
            <w:tcW w:w="140" w:type="dxa"/>
            <w:vAlign w:val="bottom"/>
          </w:tcPr>
          <w:p>
            <w:pPr>
              <w:spacing w:after="0"/>
              <w:rPr>
                <w:sz w:val="11"/>
                <w:szCs w:val="11"/>
                <w:color w:val="auto"/>
              </w:rPr>
            </w:pPr>
          </w:p>
        </w:tc>
        <w:tc>
          <w:tcPr>
            <w:tcW w:w="1120" w:type="dxa"/>
            <w:vAlign w:val="bottom"/>
          </w:tcPr>
          <w:p>
            <w:pPr>
              <w:jc w:val="center"/>
              <w:ind w:right="82"/>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35"/>
        </w:trPr>
        <w:tc>
          <w:tcPr>
            <w:tcW w:w="5860" w:type="dxa"/>
            <w:vAlign w:val="bottom"/>
          </w:tcPr>
          <w:p>
            <w:pPr>
              <w:spacing w:after="0"/>
              <w:rPr>
                <w:sz w:val="11"/>
                <w:szCs w:val="11"/>
                <w:color w:val="auto"/>
              </w:rPr>
            </w:pPr>
          </w:p>
        </w:tc>
        <w:tc>
          <w:tcPr>
            <w:tcW w:w="12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5"/>
              </w:rPr>
              <w:t>exercise</w:t>
            </w: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1"/>
                <w:szCs w:val="11"/>
                <w:color w:val="auto"/>
              </w:rPr>
            </w:pPr>
          </w:p>
        </w:tc>
        <w:tc>
          <w:tcPr>
            <w:tcW w:w="1120" w:type="dxa"/>
            <w:vAlign w:val="bottom"/>
          </w:tcPr>
          <w:p>
            <w:pPr>
              <w:jc w:val="center"/>
              <w:ind w:right="82"/>
              <w:spacing w:after="0" w:line="135" w:lineRule="exact"/>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88"/>
        </w:trPr>
        <w:tc>
          <w:tcPr>
            <w:tcW w:w="58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price</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life (years)</w:t>
            </w:r>
          </w:p>
        </w:tc>
        <w:tc>
          <w:tcPr>
            <w:tcW w:w="140" w:type="dxa"/>
            <w:vAlign w:val="bottom"/>
          </w:tcPr>
          <w:p>
            <w:pPr>
              <w:spacing w:after="0"/>
              <w:rPr>
                <w:sz w:val="16"/>
                <w:szCs w:val="16"/>
                <w:color w:val="auto"/>
              </w:rPr>
            </w:pPr>
          </w:p>
        </w:tc>
        <w:tc>
          <w:tcPr>
            <w:tcW w:w="1120" w:type="dxa"/>
            <w:vAlign w:val="bottom"/>
          </w:tcPr>
          <w:p>
            <w:pPr>
              <w:jc w:val="center"/>
              <w:ind w:right="82"/>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4"/>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December 31, 2017</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1,456,200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360"/>
              <w:spacing w:after="0"/>
              <w:rPr>
                <w:sz w:val="20"/>
                <w:szCs w:val="20"/>
                <w:color w:val="auto"/>
              </w:rPr>
            </w:pPr>
            <w:r>
              <w:rPr>
                <w:rFonts w:ascii="Arial" w:cs="Arial" w:eastAsia="Arial" w:hAnsi="Arial"/>
                <w:sz w:val="18"/>
                <w:szCs w:val="18"/>
                <w:color w:val="auto"/>
              </w:rPr>
              <w:t>Grants</w:t>
            </w:r>
          </w:p>
        </w:tc>
        <w:tc>
          <w:tcPr>
            <w:tcW w:w="1260" w:type="dxa"/>
            <w:vAlign w:val="bottom"/>
          </w:tcPr>
          <w:p>
            <w:pPr>
              <w:jc w:val="right"/>
              <w:spacing w:after="0"/>
              <w:rPr>
                <w:sz w:val="20"/>
                <w:szCs w:val="20"/>
                <w:color w:val="auto"/>
              </w:rPr>
            </w:pPr>
            <w:r>
              <w:rPr>
                <w:rFonts w:ascii="Arial" w:cs="Arial" w:eastAsia="Arial" w:hAnsi="Arial"/>
                <w:sz w:val="18"/>
                <w:szCs w:val="18"/>
                <w:color w:val="auto"/>
              </w:rPr>
              <w:t>205,750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13.56</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360"/>
              <w:spacing w:after="0"/>
              <w:rPr>
                <w:sz w:val="20"/>
                <w:szCs w:val="20"/>
                <w:color w:val="auto"/>
              </w:rPr>
            </w:pPr>
            <w:r>
              <w:rPr>
                <w:rFonts w:ascii="Arial" w:cs="Arial" w:eastAsia="Arial" w:hAnsi="Arial"/>
                <w:sz w:val="18"/>
                <w:szCs w:val="18"/>
                <w:color w:val="auto"/>
              </w:rPr>
              <w:t>Cancellations</w:t>
            </w:r>
          </w:p>
        </w:tc>
        <w:tc>
          <w:tcPr>
            <w:tcW w:w="1260" w:type="dxa"/>
            <w:vAlign w:val="bottom"/>
          </w:tcPr>
          <w:p>
            <w:pPr>
              <w:jc w:val="right"/>
              <w:spacing w:after="0"/>
              <w:rPr>
                <w:sz w:val="20"/>
                <w:szCs w:val="20"/>
                <w:color w:val="auto"/>
              </w:rPr>
            </w:pPr>
            <w:r>
              <w:rPr>
                <w:rFonts w:ascii="Arial" w:cs="Arial" w:eastAsia="Arial" w:hAnsi="Arial"/>
                <w:sz w:val="18"/>
                <w:szCs w:val="18"/>
                <w:color w:val="auto"/>
              </w:rPr>
              <w:t>(22,375)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16.95</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Expirations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Options outstanding at December 31, 2018</w:t>
            </w:r>
          </w:p>
        </w:tc>
        <w:tc>
          <w:tcPr>
            <w:tcW w:w="1260" w:type="dxa"/>
            <w:vAlign w:val="bottom"/>
          </w:tcPr>
          <w:p>
            <w:pPr>
              <w:jc w:val="right"/>
              <w:spacing w:after="0"/>
              <w:rPr>
                <w:sz w:val="20"/>
                <w:szCs w:val="20"/>
                <w:color w:val="auto"/>
              </w:rPr>
            </w:pPr>
            <w:r>
              <w:rPr>
                <w:rFonts w:ascii="Arial" w:cs="Arial" w:eastAsia="Arial" w:hAnsi="Arial"/>
                <w:sz w:val="18"/>
                <w:szCs w:val="18"/>
                <w:color w:val="auto"/>
              </w:rPr>
              <w:t>1,548,825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360"/>
              <w:spacing w:after="0"/>
              <w:rPr>
                <w:sz w:val="20"/>
                <w:szCs w:val="20"/>
                <w:color w:val="auto"/>
              </w:rPr>
            </w:pPr>
            <w:r>
              <w:rPr>
                <w:rFonts w:ascii="Arial" w:cs="Arial" w:eastAsia="Arial" w:hAnsi="Arial"/>
                <w:sz w:val="18"/>
                <w:szCs w:val="18"/>
                <w:color w:val="auto"/>
              </w:rPr>
              <w:t>Exercises</w:t>
            </w:r>
          </w:p>
        </w:tc>
        <w:tc>
          <w:tcPr>
            <w:tcW w:w="1260" w:type="dxa"/>
            <w:vAlign w:val="bottom"/>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Cancellations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Expirations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(242,375)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December 31, 2019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1,508,325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360"/>
              <w:spacing w:after="0"/>
              <w:rPr>
                <w:sz w:val="20"/>
                <w:szCs w:val="20"/>
                <w:color w:val="auto"/>
              </w:rPr>
            </w:pPr>
            <w:r>
              <w:rPr>
                <w:rFonts w:ascii="Arial" w:cs="Arial" w:eastAsia="Arial" w:hAnsi="Arial"/>
                <w:sz w:val="18"/>
                <w:szCs w:val="18"/>
                <w:color w:val="auto"/>
              </w:rPr>
              <w:t>Grants</w:t>
            </w:r>
          </w:p>
        </w:tc>
        <w:tc>
          <w:tcPr>
            <w:tcW w:w="1260" w:type="dxa"/>
            <w:vAlign w:val="bottom"/>
          </w:tcPr>
          <w:p>
            <w:pPr>
              <w:jc w:val="right"/>
              <w:spacing w:after="0"/>
              <w:rPr>
                <w:sz w:val="20"/>
                <w:szCs w:val="20"/>
                <w:color w:val="auto"/>
              </w:rPr>
            </w:pPr>
            <w:r>
              <w:rPr>
                <w:rFonts w:ascii="Arial" w:cs="Arial" w:eastAsia="Arial" w:hAnsi="Arial"/>
                <w:sz w:val="18"/>
                <w:szCs w:val="18"/>
                <w:color w:val="auto"/>
              </w:rPr>
              <w:t>37,500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360"/>
              <w:spacing w:after="0"/>
              <w:rPr>
                <w:sz w:val="20"/>
                <w:szCs w:val="20"/>
                <w:color w:val="auto"/>
              </w:rPr>
            </w:pPr>
            <w:r>
              <w:rPr>
                <w:rFonts w:ascii="Arial" w:cs="Arial" w:eastAsia="Arial" w:hAnsi="Arial"/>
                <w:sz w:val="18"/>
                <w:szCs w:val="18"/>
                <w:color w:val="auto"/>
              </w:rPr>
              <w:t>Cancellations</w:t>
            </w:r>
          </w:p>
        </w:tc>
        <w:tc>
          <w:tcPr>
            <w:tcW w:w="1260" w:type="dxa"/>
            <w:vAlign w:val="bottom"/>
          </w:tcPr>
          <w:p>
            <w:pPr>
              <w:jc w:val="right"/>
              <w:spacing w:after="0"/>
              <w:rPr>
                <w:sz w:val="20"/>
                <w:szCs w:val="20"/>
                <w:color w:val="auto"/>
              </w:rPr>
            </w:pPr>
            <w:r>
              <w:rPr>
                <w:rFonts w:ascii="Arial" w:cs="Arial" w:eastAsia="Arial" w:hAnsi="Arial"/>
                <w:sz w:val="18"/>
                <w:szCs w:val="18"/>
                <w:color w:val="auto"/>
              </w:rPr>
              <w:t>(14,313)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11.09</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Expirations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Options outstanding at December 31, 2020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1,286,900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 at December 31, 2020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986,607</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aggregate intrinsic value in the table above represents the total pre-tax intrinsic value that would have been received by the option holders had all option holders exercised their exercisable in-the-money stock options on December 31, 2020. The intrinsic value is</w:t>
      </w:r>
    </w:p>
    <w:p>
      <w:pPr>
        <w:sectPr>
          <w:pgSz w:w="11900" w:h="16838" w:orient="portrait"/>
          <w:cols w:equalWidth="0" w:num="1">
            <w:col w:w="11220"/>
          </w:cols>
          <w:pgMar w:left="320" w:top="121" w:right="359" w:bottom="1440" w:gutter="0" w:footer="0" w:header="0"/>
        </w:sect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444444"/>
        </w:rPr>
        <w:t>F</w:t>
      </w:r>
      <w:r>
        <w:rPr>
          <w:rFonts w:ascii="Arial" w:cs="Arial" w:eastAsia="Arial" w:hAnsi="Arial"/>
          <w:sz w:val="16"/>
          <w:szCs w:val="16"/>
          <w:color w:val="00000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calculated for each in-the-money stock option as the difference between the closing price of the Company’s common stock on December 31, 2020 and the exercise price.</w:t>
      </w:r>
    </w:p>
    <w:p>
      <w:pPr>
        <w:spacing w:after="0" w:line="17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total intrinsic value of those stock options that were exercised in the year ended December 31, 2020 was less than $0.1 million. The total intrinsic values of those stock options that were exercised in the years ended December 31, 2019 and 2018 were $0.3 million and $0.4 million, respectively. The intrinsic value of a stock option that is exercised is calculated at the date of exercise.</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Total unrecognized stock option compensation expense at December 31, 2020, before the effect of income taxes, was $0.6 million and is expected to be recognized over a weighted-average period of 1.3 years.</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values stock options using the Black-Scholes option valuation model. The Black-Scholes option valuation model, as well as other available models, was developed for use in estimating the fair value of traded options, which have no vesting restrictions and are fully transferable. The Black-Scholes option valuation model requires the input of highly subjective assumptions including the expected stock price volatility and risk-free interest rate. Because the Company’s stock options have characteristics significantly different from those of traded options, changes in the subjective input assumptions can materially affect the fair value estimates of the Company’s stock options. The weighted-average per share grant date fair value of stock options granted during the years ended December 31, 2020, 2019 and 2018, was $2.26, $2.77 and $4.47,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for these stock options were estimated at the dates of grant using the following weighted-average assumptions: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gridSpan w:val="2"/>
          </w:tcPr>
          <w:p>
            <w:pPr>
              <w:ind w:left="7440"/>
              <w:spacing w:after="0"/>
              <w:rPr>
                <w:sz w:val="20"/>
                <w:szCs w:val="20"/>
                <w:color w:val="auto"/>
              </w:rPr>
            </w:pPr>
            <w:r>
              <w:rPr>
                <w:rFonts w:ascii="Arial" w:cs="Arial" w:eastAsia="Arial" w:hAnsi="Arial"/>
                <w:sz w:val="14"/>
                <w:szCs w:val="14"/>
                <w:b w:val="1"/>
                <w:bCs w:val="1"/>
                <w:color w:val="auto"/>
                <w:w w:val="89"/>
              </w:rPr>
              <w:t>2020</w:t>
            </w: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29"/>
        </w:trPr>
        <w:tc>
          <w:tcPr>
            <w:tcW w:w="6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Historical volatility</w:t>
            </w:r>
          </w:p>
        </w:tc>
        <w:tc>
          <w:tcPr>
            <w:tcW w:w="8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30"/>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Expected term (years)</w:t>
            </w:r>
          </w:p>
        </w:tc>
        <w:tc>
          <w:tcPr>
            <w:tcW w:w="5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0.45 %</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1.82 %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2.72 %</w:t>
            </w:r>
          </w:p>
        </w:tc>
      </w:tr>
      <w:tr>
        <w:trPr>
          <w:trHeight w:val="230"/>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520" w:type="dxa"/>
            <w:vAlign w:val="bottom"/>
          </w:tcPr>
          <w:p>
            <w:pPr>
              <w:jc w:val="right"/>
              <w:spacing w:after="0"/>
              <w:rPr>
                <w:sz w:val="20"/>
                <w:szCs w:val="20"/>
                <w:color w:val="auto"/>
              </w:rPr>
            </w:pPr>
            <w:r>
              <w:rPr>
                <w:rFonts w:ascii="Arial" w:cs="Arial" w:eastAsia="Arial" w:hAnsi="Arial"/>
                <w:sz w:val="18"/>
                <w:szCs w:val="18"/>
                <w:color w:val="auto"/>
                <w:w w:val="85"/>
              </w:rPr>
              <w:t>2.67 %</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9"/>
              </w:rPr>
              <w:t>1.80 %</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1.22 %</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restricted stock activity and related information for the three years ended December 31, 2020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35"/>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8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center"/>
              <w:ind w:right="115"/>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8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center"/>
              <w:ind w:right="135"/>
              <w:spacing w:after="0" w:line="135" w:lineRule="exact"/>
              <w:rPr>
                <w:sz w:val="20"/>
                <w:szCs w:val="20"/>
                <w:color w:val="auto"/>
              </w:rPr>
            </w:pPr>
            <w:r>
              <w:rPr>
                <w:rFonts w:ascii="Arial" w:cs="Arial" w:eastAsia="Arial" w:hAnsi="Arial"/>
                <w:sz w:val="14"/>
                <w:szCs w:val="14"/>
                <w:b w:val="1"/>
                <w:bCs w:val="1"/>
                <w:color w:val="auto"/>
                <w:w w:val="97"/>
              </w:rPr>
              <w:t>grant</w:t>
            </w:r>
          </w:p>
        </w:tc>
        <w:tc>
          <w:tcPr>
            <w:tcW w:w="0" w:type="dxa"/>
            <w:vAlign w:val="bottom"/>
          </w:tcPr>
          <w:p>
            <w:pPr>
              <w:spacing w:after="0"/>
              <w:rPr>
                <w:sz w:val="1"/>
                <w:szCs w:val="1"/>
                <w:color w:val="auto"/>
              </w:rPr>
            </w:pPr>
          </w:p>
        </w:tc>
      </w:tr>
      <w:tr>
        <w:trPr>
          <w:trHeight w:val="135"/>
        </w:trPr>
        <w:tc>
          <w:tcPr>
            <w:tcW w:w="8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center"/>
              <w:ind w:right="135"/>
              <w:spacing w:after="0" w:line="135" w:lineRule="exact"/>
              <w:rPr>
                <w:sz w:val="20"/>
                <w:szCs w:val="20"/>
                <w:color w:val="auto"/>
              </w:rPr>
            </w:pPr>
            <w:r>
              <w:rPr>
                <w:rFonts w:ascii="Arial" w:cs="Arial" w:eastAsia="Arial" w:hAnsi="Arial"/>
                <w:sz w:val="14"/>
                <w:szCs w:val="14"/>
                <w:b w:val="1"/>
                <w:bCs w:val="1"/>
                <w:color w:val="auto"/>
                <w:w w:val="90"/>
              </w:rPr>
              <w:t>date</w:t>
            </w:r>
          </w:p>
        </w:tc>
        <w:tc>
          <w:tcPr>
            <w:tcW w:w="0" w:type="dxa"/>
            <w:vAlign w:val="bottom"/>
          </w:tcPr>
          <w:p>
            <w:pPr>
              <w:spacing w:after="0"/>
              <w:rPr>
                <w:sz w:val="1"/>
                <w:szCs w:val="1"/>
                <w:color w:val="auto"/>
              </w:rPr>
            </w:pPr>
          </w:p>
        </w:tc>
      </w:tr>
      <w:tr>
        <w:trPr>
          <w:trHeight w:val="188"/>
        </w:trPr>
        <w:tc>
          <w:tcPr>
            <w:tcW w:w="8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24"/>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restricted shares, December 31, 2017</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Grants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223,884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Cancellations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restricted shares, December 31, 2018</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Grants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439,747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Cancellations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restricted shares, December 31, 2019</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Grants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534,940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Cancellations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restricted shares, December 31, 2020</w:t>
            </w: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795,587</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Total unrecognized compensation expense remaining (in thousands)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20" w:type="dxa"/>
            <w:vAlign w:val="bottom"/>
            <w:vMerge w:val="continue"/>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3,403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years expected to be recognized over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restricted stock that vested during the year ended December 31, 2020 was $2.3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shares</w:t>
      </w:r>
    </w:p>
    <w:p>
      <w:pPr>
        <w:spacing w:after="0" w:line="121"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Each performance award represents the right to receive up to 150% of the target number of shares of common stock. The number of shares of common stock earned will be determined based on the attainment of specified performance goals at the end of the performance period, as determined by the Compensation Committee of the Board of Directors. The shares are subject to the terms and conditions of the Plan.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performance-based award activity and related information for the three years ended December 31, 2020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55"/>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35"/>
        </w:trPr>
        <w:tc>
          <w:tcPr>
            <w:tcW w:w="8400" w:type="dxa"/>
            <w:vAlign w:val="bottom"/>
          </w:tcPr>
          <w:p>
            <w:pPr>
              <w:spacing w:after="0"/>
              <w:rPr>
                <w:sz w:val="11"/>
                <w:szCs w:val="11"/>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Performance -</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55"/>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840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95"/>
              <w:spacing w:after="0" w:line="135" w:lineRule="exact"/>
              <w:rPr>
                <w:sz w:val="20"/>
                <w:szCs w:val="20"/>
                <w:color w:val="auto"/>
              </w:rPr>
            </w:pPr>
            <w:r>
              <w:rPr>
                <w:rFonts w:ascii="Arial" w:cs="Arial" w:eastAsia="Arial" w:hAnsi="Arial"/>
                <w:sz w:val="14"/>
                <w:szCs w:val="14"/>
                <w:b w:val="1"/>
                <w:bCs w:val="1"/>
                <w:color w:val="auto"/>
                <w:w w:val="91"/>
              </w:rPr>
              <w:t>grant</w:t>
            </w:r>
          </w:p>
        </w:tc>
        <w:tc>
          <w:tcPr>
            <w:tcW w:w="0" w:type="dxa"/>
            <w:vAlign w:val="bottom"/>
          </w:tcPr>
          <w:p>
            <w:pPr>
              <w:spacing w:after="0"/>
              <w:rPr>
                <w:sz w:val="1"/>
                <w:szCs w:val="1"/>
                <w:color w:val="auto"/>
              </w:rPr>
            </w:pPr>
          </w:p>
        </w:tc>
      </w:tr>
      <w:tr>
        <w:trPr>
          <w:trHeight w:val="135"/>
        </w:trPr>
        <w:tc>
          <w:tcPr>
            <w:tcW w:w="8400" w:type="dxa"/>
            <w:vAlign w:val="bottom"/>
          </w:tcPr>
          <w:p>
            <w:pPr>
              <w:spacing w:after="0"/>
              <w:rPr>
                <w:sz w:val="11"/>
                <w:szCs w:val="11"/>
                <w:color w:val="auto"/>
              </w:rPr>
            </w:pPr>
          </w:p>
        </w:tc>
        <w:tc>
          <w:tcPr>
            <w:tcW w:w="860" w:type="dxa"/>
            <w:vAlign w:val="bottom"/>
          </w:tcPr>
          <w:p>
            <w:pPr>
              <w:jc w:val="center"/>
              <w:ind w:left="433"/>
              <w:spacing w:after="0" w:line="135" w:lineRule="exact"/>
              <w:rPr>
                <w:sz w:val="20"/>
                <w:szCs w:val="20"/>
                <w:color w:val="auto"/>
              </w:rPr>
            </w:pPr>
            <w:r>
              <w:rPr>
                <w:rFonts w:ascii="Arial" w:cs="Arial" w:eastAsia="Arial" w:hAnsi="Arial"/>
                <w:sz w:val="14"/>
                <w:szCs w:val="14"/>
                <w:b w:val="1"/>
                <w:bCs w:val="1"/>
                <w:color w:val="auto"/>
                <w:w w:val="83"/>
              </w:rPr>
              <w:t>based</w:t>
            </w:r>
          </w:p>
        </w:tc>
        <w:tc>
          <w:tcPr>
            <w:tcW w:w="500" w:type="dxa"/>
            <w:vAlign w:val="bottom"/>
            <w:vMerge w:val="restart"/>
          </w:tcPr>
          <w:p>
            <w:pPr>
              <w:jc w:val="right"/>
              <w:ind w:right="304"/>
              <w:spacing w:after="0"/>
              <w:rPr>
                <w:sz w:val="20"/>
                <w:szCs w:val="20"/>
                <w:color w:val="auto"/>
              </w:rPr>
            </w:pPr>
            <w:r>
              <w:rPr>
                <w:rFonts w:ascii="Arial" w:cs="Arial" w:eastAsia="Arial" w:hAnsi="Arial"/>
                <w:sz w:val="9"/>
                <w:szCs w:val="9"/>
                <w:b w:val="1"/>
                <w:bCs w:val="1"/>
                <w:color w:val="auto"/>
                <w:w w:val="90"/>
              </w:rPr>
              <w:t>(1)</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55"/>
              <w:spacing w:after="0" w:line="135" w:lineRule="exact"/>
              <w:rPr>
                <w:sz w:val="20"/>
                <w:szCs w:val="20"/>
                <w:color w:val="auto"/>
              </w:rPr>
            </w:pPr>
            <w:r>
              <w:rPr>
                <w:rFonts w:ascii="Arial" w:cs="Arial" w:eastAsia="Arial" w:hAnsi="Arial"/>
                <w:sz w:val="14"/>
                <w:szCs w:val="14"/>
                <w:b w:val="1"/>
                <w:bCs w:val="1"/>
                <w:color w:val="auto"/>
                <w:w w:val="97"/>
              </w:rPr>
              <w:t>date</w:t>
            </w:r>
          </w:p>
        </w:tc>
        <w:tc>
          <w:tcPr>
            <w:tcW w:w="0" w:type="dxa"/>
            <w:vAlign w:val="bottom"/>
          </w:tcPr>
          <w:p>
            <w:pPr>
              <w:spacing w:after="0"/>
              <w:rPr>
                <w:sz w:val="1"/>
                <w:szCs w:val="1"/>
                <w:color w:val="auto"/>
              </w:rPr>
            </w:pPr>
          </w:p>
        </w:tc>
      </w:tr>
      <w:tr>
        <w:trPr>
          <w:trHeight w:val="188"/>
        </w:trPr>
        <w:tc>
          <w:tcPr>
            <w:tcW w:w="84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awards</w:t>
            </w:r>
          </w:p>
        </w:tc>
        <w:tc>
          <w:tcPr>
            <w:tcW w:w="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24"/>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performance-based awards, December 31, 2017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228,892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Grants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182,300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Cancellations</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(13,017)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performance-based awards, December 31, 2018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339,287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Grants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158,525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Cancellations</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(25,992)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performance-based awards, December 31, 2019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405,059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Grants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106,275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Cancellations</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(18,073)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performance-based awards, December 31, 2020</w:t>
            </w: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431,046</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Total unrecognized compensation expense remaining (in thousands)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00" w:type="dxa"/>
            <w:vAlign w:val="bottom"/>
            <w:vMerge w:val="continue"/>
          </w:tcPr>
          <w:p>
            <w:pPr>
              <w:spacing w:after="0"/>
              <w:rPr>
                <w:sz w:val="17"/>
                <w:szCs w:val="17"/>
                <w:color w:val="auto"/>
              </w:rPr>
            </w:pPr>
          </w:p>
        </w:tc>
        <w:tc>
          <w:tcPr>
            <w:tcW w:w="860" w:type="dxa"/>
            <w:vAlign w:val="bottom"/>
          </w:tcPr>
          <w:p>
            <w:pPr>
              <w:jc w:val="right"/>
              <w:ind w:right="653"/>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w w:val="93"/>
              </w:rPr>
              <w:t>1,144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years expected to be recognized over</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640" w:hanging="632"/>
        <w:spacing w:after="0"/>
        <w:tabs>
          <w:tab w:leader="none" w:pos="64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Represents the target number of shares to be issued for each performance-based award.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performance-based awards that vested during the year ended December 31, 2020 was $0.4 million.</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March 9, 2021, the Compensation Committee of the Board of Directors determined the performance goals set forth in the performance-based awards granted in 2018 were attained and 150,273 shares vested.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 compensation expense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Borders>
              <w:bottom w:val="single" w:sz="8" w:color="CCEEFF"/>
            </w:tcBorders>
          </w:tcPr>
          <w:p>
            <w:pPr>
              <w:spacing w:after="0"/>
              <w:rPr>
                <w:sz w:val="16"/>
                <w:szCs w:val="16"/>
                <w:color w:val="auto"/>
              </w:rPr>
            </w:pPr>
          </w:p>
        </w:tc>
        <w:tc>
          <w:tcPr>
            <w:tcW w:w="20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6"/>
                <w:szCs w:val="16"/>
                <w:color w:val="auto"/>
              </w:rPr>
            </w:pPr>
          </w:p>
        </w:tc>
        <w:tc>
          <w:tcPr>
            <w:tcW w:w="680" w:type="dxa"/>
            <w:vAlign w:val="bottom"/>
          </w:tcPr>
          <w:p>
            <w:pPr>
              <w:spacing w:after="0"/>
              <w:rPr>
                <w:sz w:val="16"/>
                <w:szCs w:val="16"/>
                <w:color w:val="auto"/>
              </w:rPr>
            </w:pPr>
          </w:p>
        </w:tc>
      </w:tr>
      <w:tr>
        <w:trPr>
          <w:trHeight w:val="215"/>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 Compensation Expense Components</w:t>
            </w:r>
          </w:p>
        </w:tc>
        <w:tc>
          <w:tcPr>
            <w:tcW w:w="20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4"/>
                <w:szCs w:val="14"/>
                <w:b w:val="1"/>
                <w:bCs w:val="1"/>
                <w:color w:val="auto"/>
              </w:rPr>
              <w:t>2018</w:t>
            </w:r>
          </w:p>
        </w:tc>
        <w:tc>
          <w:tcPr>
            <w:tcW w:w="680" w:type="dxa"/>
            <w:vAlign w:val="bottom"/>
          </w:tcPr>
          <w:p>
            <w:pPr>
              <w:spacing w:after="0"/>
              <w:rPr>
                <w:sz w:val="18"/>
                <w:szCs w:val="18"/>
                <w:color w:val="auto"/>
              </w:rPr>
            </w:pPr>
          </w:p>
        </w:tc>
      </w:tr>
      <w:tr>
        <w:trPr>
          <w:trHeight w:val="210"/>
        </w:trPr>
        <w:tc>
          <w:tcPr>
            <w:tcW w:w="4780" w:type="dxa"/>
            <w:vAlign w:val="bottom"/>
          </w:tcPr>
          <w:p>
            <w:pPr>
              <w:ind w:left="20"/>
              <w:spacing w:after="0"/>
              <w:rPr>
                <w:sz w:val="20"/>
                <w:szCs w:val="20"/>
                <w:color w:val="auto"/>
              </w:rPr>
            </w:pPr>
            <w:r>
              <w:rPr>
                <w:rFonts w:ascii="Arial" w:cs="Arial" w:eastAsia="Arial" w:hAnsi="Arial"/>
                <w:sz w:val="18"/>
                <w:szCs w:val="18"/>
                <w:color w:val="auto"/>
              </w:rPr>
              <w:t>Equity based stock option expense</w:t>
            </w:r>
          </w:p>
        </w:tc>
        <w:tc>
          <w:tcPr>
            <w:tcW w:w="2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570</w:t>
            </w:r>
          </w:p>
        </w:tc>
        <w:tc>
          <w:tcPr>
            <w:tcW w:w="5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617</w:t>
            </w:r>
          </w:p>
        </w:tc>
        <w:tc>
          <w:tcPr>
            <w:tcW w:w="1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691</w:t>
            </w:r>
          </w:p>
        </w:tc>
        <w:tc>
          <w:tcPr>
            <w:tcW w:w="680" w:type="dxa"/>
            <w:vAlign w:val="bottom"/>
          </w:tcPr>
          <w:p>
            <w:pPr>
              <w:spacing w:after="0"/>
              <w:rPr>
                <w:sz w:val="18"/>
                <w:szCs w:val="18"/>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and performance-based stock awards expense</w:t>
            </w:r>
          </w:p>
        </w:tc>
        <w:tc>
          <w:tcPr>
            <w:tcW w:w="20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5,346</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4,404</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3,400</w:t>
            </w:r>
          </w:p>
        </w:tc>
        <w:tc>
          <w:tcPr>
            <w:tcW w:w="680" w:type="dxa"/>
            <w:vAlign w:val="bottom"/>
          </w:tcPr>
          <w:p>
            <w:pPr>
              <w:spacing w:after="0"/>
              <w:rPr>
                <w:sz w:val="19"/>
                <w:szCs w:val="19"/>
                <w:color w:val="auto"/>
              </w:rPr>
            </w:pPr>
          </w:p>
        </w:tc>
      </w:tr>
      <w:tr>
        <w:trPr>
          <w:trHeight w:val="209"/>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Stock compensation expense for equity based awards</w:t>
            </w:r>
          </w:p>
        </w:tc>
        <w:tc>
          <w:tcPr>
            <w:tcW w:w="2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5,916</w:t>
            </w:r>
          </w:p>
        </w:tc>
        <w:tc>
          <w:tcPr>
            <w:tcW w:w="5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5,021</w:t>
            </w:r>
          </w:p>
        </w:tc>
        <w:tc>
          <w:tcPr>
            <w:tcW w:w="1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4,091</w:t>
            </w:r>
          </w:p>
        </w:tc>
        <w:tc>
          <w:tcPr>
            <w:tcW w:w="680" w:type="dxa"/>
            <w:vAlign w:val="bottom"/>
          </w:tcPr>
          <w:p>
            <w:pPr>
              <w:spacing w:after="0"/>
              <w:rPr>
                <w:sz w:val="18"/>
                <w:szCs w:val="18"/>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based stock option expense</w:t>
            </w:r>
          </w:p>
        </w:tc>
        <w:tc>
          <w:tcPr>
            <w:tcW w:w="20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680" w:type="dxa"/>
            <w:vAlign w:val="bottom"/>
          </w:tcPr>
          <w:p>
            <w:pPr>
              <w:spacing w:after="0"/>
              <w:rPr>
                <w:sz w:val="19"/>
                <w:szCs w:val="19"/>
                <w:color w:val="auto"/>
              </w:rPr>
            </w:pPr>
          </w:p>
        </w:tc>
      </w:tr>
      <w:tr>
        <w:trPr>
          <w:trHeight w:val="210"/>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Total Stock Compensation Expense</w:t>
            </w:r>
          </w:p>
        </w:tc>
        <w:tc>
          <w:tcPr>
            <w:tcW w:w="2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5,951</w:t>
            </w:r>
          </w:p>
        </w:tc>
        <w:tc>
          <w:tcPr>
            <w:tcW w:w="5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5,041</w:t>
            </w:r>
          </w:p>
        </w:tc>
        <w:tc>
          <w:tcPr>
            <w:tcW w:w="1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4,135</w:t>
            </w:r>
          </w:p>
        </w:tc>
        <w:tc>
          <w:tcPr>
            <w:tcW w:w="68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642"/>
        </w:trPr>
        <w:tc>
          <w:tcPr>
            <w:tcW w:w="4780" w:type="dxa"/>
            <w:vAlign w:val="bottom"/>
          </w:tcPr>
          <w:p>
            <w:pPr>
              <w:spacing w:after="0"/>
              <w:rPr>
                <w:sz w:val="24"/>
                <w:szCs w:val="24"/>
                <w:color w:val="auto"/>
              </w:rPr>
            </w:pPr>
          </w:p>
        </w:tc>
        <w:tc>
          <w:tcPr>
            <w:tcW w:w="2260" w:type="dxa"/>
            <w:vAlign w:val="bottom"/>
            <w:gridSpan w:val="2"/>
          </w:tcPr>
          <w:p>
            <w:pPr>
              <w:jc w:val="right"/>
              <w:ind w:right="1240"/>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-31</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LOSS PER COMMON SHARE</w:t>
      </w:r>
    </w:p>
    <w:p>
      <w:pPr>
        <w:spacing w:after="0" w:line="121" w:lineRule="exact"/>
        <w:rPr>
          <w:sz w:val="20"/>
          <w:szCs w:val="20"/>
          <w:color w:val="auto"/>
        </w:rPr>
      </w:pPr>
    </w:p>
    <w:p>
      <w:pPr>
        <w:ind w:right="480"/>
        <w:spacing w:after="0" w:line="311" w:lineRule="auto"/>
        <w:rPr>
          <w:sz w:val="20"/>
          <w:szCs w:val="20"/>
          <w:color w:val="auto"/>
        </w:rPr>
      </w:pPr>
      <w:r>
        <w:rPr>
          <w:rFonts w:ascii="Arial" w:cs="Arial" w:eastAsia="Arial" w:hAnsi="Arial"/>
          <w:sz w:val="16"/>
          <w:szCs w:val="16"/>
          <w:color w:val="auto"/>
        </w:rPr>
        <w:t>Basic loss per common share has been computed by dividing net loss by the weighted-average number of shares of the Company’s common stock outstanding. Diluted loss per common share adjusts net loss and basic loss per common share for the effect of all potentially dilutive shares of the Company’s common stock. Anti-dilutive securities are not included in the computation of diluted earnings per share under the treasury stock method.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basic and diluted loss per common share for the years ended December 31, 2020, 2019 and 2018,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w w:val="83"/>
              </w:rPr>
              <w:t>2018</w:t>
            </w:r>
          </w:p>
        </w:tc>
        <w:tc>
          <w:tcPr>
            <w:tcW w:w="0" w:type="dxa"/>
            <w:vAlign w:val="bottom"/>
          </w:tcPr>
          <w:p>
            <w:pPr>
              <w:spacing w:after="0"/>
              <w:rPr>
                <w:sz w:val="1"/>
                <w:szCs w:val="1"/>
                <w:color w:val="auto"/>
              </w:rPr>
            </w:pPr>
          </w:p>
        </w:tc>
      </w:tr>
      <w:tr>
        <w:trPr>
          <w:trHeight w:val="185"/>
        </w:trPr>
        <w:tc>
          <w:tcPr>
            <w:tcW w:w="7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6"/>
          </w:tcPr>
          <w:p>
            <w:pPr>
              <w:jc w:val="right"/>
              <w:spacing w:after="0"/>
              <w:rPr>
                <w:sz w:val="20"/>
                <w:szCs w:val="20"/>
                <w:color w:val="auto"/>
              </w:rPr>
            </w:pPr>
            <w:r>
              <w:rPr>
                <w:rFonts w:ascii="Arial" w:cs="Arial" w:eastAsia="Arial" w:hAnsi="Arial"/>
                <w:sz w:val="14"/>
                <w:szCs w:val="14"/>
                <w:color w:val="auto"/>
              </w:rPr>
              <w:t>(in thousands - except per share amounts)</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 Basic and Diluted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(44,415)</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Weighted-average shares outstanding – Basic</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20,597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19,452</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Effect of dilutive securities: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Stock options and other stock awards</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shares outstanding – Diluted</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19,452</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loss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7240" w:type="dxa"/>
            <w:vAlign w:val="bottom"/>
            <w:vMerge w:val="continue"/>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4"/>
                <w:szCs w:val="24"/>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loss per common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 xml:space="preserve">Antidilutive shares </w:t>
            </w:r>
            <w:r>
              <w:rPr>
                <w:rFonts w:ascii="Arial" w:cs="Arial" w:eastAsia="Arial" w:hAnsi="Arial"/>
                <w:sz w:val="23"/>
                <w:szCs w:val="23"/>
                <w:b w:val="1"/>
                <w:bCs w:val="1"/>
                <w:color w:val="auto"/>
                <w:vertAlign w:val="superscript"/>
              </w:rPr>
              <w:t>(1)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72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21"/>
          <w:szCs w:val="21"/>
          <w:color w:val="auto"/>
          <w:vertAlign w:val="superscript"/>
        </w:rPr>
      </w:pPr>
      <w:r>
        <w:rPr>
          <w:rFonts w:ascii="Arial" w:cs="Arial" w:eastAsia="Arial" w:hAnsi="Arial"/>
          <w:sz w:val="16"/>
          <w:szCs w:val="16"/>
          <w:color w:val="auto"/>
        </w:rPr>
        <w:t>Stock options and other stock awards that have been excluded from the denominator as their inclusion would have been anti-dilutive.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income taxes and equity in earnings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center"/>
              <w:ind w:right="15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2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1"/>
        </w:trPr>
        <w:tc>
          <w:tcPr>
            <w:tcW w:w="7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(in thousands)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18,012</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(12,463)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(22,462)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(4,946)</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(loss) before income taxes and equity in earnings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5,549</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provision for income taxes (before equity in earnings) consists of:</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2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6"/>
          </w:tcPr>
          <w:p>
            <w:pPr>
              <w:jc w:val="center"/>
              <w:ind w:right="15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2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1"/>
        </w:trPr>
        <w:tc>
          <w:tcPr>
            <w:tcW w:w="7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(in thousands)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360"/>
              <w:spacing w:after="0"/>
              <w:rPr>
                <w:sz w:val="20"/>
                <w:szCs w:val="20"/>
                <w:color w:val="auto"/>
              </w:rPr>
            </w:pPr>
            <w:r>
              <w:rPr>
                <w:rFonts w:ascii="Arial" w:cs="Arial" w:eastAsia="Arial" w:hAnsi="Arial"/>
                <w:sz w:val="18"/>
                <w:szCs w:val="18"/>
                <w:color w:val="auto"/>
              </w:rPr>
              <w:t>Federal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8,522</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0"/>
        </w:trPr>
        <w:tc>
          <w:tcPr>
            <w:tcW w:w="7240" w:type="dxa"/>
            <w:vAlign w:val="bottom"/>
          </w:tcPr>
          <w:p>
            <w:pPr>
              <w:ind w:left="360"/>
              <w:spacing w:after="0"/>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9,866</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March 27, 2020, H.R. 748, the Coronavirus Aid, Relief, and Economic Security Act (the “CARES Act”) was signed into legislation which includes business tax provisions that impact taxes related to 2018, 2019 and 2020. Some of the significant tax law changes in accordance with the CARES Act are to increase the limitation on deductible business interest expense for 2019 and 2020, allow for the five-year carryback of net operating losses for 2018-2020, suspend the 80% limitation of taxable income for net operating loss carryforwards for 2018-2020, and accelerate the ability to claim refunds of Alternative Minimum Tax (“AMT”) credit carryforwards.</w:t>
      </w:r>
    </w:p>
    <w:p>
      <w:pPr>
        <w:spacing w:after="0" w:line="8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CARES Act remedied certain aspects of the Tax Act such as accelerated depreciation recovery for assets defined as qualified improvement property and carryback of operating losses to fiscal tax years. The latter required carryback of Filament losses to pre-acquisition fiscal years ended March 31, 2017 and March 31, 2016, which resulted in a tax expense that exceeded the benefit received</w:t>
      </w:r>
    </w:p>
    <w:p>
      <w:pPr>
        <w:sectPr>
          <w:pgSz w:w="11900" w:h="16838" w:orient="portrait"/>
          <w:cols w:equalWidth="0" w:num="1">
            <w:col w:w="11240"/>
          </w:cols>
          <w:pgMar w:left="320" w:top="121"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444444"/>
        </w:rPr>
        <w:t>F</w:t>
      </w:r>
      <w:r>
        <w:rPr>
          <w:rFonts w:ascii="Arial" w:cs="Arial" w:eastAsia="Arial" w:hAnsi="Arial"/>
          <w:sz w:val="16"/>
          <w:szCs w:val="16"/>
          <w:color w:val="00000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from the various CARES Act provisions claimed by the Company. The Company received a tax refund of $2.3 million in the third quarter of 2020.</w:t>
      </w:r>
    </w:p>
    <w:p>
      <w:pPr>
        <w:spacing w:after="0" w:line="12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On December 22, 2017, the Tax Cuts and Jobs Act (“Tax Act”) was enacted. The Tax Act revises the U.S. corporate income tax by, among other things, lowering the corporate income tax rate from 35% to 21%, adopting a quasi-territorial income tax system, imposing a one-time transition tax on foreign unremitted earnings, and setting limitations on the deductibility of certain costs (e.g., interest expense). For the year ended December 31, 2017, the Company accrued $0.3 million of tax expense for the Tax Act’s one-time transition tax on the Company’s material wholly owned foreign subsidiaries’ accumulated, unremitted earnings and $3.0 million in provisional expense related to the net change in deferred tax assets stemming from the Tax Act’s reduction of the U.S. federal tax rate from 35% to 21%. As of December 31, 2018, the Company had completed the accounting for the effects of the Act. The Company had included the impact of the Act on its annual effective tax rate and has recorded an additional provision of $0.7 million primarily related to an adjustment to the estimated transition tax liability, including an uncertain tax position.</w:t>
      </w:r>
    </w:p>
    <w:p>
      <w:pPr>
        <w:spacing w:after="0" w:line="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Since January 1, 2018, the Tax Act has subjected the Company to a tax on global intangible low-taxed income (“GILTI”) earned by certain foreign subsidiaries, base erosion anti-abuse tax (“BEAT”), foreign derived intangible income tax (“FDII”), and IRC Section 163(j) interest limitation (“Interest Limitation”). Entities can make an accounting policy election to either recognize deferred taxes for temporary basis differences expected to reverse as GILTI in future years or provide for the tax expense related to GILTI in the year the tax is incurred. The Company had elected to account for the GILTI tax as a current period expense. The Company did not have GILTI liability and was not subject to BEAT in 2020 and 2019. The tax impact of FDII was immaterial for 2020 and 2019. The Company was not subject to an interest limitation in 2020 and 2019, due to the favorable provisions provided under the CARES Act.</w:t>
      </w:r>
    </w:p>
    <w:p>
      <w:pPr>
        <w:spacing w:after="0" w:line="195"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income tax assets and (liabilities)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r>
      <w:tr>
        <w:trPr>
          <w:trHeight w:val="187"/>
        </w:trPr>
        <w:tc>
          <w:tcPr>
            <w:tcW w:w="86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4"/>
                <w:szCs w:val="14"/>
                <w:b w:val="1"/>
                <w:bCs w:val="1"/>
                <w:color w:val="auto"/>
              </w:rPr>
              <w:t>2019</w:t>
            </w:r>
          </w:p>
        </w:tc>
      </w:tr>
      <w:tr>
        <w:trPr>
          <w:trHeight w:val="181"/>
        </w:trPr>
        <w:tc>
          <w:tcPr>
            <w:tcW w:w="8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840" w:type="dxa"/>
            <w:vAlign w:val="bottom"/>
          </w:tcPr>
          <w:p>
            <w:pPr>
              <w:spacing w:after="0"/>
              <w:rPr>
                <w:sz w:val="15"/>
                <w:szCs w:val="15"/>
                <w:color w:val="auto"/>
              </w:rPr>
            </w:pPr>
          </w:p>
        </w:tc>
      </w:tr>
      <w:tr>
        <w:trPr>
          <w:trHeight w:val="233"/>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27,502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29,126</w:t>
            </w:r>
          </w:p>
        </w:tc>
      </w:tr>
      <w:tr>
        <w:trPr>
          <w:trHeight w:val="229"/>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options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2,351</w:t>
            </w:r>
          </w:p>
        </w:tc>
      </w:tr>
      <w:tr>
        <w:trPr>
          <w:trHeight w:val="230"/>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loss carryforwards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8,041</w:t>
            </w: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Accounts receivable allowances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777</w:t>
            </w:r>
          </w:p>
        </w:tc>
      </w:tr>
      <w:tr>
        <w:trPr>
          <w:trHeight w:val="229"/>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compensation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Deferred compensation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1,123</w:t>
            </w:r>
          </w:p>
        </w:tc>
      </w:tr>
      <w:tr>
        <w:trPr>
          <w:trHeight w:val="230"/>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r>
      <w:tr>
        <w:trPr>
          <w:trHeight w:val="223"/>
        </w:trPr>
        <w:tc>
          <w:tcPr>
            <w:tcW w:w="8620" w:type="dxa"/>
            <w:vAlign w:val="bottom"/>
          </w:tcPr>
          <w:p>
            <w:pPr>
              <w:ind w:left="780"/>
              <w:spacing w:after="0"/>
              <w:rPr>
                <w:sz w:val="20"/>
                <w:szCs w:val="20"/>
                <w:color w:val="auto"/>
              </w:rPr>
            </w:pPr>
            <w:r>
              <w:rPr>
                <w:rFonts w:ascii="Arial" w:cs="Arial" w:eastAsia="Arial" w:hAnsi="Arial"/>
                <w:sz w:val="18"/>
                <w:szCs w:val="18"/>
                <w:color w:val="auto"/>
              </w:rPr>
              <w:t>Total deferred income tax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49,683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45,835</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7"/>
        </w:trPr>
        <w:tc>
          <w:tcPr>
            <w:tcW w:w="8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Deferred income tax liabilities: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9"/>
        </w:trPr>
        <w:tc>
          <w:tcPr>
            <w:tcW w:w="8620" w:type="dxa"/>
            <w:vAlign w:val="bottom"/>
          </w:tcPr>
          <w:p>
            <w:pPr>
              <w:ind w:left="36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(23,127)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(25,084)</w:t>
            </w:r>
          </w:p>
        </w:tc>
      </w:tr>
      <w:tr>
        <w:trPr>
          <w:trHeight w:val="230"/>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r>
      <w:tr>
        <w:trPr>
          <w:trHeight w:val="230"/>
        </w:trPr>
        <w:tc>
          <w:tcPr>
            <w:tcW w:w="8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Intangibles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(27,782)</w:t>
            </w:r>
          </w:p>
        </w:tc>
      </w:tr>
      <w:tr>
        <w:trPr>
          <w:trHeight w:val="223"/>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deferred income tax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(53,494)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(55,297)</w:t>
            </w:r>
          </w:p>
        </w:tc>
      </w:tr>
      <w:tr>
        <w:trPr>
          <w:trHeight w:val="223"/>
        </w:trPr>
        <w:tc>
          <w:tcPr>
            <w:tcW w:w="8620" w:type="dxa"/>
            <w:vAlign w:val="bottom"/>
          </w:tcPr>
          <w:p>
            <w:pPr>
              <w:ind w:left="20"/>
              <w:spacing w:after="0"/>
              <w:rPr>
                <w:sz w:val="20"/>
                <w:szCs w:val="20"/>
                <w:color w:val="auto"/>
              </w:rPr>
            </w:pPr>
            <w:r>
              <w:rPr>
                <w:rFonts w:ascii="Arial" w:cs="Arial" w:eastAsia="Arial" w:hAnsi="Arial"/>
                <w:sz w:val="18"/>
                <w:szCs w:val="18"/>
                <w:color w:val="auto"/>
              </w:rPr>
              <w:t>Net deferred income tax liability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(9,462)</w:t>
            </w: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(4,223)</w:t>
            </w:r>
          </w:p>
        </w:tc>
      </w:tr>
      <w:tr>
        <w:trPr>
          <w:trHeight w:val="223"/>
        </w:trPr>
        <w:tc>
          <w:tcPr>
            <w:tcW w:w="8620" w:type="dxa"/>
            <w:vAlign w:val="bottom"/>
          </w:tcPr>
          <w:p>
            <w:pPr>
              <w:ind w:left="20"/>
              <w:spacing w:after="0"/>
              <w:rPr>
                <w:sz w:val="20"/>
                <w:szCs w:val="20"/>
                <w:color w:val="auto"/>
              </w:rPr>
            </w:pPr>
            <w:r>
              <w:rPr>
                <w:rFonts w:ascii="Arial" w:cs="Arial" w:eastAsia="Arial" w:hAnsi="Arial"/>
                <w:sz w:val="18"/>
                <w:szCs w:val="18"/>
                <w:color w:val="auto"/>
              </w:rPr>
              <w:t>Net deferred income tax liability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(13,685)</w:t>
            </w:r>
          </w:p>
        </w:tc>
      </w:tr>
      <w:tr>
        <w:trPr>
          <w:trHeight w:val="20"/>
        </w:trPr>
        <w:tc>
          <w:tcPr>
            <w:tcW w:w="8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Company has capital loss carryforwards of $7.7 million in foreign jurisdictions and $1.0 million in the U.S. federal jurisdiction at December 31, 2020 that are offset entirely by a valuation allowance.</w:t>
      </w:r>
    </w:p>
    <w:p>
      <w:pPr>
        <w:spacing w:after="0" w:line="171" w:lineRule="exact"/>
        <w:rPr>
          <w:sz w:val="20"/>
          <w:szCs w:val="20"/>
          <w:color w:val="auto"/>
        </w:rPr>
      </w:pPr>
    </w:p>
    <w:p>
      <w:pPr>
        <w:ind w:right="100"/>
        <w:spacing w:after="0" w:line="324" w:lineRule="auto"/>
        <w:rPr>
          <w:sz w:val="20"/>
          <w:szCs w:val="20"/>
          <w:color w:val="auto"/>
        </w:rPr>
      </w:pPr>
      <w:r>
        <w:rPr>
          <w:rFonts w:ascii="Arial" w:cs="Arial" w:eastAsia="Arial" w:hAnsi="Arial"/>
          <w:sz w:val="18"/>
          <w:szCs w:val="18"/>
          <w:color w:val="auto"/>
        </w:rPr>
        <w:t>The Company has net operating losses in foreign jurisdictions of $39.2 million and $11.8 million in state jurisdictions at December 31, 2020 that are offset entirely by a valuation allowance. The state net operating losses begin to expire in 2026.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All U.S. federal losses have been carried back as a result of the CARES Act and no carryforwards remain.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The provision for income taxes (before equity in earnings) differs from the amounts computed by applying the applicable federal statutory rates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r>
      <w:tr>
        <w:trPr>
          <w:trHeight w:val="188"/>
        </w:trPr>
        <w:tc>
          <w:tcPr>
            <w:tcW w:w="69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480" w:type="dxa"/>
            <w:vAlign w:val="bottom"/>
            <w:gridSpan w:val="2"/>
            <w:shd w:val="clear" w:color="auto" w:fill="CCEEFF"/>
          </w:tcPr>
          <w:p>
            <w:pPr>
              <w:jc w:val="right"/>
              <w:ind w:right="450"/>
              <w:spacing w:after="0"/>
              <w:rPr>
                <w:sz w:val="20"/>
                <w:szCs w:val="20"/>
                <w:color w:val="auto"/>
              </w:rPr>
            </w:pPr>
            <w:r>
              <w:rPr>
                <w:rFonts w:ascii="Arial" w:cs="Arial" w:eastAsia="Arial" w:hAnsi="Arial"/>
                <w:sz w:val="14"/>
                <w:szCs w:val="14"/>
                <w:b w:val="1"/>
                <w:bCs w:val="1"/>
                <w:color w:val="auto"/>
              </w:rPr>
              <w:t>2019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Federal income taxes at the statutory rate</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(decreases):</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900" w:type="dxa"/>
            <w:vAlign w:val="bottom"/>
          </w:tcPr>
          <w:p>
            <w:pPr>
              <w:ind w:left="360"/>
              <w:spacing w:after="0"/>
              <w:rPr>
                <w:sz w:val="20"/>
                <w:szCs w:val="20"/>
                <w:color w:val="auto"/>
              </w:rPr>
            </w:pPr>
            <w:r>
              <w:rPr>
                <w:rFonts w:ascii="Arial" w:cs="Arial" w:eastAsia="Arial" w:hAnsi="Arial"/>
                <w:sz w:val="18"/>
                <w:szCs w:val="18"/>
                <w:color w:val="auto"/>
              </w:rPr>
              <w:t>State and local income taxes, net of Federal income tax benefit</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38.9</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97.4</w:t>
            </w:r>
          </w:p>
        </w:tc>
      </w:tr>
      <w:tr>
        <w:trPr>
          <w:trHeight w:val="229"/>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rate differences</w:t>
            </w: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(43.9)</w:t>
            </w:r>
          </w:p>
        </w:tc>
        <w:tc>
          <w:tcPr>
            <w:tcW w:w="1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(76.1)</w:t>
            </w:r>
          </w:p>
        </w:tc>
      </w:tr>
      <w:tr>
        <w:trPr>
          <w:trHeight w:val="230"/>
        </w:trPr>
        <w:tc>
          <w:tcPr>
            <w:tcW w:w="690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Impairment of goodwill </w:t>
            </w:r>
            <w:r>
              <w:rPr>
                <w:rFonts w:ascii="Arial" w:cs="Arial" w:eastAsia="Arial" w:hAnsi="Arial"/>
                <w:sz w:val="23"/>
                <w:szCs w:val="23"/>
                <w:color w:val="auto"/>
                <w:vertAlign w:val="superscript"/>
              </w:rPr>
              <w:t>(1)</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65.5</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98.6</w:t>
            </w:r>
          </w:p>
        </w:tc>
      </w:tr>
      <w:tr>
        <w:trPr>
          <w:trHeight w:val="229"/>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Non-deductible expenses</w:t>
            </w: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16.4</w:t>
            </w:r>
          </w:p>
        </w:tc>
        <w:tc>
          <w:tcPr>
            <w:tcW w:w="1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129.9</w:t>
            </w:r>
          </w:p>
        </w:tc>
      </w:tr>
      <w:tr>
        <w:trPr>
          <w:trHeight w:val="229"/>
        </w:trPr>
        <w:tc>
          <w:tcPr>
            <w:tcW w:w="6900" w:type="dxa"/>
            <w:vAlign w:val="bottom"/>
          </w:tcPr>
          <w:p>
            <w:pPr>
              <w:ind w:left="360"/>
              <w:spacing w:after="0"/>
              <w:rPr>
                <w:sz w:val="20"/>
                <w:szCs w:val="20"/>
                <w:color w:val="auto"/>
              </w:rPr>
            </w:pPr>
            <w:r>
              <w:rPr>
                <w:rFonts w:ascii="Arial" w:cs="Arial" w:eastAsia="Arial" w:hAnsi="Arial"/>
                <w:sz w:val="18"/>
                <w:szCs w:val="18"/>
                <w:color w:val="auto"/>
              </w:rPr>
              <w:t>Tax Act- revaluation of net deferred tax assets and other</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16.8</w:t>
            </w:r>
          </w:p>
        </w:tc>
      </w:tr>
      <w:tr>
        <w:trPr>
          <w:trHeight w:val="230"/>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Act- transition tax</w:t>
            </w: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43.0</w:t>
            </w:r>
          </w:p>
        </w:tc>
      </w:tr>
      <w:tr>
        <w:trPr>
          <w:trHeight w:val="229"/>
        </w:trPr>
        <w:tc>
          <w:tcPr>
            <w:tcW w:w="6900" w:type="dxa"/>
            <w:vAlign w:val="bottom"/>
          </w:tcPr>
          <w:p>
            <w:pPr>
              <w:ind w:left="360"/>
              <w:spacing w:after="0"/>
              <w:rPr>
                <w:sz w:val="20"/>
                <w:szCs w:val="20"/>
                <w:color w:val="auto"/>
              </w:rPr>
            </w:pPr>
            <w:r>
              <w:rPr>
                <w:rFonts w:ascii="Arial" w:cs="Arial" w:eastAsia="Arial" w:hAnsi="Arial"/>
                <w:sz w:val="18"/>
                <w:szCs w:val="18"/>
                <w:color w:val="auto"/>
              </w:rPr>
              <w:t>Uncertain tax positions</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4.0</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302.8</w:t>
            </w:r>
          </w:p>
        </w:tc>
      </w:tr>
      <w:tr>
        <w:trPr>
          <w:trHeight w:val="229"/>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credit</w:t>
            </w: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(7.2)</w:t>
            </w:r>
          </w:p>
        </w:tc>
        <w:tc>
          <w:tcPr>
            <w:tcW w:w="1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(18.5)</w:t>
            </w:r>
          </w:p>
        </w:tc>
      </w:tr>
      <w:tr>
        <w:trPr>
          <w:trHeight w:val="230"/>
        </w:trPr>
        <w:tc>
          <w:tcPr>
            <w:tcW w:w="6900" w:type="dxa"/>
            <w:vAlign w:val="bottom"/>
          </w:tcPr>
          <w:p>
            <w:pPr>
              <w:ind w:left="360"/>
              <w:spacing w:after="0"/>
              <w:rPr>
                <w:sz w:val="20"/>
                <w:szCs w:val="20"/>
                <w:color w:val="auto"/>
              </w:rPr>
            </w:pPr>
            <w:r>
              <w:rPr>
                <w:rFonts w:ascii="Arial" w:cs="Arial" w:eastAsia="Arial" w:hAnsi="Arial"/>
                <w:sz w:val="18"/>
                <w:szCs w:val="18"/>
                <w:color w:val="auto"/>
              </w:rPr>
              <w:t>Federal return to provision</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6.8</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(27.5)</w:t>
            </w:r>
          </w:p>
        </w:tc>
      </w:tr>
      <w:tr>
        <w:trPr>
          <w:trHeight w:val="229"/>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of Filament pre-acquisition attributes due to CARES Act</w:t>
            </w: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30"/>
        </w:trPr>
        <w:tc>
          <w:tcPr>
            <w:tcW w:w="6900" w:type="dxa"/>
            <w:vAlign w:val="bottom"/>
          </w:tcPr>
          <w:p>
            <w:pPr>
              <w:ind w:left="400"/>
              <w:spacing w:after="0"/>
              <w:rPr>
                <w:sz w:val="20"/>
                <w:szCs w:val="20"/>
                <w:color w:val="auto"/>
              </w:rPr>
            </w:pPr>
            <w:r>
              <w:rPr>
                <w:rFonts w:ascii="Arial" w:cs="Arial" w:eastAsia="Arial" w:hAnsi="Arial"/>
                <w:sz w:val="18"/>
                <w:szCs w:val="18"/>
                <w:color w:val="auto"/>
              </w:rPr>
              <w:t>Equity-based compensation</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17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29"/>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Valuation Allowance</w:t>
            </w: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48.3</w:t>
            </w:r>
          </w:p>
        </w:tc>
        <w:tc>
          <w:tcPr>
            <w:tcW w:w="1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(34.2)</w:t>
            </w:r>
          </w:p>
        </w:tc>
      </w:tr>
      <w:tr>
        <w:trPr>
          <w:trHeight w:val="229"/>
        </w:trPr>
        <w:tc>
          <w:tcPr>
            <w:tcW w:w="6900" w:type="dxa"/>
            <w:vAlign w:val="bottom"/>
          </w:tcPr>
          <w:p>
            <w:pPr>
              <w:ind w:left="360"/>
              <w:spacing w:after="0"/>
              <w:rPr>
                <w:sz w:val="20"/>
                <w:szCs w:val="20"/>
                <w:color w:val="auto"/>
              </w:rPr>
            </w:pPr>
            <w:r>
              <w:rPr>
                <w:rFonts w:ascii="Arial" w:cs="Arial" w:eastAsia="Arial" w:hAnsi="Arial"/>
                <w:sz w:val="18"/>
                <w:szCs w:val="18"/>
                <w:color w:val="auto"/>
              </w:rPr>
              <w:t>Other</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14.4</w:t>
            </w:r>
          </w:p>
        </w:tc>
      </w:tr>
      <w:tr>
        <w:trPr>
          <w:trHeight w:val="248"/>
        </w:trPr>
        <w:tc>
          <w:tcPr>
            <w:tcW w:w="6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567.6 %</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640" w:hanging="308"/>
        <w:spacing w:after="0"/>
        <w:tabs>
          <w:tab w:leader="none" w:pos="64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In 2019, the rate for the impairment of goodwill was (20.8)% due to a pretax loss position.</w:t>
      </w:r>
    </w:p>
    <w:p>
      <w:pPr>
        <w:spacing w:after="0" w:line="202" w:lineRule="exact"/>
        <w:rPr>
          <w:sz w:val="20"/>
          <w:szCs w:val="20"/>
          <w:color w:val="auto"/>
        </w:rPr>
      </w:pPr>
    </w:p>
    <w:p>
      <w:pPr>
        <w:jc w:val="both"/>
        <w:ind w:right="100"/>
        <w:spacing w:after="0" w:line="269" w:lineRule="auto"/>
        <w:rPr>
          <w:sz w:val="20"/>
          <w:szCs w:val="20"/>
          <w:color w:val="auto"/>
        </w:rPr>
      </w:pPr>
      <w:r>
        <w:rPr>
          <w:rFonts w:ascii="Arial" w:cs="Arial" w:eastAsia="Arial" w:hAnsi="Arial"/>
          <w:sz w:val="18"/>
          <w:szCs w:val="18"/>
          <w:color w:val="auto"/>
        </w:rPr>
        <w:t>The estimated values of the Company’s gross uncertain tax positions at December 31, 2020, 2019 and 2018 are liabilities of $1.6 million, $1.5 million and $2.0 million, respectively, and consist of the following:</w:t>
      </w:r>
    </w:p>
    <w:tbl>
      <w:tblPr>
        <w:tblLayout w:type="fixed"/>
        <w:tblInd w:w="0" w:type="dxa"/>
        <w:tblCellMar>
          <w:top w:w="0" w:type="dxa"/>
          <w:left w:w="0" w:type="dxa"/>
          <w:bottom w:w="0" w:type="dxa"/>
          <w:right w:w="0" w:type="dxa"/>
        </w:tblCellMar>
      </w:tblPr>
      <w:tr>
        <w:trPr>
          <w:trHeight w:val="192"/>
        </w:trPr>
        <w:tc>
          <w:tcPr>
            <w:tcW w:w="7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center"/>
              <w:ind w:left="575"/>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187"/>
        </w:trPr>
        <w:tc>
          <w:tcPr>
            <w:tcW w:w="72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center"/>
              <w:ind w:right="75"/>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2018</w:t>
            </w:r>
          </w:p>
        </w:tc>
      </w:tr>
      <w:tr>
        <w:trPr>
          <w:trHeight w:val="180"/>
        </w:trPr>
        <w:tc>
          <w:tcPr>
            <w:tcW w:w="7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(in thousands)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7240" w:type="dxa"/>
            <w:vAlign w:val="bottom"/>
          </w:tcPr>
          <w:p>
            <w:pPr>
              <w:ind w:left="360"/>
              <w:spacing w:after="0"/>
              <w:rPr>
                <w:sz w:val="20"/>
                <w:szCs w:val="20"/>
                <w:color w:val="auto"/>
              </w:rPr>
            </w:pPr>
            <w:r>
              <w:rPr>
                <w:rFonts w:ascii="Arial" w:cs="Arial" w:eastAsia="Arial" w:hAnsi="Arial"/>
                <w:sz w:val="18"/>
                <w:szCs w:val="18"/>
                <w:color w:val="auto"/>
              </w:rPr>
              <w:t>Additions based on tax positions related to the current year</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30"/>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based on tax positions related to the prior year</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r>
      <w:tr>
        <w:trPr>
          <w:trHeight w:val="229"/>
        </w:trPr>
        <w:tc>
          <w:tcPr>
            <w:tcW w:w="7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Reductions for tax position of prior years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Company had approximately $0.1 million and $0.1 million, net of federal and state tax benefit, accrued at December 31, 2020 and 2019, respectively, for the payment of interest. The Company’s policy for recording interest and penalties is to record such items as a component of the provision for income taxes.</w:t>
      </w:r>
    </w:p>
    <w:p>
      <w:pPr>
        <w:spacing w:after="0" w:line="18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If the Company’s tax positions are ultimately sustained, the Company’s liability, including interest, would be reduced by $2.0 million, all of which would impact the Company’s tax provision. On a quarterly basis, the Company evaluates its tax positions and revises its estimates accordingly. The Company believes that it is reasonably possible that none of its tax positions will be resolved within the next twelve months.</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is no longer subject to U.S. Federal income tax examinations for the years prior to 2017. The Company has identified the following jurisdictions as “major” tax jurisdictions: U.S. Federal, California, Georgia, Illinois, Massachusetts, New Jersey, New York and the United Kingdom. At December 31, 2020, the periods subject to examination by the Company’s major state jurisdictions, except for New York State, are generally for the years ended 2016 through 2019. In certain jurisdictions Filament may have additional periods subject to examination. The Company’s 2015 U.S. Federal income tax return audit was completed as of June 30, 2020 with no assessments. The Company's New York State tax returns for years 2015-2016 remain under audit with no material assessments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color w:val="auto"/>
        </w:rPr>
        <w:t>—</w:t>
      </w:r>
      <w:r>
        <w:rPr>
          <w:rFonts w:ascii="Arial" w:cs="Arial" w:eastAsia="Arial" w:hAnsi="Arial"/>
          <w:sz w:val="18"/>
          <w:szCs w:val="18"/>
          <w:b w:val="1"/>
          <w:bCs w:val="1"/>
          <w:color w:val="auto"/>
        </w:rPr>
        <w:t xml:space="preserve"> BUSINESS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has two reportable segments, U.S. and International. The Company has segmented its operations to reflect the manner in which management reviews and evaluates the results of its operations. The U.S. segment includes the Company’s primary domestic business that designs, markets and distributes its products to retailers, distributors and directly to consumers through its own websites. The International segment consists of certain business operations conducted outside the U.S. Management evaluates the performance of the U.S. and International segments based on net sales and income (loss)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fees and consulting fees, are not allocated to the specific segments and are reflected as unallocated corporate expenses.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center"/>
              <w:ind w:left="572"/>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2"/>
              </w:rPr>
              <w:t>(in thousands)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Net sales: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609,114</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85,630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90,731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95,428</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769,169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734,902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704,542</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400"/>
              <w:spacing w:after="0" w:line="230" w:lineRule="exact"/>
              <w:rPr>
                <w:sz w:val="20"/>
                <w:szCs w:val="20"/>
                <w:color w:val="auto"/>
              </w:rPr>
            </w:pPr>
            <w:r>
              <w:rPr>
                <w:rFonts w:ascii="Arial" w:cs="Arial" w:eastAsia="Arial" w:hAnsi="Arial"/>
                <w:sz w:val="26"/>
                <w:szCs w:val="26"/>
                <w:color w:val="auto"/>
                <w:vertAlign w:val="subscript"/>
              </w:rPr>
              <w:t>U.S.</w:t>
            </w:r>
            <w:r>
              <w:rPr>
                <w:rFonts w:ascii="Arial" w:cs="Arial" w:eastAsia="Arial" w:hAnsi="Arial"/>
                <w:sz w:val="10"/>
                <w:szCs w:val="10"/>
                <w:color w:val="auto"/>
              </w:rPr>
              <w:t xml:space="preserve"> (1)(2)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44,213</w:t>
            </w:r>
          </w:p>
        </w:tc>
        <w:tc>
          <w:tcPr>
            <w:tcW w:w="0" w:type="dxa"/>
            <w:vAlign w:val="bottom"/>
          </w:tcPr>
          <w:p>
            <w:pPr>
              <w:spacing w:after="0"/>
              <w:rPr>
                <w:sz w:val="1"/>
                <w:szCs w:val="1"/>
                <w:color w:val="auto"/>
              </w:rPr>
            </w:pPr>
          </w:p>
        </w:tc>
      </w:tr>
      <w:tr>
        <w:trPr>
          <w:trHeight w:val="229"/>
        </w:trPr>
        <w:tc>
          <w:tcPr>
            <w:tcW w:w="72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(3)(4)</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(5,395)</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Unallocated corporate expenses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(20,239)</w:t>
            </w:r>
          </w:p>
        </w:tc>
        <w:tc>
          <w:tcPr>
            <w:tcW w:w="0" w:type="dxa"/>
            <w:vAlign w:val="bottom"/>
          </w:tcPr>
          <w:p>
            <w:pPr>
              <w:spacing w:after="0"/>
              <w:rPr>
                <w:sz w:val="1"/>
                <w:szCs w:val="1"/>
                <w:color w:val="auto"/>
              </w:rPr>
            </w:pPr>
          </w:p>
        </w:tc>
      </w:tr>
      <w:tr>
        <w:trPr>
          <w:trHeight w:val="223"/>
        </w:trPr>
        <w:tc>
          <w:tcPr>
            <w:tcW w:w="7240" w:type="dxa"/>
            <w:vAlign w:val="bottom"/>
          </w:tcPr>
          <w:p>
            <w:pPr>
              <w:ind w:left="680"/>
              <w:spacing w:after="0"/>
              <w:rPr>
                <w:sz w:val="20"/>
                <w:szCs w:val="20"/>
                <w:color w:val="auto"/>
              </w:rPr>
            </w:pPr>
            <w:r>
              <w:rPr>
                <w:rFonts w:ascii="Arial" w:cs="Arial" w:eastAsia="Arial" w:hAnsi="Arial"/>
                <w:sz w:val="18"/>
                <w:szCs w:val="18"/>
                <w:color w:val="auto"/>
              </w:rPr>
              <w:t>Total income from operations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(23,395)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18,579</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Depreciation and amortization:</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400"/>
              <w:spacing w:after="0"/>
              <w:rPr>
                <w:sz w:val="20"/>
                <w:szCs w:val="20"/>
                <w:color w:val="auto"/>
              </w:rPr>
            </w:pPr>
            <w:r>
              <w:rPr>
                <w:rFonts w:ascii="Arial" w:cs="Arial" w:eastAsia="Arial" w:hAnsi="Arial"/>
                <w:sz w:val="18"/>
                <w:szCs w:val="18"/>
                <w:color w:val="auto"/>
              </w:rPr>
              <w:t>U.S.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20,018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20,653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18,840</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w:t>
            </w:r>
          </w:p>
        </w:tc>
        <w:tc>
          <w:tcPr>
            <w:tcW w:w="0" w:type="dxa"/>
            <w:vAlign w:val="bottom"/>
          </w:tcPr>
          <w:p>
            <w:pPr>
              <w:spacing w:after="0"/>
              <w:rPr>
                <w:sz w:val="1"/>
                <w:szCs w:val="1"/>
                <w:color w:val="auto"/>
              </w:rPr>
            </w:pPr>
          </w:p>
        </w:tc>
      </w:tr>
      <w:tr>
        <w:trPr>
          <w:trHeight w:val="223"/>
        </w:trPr>
        <w:tc>
          <w:tcPr>
            <w:tcW w:w="7240" w:type="dxa"/>
            <w:vAlign w:val="bottom"/>
          </w:tcPr>
          <w:p>
            <w:pPr>
              <w:ind w:left="680"/>
              <w:spacing w:after="0"/>
              <w:rPr>
                <w:sz w:val="20"/>
                <w:szCs w:val="20"/>
                <w:color w:val="auto"/>
              </w:rPr>
            </w:pPr>
            <w:r>
              <w:rPr>
                <w:rFonts w:ascii="Arial" w:cs="Arial" w:eastAsia="Arial" w:hAnsi="Arial"/>
                <w:sz w:val="18"/>
                <w:szCs w:val="18"/>
                <w:color w:val="auto"/>
              </w:rPr>
              <w:t>Total depreciation and amortization</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23,329</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Capital expenditures: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360"/>
              <w:spacing w:after="0"/>
              <w:rPr>
                <w:sz w:val="20"/>
                <w:szCs w:val="20"/>
                <w:color w:val="auto"/>
              </w:rPr>
            </w:pPr>
            <w:r>
              <w:rPr>
                <w:rFonts w:ascii="Arial" w:cs="Arial" w:eastAsia="Arial" w:hAnsi="Arial"/>
                <w:sz w:val="18"/>
                <w:szCs w:val="18"/>
                <w:color w:val="auto"/>
              </w:rPr>
              <w:t>U.S.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1,467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2,078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7,746</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7240" w:type="dxa"/>
            <w:vAlign w:val="bottom"/>
          </w:tcPr>
          <w:p>
            <w:pPr>
              <w:ind w:left="680"/>
              <w:spacing w:after="0"/>
              <w:rPr>
                <w:sz w:val="20"/>
                <w:szCs w:val="20"/>
                <w:color w:val="auto"/>
              </w:rPr>
            </w:pPr>
            <w:r>
              <w:rPr>
                <w:rFonts w:ascii="Arial" w:cs="Arial" w:eastAsia="Arial" w:hAnsi="Arial"/>
                <w:sz w:val="18"/>
                <w:szCs w:val="18"/>
                <w:color w:val="auto"/>
              </w:rPr>
              <w:t>Total capital expenditures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7,902</w:t>
            </w:r>
          </w:p>
        </w:tc>
        <w:tc>
          <w:tcPr>
            <w:tcW w:w="0" w:type="dxa"/>
            <w:vAlign w:val="bottom"/>
          </w:tcPr>
          <w:p>
            <w:pPr>
              <w:spacing w:after="0"/>
              <w:rPr>
                <w:sz w:val="1"/>
                <w:szCs w:val="1"/>
                <w:color w:val="auto"/>
              </w:rPr>
            </w:pPr>
          </w:p>
        </w:tc>
      </w:tr>
      <w:tr>
        <w:trPr>
          <w:trHeight w:val="21"/>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00" w:right="160" w:hanging="492"/>
        <w:spacing w:after="0" w:line="232" w:lineRule="auto"/>
        <w:tabs>
          <w:tab w:leader="none" w:pos="488" w:val="left"/>
        </w:tabs>
        <w:numPr>
          <w:ilvl w:val="0"/>
          <w:numId w:val="37"/>
        </w:numPr>
        <w:rPr>
          <w:rFonts w:ascii="Arial" w:cs="Arial" w:eastAsia="Arial" w:hAnsi="Arial"/>
          <w:sz w:val="22"/>
          <w:szCs w:val="22"/>
          <w:color w:val="auto"/>
          <w:vertAlign w:val="superscript"/>
        </w:rPr>
      </w:pPr>
      <w:r>
        <w:rPr>
          <w:rFonts w:ascii="Arial" w:cs="Arial" w:eastAsia="Arial" w:hAnsi="Arial"/>
          <w:sz w:val="17"/>
          <w:szCs w:val="17"/>
          <w:color w:val="auto"/>
        </w:rPr>
        <w:t>In 2019 and 2018, income from operations for the U.S. segment includes $0.7 million and $2.1 million of restructuring expenses related to the U.S. restructuring plan and the Filament integration, respectively, as described in NOTE 1 — SIGNIFICANT ACCOUNTING POLICIES</w:t>
      </w:r>
    </w:p>
    <w:p>
      <w:pPr>
        <w:spacing w:after="0" w:line="1" w:lineRule="exact"/>
        <w:rPr>
          <w:rFonts w:ascii="Arial" w:cs="Arial" w:eastAsia="Arial" w:hAnsi="Arial"/>
          <w:sz w:val="22"/>
          <w:szCs w:val="22"/>
          <w:color w:val="auto"/>
          <w:vertAlign w:val="superscript"/>
        </w:rPr>
      </w:pPr>
    </w:p>
    <w:p>
      <w:pPr>
        <w:ind w:left="500" w:right="580" w:hanging="492"/>
        <w:spacing w:after="0" w:line="199" w:lineRule="auto"/>
        <w:tabs>
          <w:tab w:leader="none" w:pos="488"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In 2020 and 2019, the Company recognized non-cash impairment charges of $20.1 million and $33.2 million, respectively, related to the U.S. segment as described in NOTE 7 — GOODWILL AND INTANGIBLE ASSETS</w:t>
      </w:r>
    </w:p>
    <w:p>
      <w:pPr>
        <w:ind w:left="500" w:right="160" w:hanging="492"/>
        <w:spacing w:after="0" w:line="219" w:lineRule="auto"/>
        <w:tabs>
          <w:tab w:leader="none" w:pos="488"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In 2020, 2019 and 2018, income from operations for the International segment includes $0.2 million, $0.7 million and $0.2 million, respectively, of restructuring expenses, as described in NOTE 1 — SIGNIFICANT ACCOUNTING POLICIES.</w:t>
      </w:r>
    </w:p>
    <w:p>
      <w:pPr>
        <w:ind w:left="500" w:right="100" w:hanging="492"/>
        <w:spacing w:after="0" w:line="214" w:lineRule="auto"/>
        <w:tabs>
          <w:tab w:leader="none" w:pos="488" w:val="left"/>
        </w:tabs>
        <w:numPr>
          <w:ilvl w:val="0"/>
          <w:numId w:val="37"/>
        </w:numPr>
        <w:rPr>
          <w:rFonts w:ascii="Arial" w:cs="Arial" w:eastAsia="Arial" w:hAnsi="Arial"/>
          <w:sz w:val="21"/>
          <w:szCs w:val="21"/>
          <w:color w:val="auto"/>
          <w:vertAlign w:val="superscript"/>
        </w:rPr>
      </w:pPr>
      <w:r>
        <w:rPr>
          <w:rFonts w:ascii="Arial" w:cs="Arial" w:eastAsia="Arial" w:hAnsi="Arial"/>
          <w:sz w:val="16"/>
          <w:szCs w:val="16"/>
          <w:color w:val="auto"/>
        </w:rPr>
        <w:t xml:space="preserve">In 2019 and 2018, </w:t>
      </w:r>
      <w:r>
        <w:rPr>
          <w:rFonts w:ascii="Arial" w:cs="Arial" w:eastAsia="Arial" w:hAnsi="Arial"/>
          <w:sz w:val="17"/>
          <w:szCs w:val="17"/>
          <w:color w:val="auto"/>
        </w:rPr>
        <w:t>T</w:t>
      </w:r>
      <w:r>
        <w:rPr>
          <w:rFonts w:ascii="Arial" w:cs="Arial" w:eastAsia="Arial" w:hAnsi="Arial"/>
          <w:sz w:val="16"/>
          <w:szCs w:val="16"/>
          <w:color w:val="auto"/>
        </w:rPr>
        <w:t>he Company recognized a $9.7 million non-cash goodwill impairment charge related to the European kitchenware business and a non-cash goodwill impairment charge of $2.2 million related to the European tableware business, respectively, as described in NOTE 7 —</w:t>
      </w:r>
    </w:p>
    <w:p>
      <w:pPr>
        <w:ind w:left="500"/>
        <w:spacing w:after="0"/>
        <w:rPr>
          <w:rFonts w:ascii="Arial" w:cs="Arial" w:eastAsia="Arial" w:hAnsi="Arial"/>
          <w:sz w:val="21"/>
          <w:szCs w:val="21"/>
          <w:color w:val="auto"/>
          <w:vertAlign w:val="superscript"/>
        </w:rPr>
      </w:pPr>
      <w:r>
        <w:rPr>
          <w:rFonts w:ascii="Arial" w:cs="Arial" w:eastAsia="Arial" w:hAnsi="Arial"/>
          <w:sz w:val="18"/>
          <w:szCs w:val="18"/>
          <w:color w:val="auto"/>
        </w:rPr>
        <w:t>GOODWILL AND INTANGIBLE ASSETS</w:t>
      </w:r>
    </w:p>
    <w:p>
      <w:pPr>
        <w:spacing w:after="0" w:line="255"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23495</wp:posOffset>
            </wp:positionV>
            <wp:extent cx="16630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3">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22" w:lineRule="exact"/>
        <w:rPr>
          <w:sz w:val="20"/>
          <w:szCs w:val="20"/>
          <w:color w:val="auto"/>
        </w:rPr>
      </w:pPr>
    </w:p>
    <w:p>
      <w:pPr>
        <w:ind w:left="9100"/>
        <w:spacing w:after="0"/>
        <w:tabs>
          <w:tab w:leader="none" w:pos="104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6" w:lineRule="exact"/>
        <w:rPr>
          <w:sz w:val="20"/>
          <w:szCs w:val="20"/>
          <w:color w:val="auto"/>
        </w:rPr>
      </w:pPr>
    </w:p>
    <w:p>
      <w:pPr>
        <w:ind w:left="9520"/>
        <w:spacing w:after="0"/>
        <w:rPr>
          <w:sz w:val="20"/>
          <w:szCs w:val="20"/>
          <w:color w:val="auto"/>
        </w:rPr>
      </w:pPr>
      <w:r>
        <w:rPr>
          <w:rFonts w:ascii="Arial" w:cs="Arial" w:eastAsia="Arial" w:hAnsi="Arial"/>
          <w:sz w:val="14"/>
          <w:szCs w:val="14"/>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4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9"/>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w:t>
            </w:r>
          </w:p>
        </w:tc>
        <w:tc>
          <w:tcPr>
            <w:tcW w:w="52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661,321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639,047</w:t>
            </w:r>
          </w:p>
        </w:tc>
      </w:tr>
      <w:tr>
        <w:trPr>
          <w:trHeight w:val="230"/>
        </w:trPr>
        <w:tc>
          <w:tcPr>
            <w:tcW w:w="370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4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110,222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117,935</w:t>
            </w:r>
          </w:p>
        </w:tc>
      </w:tr>
      <w:tr>
        <w:trPr>
          <w:trHeight w:val="229"/>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Unallocated corporate</w:t>
            </w:r>
          </w:p>
        </w:tc>
        <w:tc>
          <w:tcPr>
            <w:tcW w:w="49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13,041</w:t>
            </w:r>
          </w:p>
        </w:tc>
      </w:tr>
      <w:tr>
        <w:trPr>
          <w:trHeight w:val="223"/>
        </w:trPr>
        <w:tc>
          <w:tcPr>
            <w:tcW w:w="370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49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807,481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770,023</w:t>
            </w:r>
          </w:p>
        </w:tc>
      </w:tr>
      <w:tr>
        <w:trPr>
          <w:trHeight w:val="20"/>
        </w:trPr>
        <w:tc>
          <w:tcPr>
            <w:tcW w:w="37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749"/>
        </w:trPr>
        <w:tc>
          <w:tcPr>
            <w:tcW w:w="3700" w:type="dxa"/>
            <w:vAlign w:val="bottom"/>
          </w:tcPr>
          <w:p>
            <w:pPr>
              <w:spacing w:after="0"/>
              <w:rPr>
                <w:sz w:val="24"/>
                <w:szCs w:val="24"/>
                <w:color w:val="auto"/>
              </w:rPr>
            </w:pPr>
          </w:p>
        </w:tc>
        <w:tc>
          <w:tcPr>
            <w:tcW w:w="5280" w:type="dxa"/>
            <w:vAlign w:val="bottom"/>
            <w:gridSpan w:val="2"/>
          </w:tcPr>
          <w:p>
            <w:pPr>
              <w:jc w:val="right"/>
              <w:ind w:right="3090"/>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-35</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49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center"/>
              <w:ind w:right="212"/>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87"/>
        </w:trPr>
        <w:tc>
          <w:tcPr>
            <w:tcW w:w="8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8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center"/>
              <w:ind w:left="455"/>
              <w:spacing w:after="0"/>
              <w:rPr>
                <w:sz w:val="20"/>
                <w:szCs w:val="20"/>
                <w:color w:val="auto"/>
              </w:rPr>
            </w:pPr>
            <w:r>
              <w:rPr>
                <w:rFonts w:ascii="Arial" w:cs="Arial" w:eastAsia="Arial" w:hAnsi="Arial"/>
                <w:sz w:val="14"/>
                <w:szCs w:val="14"/>
                <w:color w:val="auto"/>
                <w:w w:val="92"/>
              </w:rPr>
              <w:t>(in thousands)</w:t>
            </w: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b w:val="1"/>
                <w:bCs w:val="1"/>
                <w:color w:val="auto"/>
              </w:rPr>
              <w:t>Goodwill:</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Arial" w:cs="Arial" w:eastAsia="Arial" w:hAnsi="Arial"/>
                <w:sz w:val="18"/>
                <w:szCs w:val="18"/>
                <w:color w:val="auto"/>
              </w:rPr>
              <w:t>Beginning balance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49,371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81,641</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Purchase price adjustment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Impairment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(33,242)</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49,371</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International</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6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Beginning balance</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10,049</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Impairment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w:t>
            </w:r>
          </w:p>
        </w:tc>
        <w:tc>
          <w:tcPr>
            <w:tcW w:w="0" w:type="dxa"/>
            <w:vAlign w:val="bottom"/>
          </w:tcPr>
          <w:p>
            <w:pPr>
              <w:spacing w:after="0"/>
              <w:rPr>
                <w:sz w:val="1"/>
                <w:szCs w:val="1"/>
                <w:color w:val="auto"/>
              </w:rPr>
            </w:pPr>
          </w:p>
        </w:tc>
      </w:tr>
      <w:tr>
        <w:trPr>
          <w:trHeight w:val="223"/>
        </w:trPr>
        <w:tc>
          <w:tcPr>
            <w:tcW w:w="8620" w:type="dxa"/>
            <w:vAlign w:val="bottom"/>
          </w:tcPr>
          <w:p>
            <w:pPr>
              <w:ind w:left="68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goodwill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49,371</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Geographical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86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20" w:type="dxa"/>
            <w:vAlign w:val="bottom"/>
          </w:tcPr>
          <w:p>
            <w:pPr>
              <w:spacing w:after="0"/>
              <w:rPr>
                <w:sz w:val="20"/>
                <w:szCs w:val="20"/>
                <w:color w:val="auto"/>
              </w:rPr>
            </w:pPr>
            <w:r>
              <w:rPr>
                <w:rFonts w:ascii="Arial" w:cs="Arial" w:eastAsia="Arial" w:hAnsi="Arial"/>
                <w:sz w:val="18"/>
                <w:szCs w:val="18"/>
                <w:color w:val="auto"/>
              </w:rPr>
              <w:t>The following table sets forth long-lived assets by the major geographic locations: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4"/>
                <w:szCs w:val="14"/>
                <w:b w:val="1"/>
                <w:bCs w:val="1"/>
                <w:color w:val="auto"/>
                <w:w w:val="92"/>
              </w:rPr>
              <w:t>December,</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8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8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center"/>
              <w:ind w:left="455"/>
              <w:spacing w:after="0"/>
              <w:rPr>
                <w:sz w:val="20"/>
                <w:szCs w:val="20"/>
                <w:color w:val="auto"/>
              </w:rPr>
            </w:pPr>
            <w:r>
              <w:rPr>
                <w:rFonts w:ascii="Arial" w:cs="Arial" w:eastAsia="Arial" w:hAnsi="Arial"/>
                <w:sz w:val="14"/>
                <w:szCs w:val="14"/>
                <w:color w:val="auto"/>
                <w:w w:val="92"/>
              </w:rPr>
              <w:t>(in thousands)</w:t>
            </w: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b w:val="1"/>
                <w:bCs w:val="1"/>
                <w:color w:val="auto"/>
              </w:rPr>
              <w:t>Long-lived assets, excluding intangible assets, at period-end:</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23,455</w:t>
            </w:r>
          </w:p>
        </w:tc>
        <w:tc>
          <w:tcPr>
            <w:tcW w:w="0" w:type="dxa"/>
            <w:vAlign w:val="bottom"/>
          </w:tcPr>
          <w:p>
            <w:pPr>
              <w:spacing w:after="0"/>
              <w:rPr>
                <w:sz w:val="1"/>
                <w:szCs w:val="1"/>
                <w:color w:val="auto"/>
              </w:rPr>
            </w:pP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Mexico</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21,288</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Kingdom</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8,353</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Rest of World</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53,528</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Royalties</w:t>
      </w:r>
    </w:p>
    <w:p>
      <w:pPr>
        <w:spacing w:after="0" w:line="121" w:lineRule="exact"/>
        <w:rPr>
          <w:sz w:val="20"/>
          <w:szCs w:val="20"/>
          <w:color w:val="auto"/>
        </w:rPr>
      </w:pPr>
    </w:p>
    <w:p>
      <w:pPr>
        <w:ind w:right="440"/>
        <w:spacing w:after="0" w:line="269" w:lineRule="auto"/>
        <w:rPr>
          <w:sz w:val="20"/>
          <w:szCs w:val="20"/>
          <w:color w:val="auto"/>
        </w:rPr>
      </w:pPr>
      <w:r>
        <w:rPr>
          <w:rFonts w:ascii="Arial" w:cs="Arial" w:eastAsia="Arial" w:hAnsi="Arial"/>
          <w:sz w:val="18"/>
          <w:szCs w:val="18"/>
          <w:color w:val="auto"/>
        </w:rPr>
        <w:t>The Company has license agreements that require the payment of royalties on sales of licensed products which expire through 2048. Future minimum royalties payable under these agreements are as follows (in thousands):</w:t>
      </w:r>
    </w:p>
    <w:tbl>
      <w:tblPr>
        <w:tblLayout w:type="fixed"/>
        <w:tblInd w:w="0" w:type="dxa"/>
        <w:tblCellMar>
          <w:top w:w="0" w:type="dxa"/>
          <w:left w:w="0" w:type="dxa"/>
          <w:bottom w:w="0" w:type="dxa"/>
          <w:right w:w="0" w:type="dxa"/>
        </w:tblCellMar>
      </w:tblPr>
      <w:tr>
        <w:trPr>
          <w:trHeight w:val="192"/>
        </w:trPr>
        <w:tc>
          <w:tcPr>
            <w:tcW w:w="998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5"/>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10,045</w:t>
            </w:r>
          </w:p>
        </w:tc>
      </w:tr>
      <w:tr>
        <w:trPr>
          <w:trHeight w:val="230"/>
        </w:trPr>
        <w:tc>
          <w:tcPr>
            <w:tcW w:w="9980" w:type="dxa"/>
            <w:vAlign w:val="bottom"/>
          </w:tcPr>
          <w:p>
            <w:pPr>
              <w:ind w:left="20"/>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10,091</w:t>
            </w:r>
          </w:p>
        </w:tc>
      </w:tr>
      <w:tr>
        <w:trPr>
          <w:trHeight w:val="230"/>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29"/>
        </w:trPr>
        <w:tc>
          <w:tcPr>
            <w:tcW w:w="9980" w:type="dxa"/>
            <w:vAlign w:val="bottom"/>
          </w:tcPr>
          <w:p>
            <w:pPr>
              <w:ind w:left="20"/>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582</w:t>
            </w:r>
          </w:p>
        </w:tc>
      </w:tr>
      <w:tr>
        <w:trPr>
          <w:trHeight w:val="230"/>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5,243</w:t>
            </w:r>
          </w:p>
        </w:tc>
      </w:tr>
      <w:tr>
        <w:trPr>
          <w:trHeight w:val="248"/>
        </w:trPr>
        <w:tc>
          <w:tcPr>
            <w:tcW w:w="9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26,771</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444444"/>
        </w:rPr>
        <w:t>F</w:t>
      </w:r>
      <w:r>
        <w:rPr>
          <w:rFonts w:ascii="Arial" w:cs="Arial" w:eastAsia="Arial" w:hAnsi="Arial"/>
          <w:sz w:val="16"/>
          <w:szCs w:val="16"/>
          <w:color w:val="000000"/>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Wallace EPA Matter</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Wallace Silversmiths de Puerto Rico, Ltd. (“WSPR”), a wholly-owned subsidiary of the Company, operates a manufacturing facility in San Germán, Puerto Rico that is leased from the Puerto Rico Industrial Development Company (“PRIDCO”). In March 2008, the United States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32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the floors of the building and conducting periodic air monitoring to address potential exposure.</w:t>
      </w:r>
    </w:p>
    <w:p>
      <w:pPr>
        <w:spacing w:after="0" w:line="207"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On August 13, 2015, the EPA released its remedial investigation and feasibility study (“RI/FS”) for the Site. On December 11, 2015, the EPA issued the Record of Decision (“ROD”) for an initial operable unit, electing to implement its preferred remedy which consists of soil vapor extraction and dual-phase extraction/in-situ treatment. This selected remedy includes soil vapor extraction (“SVE”) to address soil (vadose zone) source areas at the Site, impermeable cover as necessary for the implementation of SVE, dual phase extraction in the shallow saprolite zone, and in-situ treatment as needed to address residual sources. The EPA’s total net present worth estimated cost for its selected remedy is $7.3 million. The EPA also designated a second operable unit under which the EPA has and will continue to conduct further investigations to determine the nature and extent of groundwater contamination, as well as a determination by the EPA on the necessity of any further response actions to address groundwater contamination. In February 2017, the EPA indicated that it planned to expand its field investigation for the RI/FS to a second operable unit to further determine the nature and extent of the groundwater contamination at and from the Site and to determine the nature of the remedial action needed to address the contamination. The EPA has requested access to the property occupied by WSPR to install monitoring wells and to undertake groundwater sampling as part of this expanded investigation. WSPR has consented to the EPA’s access request, provided that the EPA receives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18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 December 2018, the Company, WSPR, and other identified Potentially Responsible Parties affiliated with the Site entered into tolling agreements to extend the statute of limitations for potential claims for the recovery of response costs for the initial operable unit under Section 107 of CERCLA. In February 2020, the tolling agreements were extended to November 2020. In November 2020, the tolling agreements were extended to November 2021. The tolling agreements do not constitute in any way an admission or acknowledgment of any fact, conclusion of law or liability by the parties to the agreements.</w:t>
      </w:r>
    </w:p>
    <w:p>
      <w:pPr>
        <w:spacing w:after="0" w:line="197"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The EPA released its proposed plan for a second operable unit in July 2019. The public comment period for the proposed plan ended on September 10, 2019. On September 30, 2019, the EPA issued the ROD for operable unit 2 (“OU-2”), electing to implement its preferred remedy which consists of in-situ treatment of groundwater and a monitored natural attenuation program including monitoring of the plume fringe at the Site. The EPA’s estimated total net present worth cost for its selected remedy is $17.3 million.</w:t>
      </w:r>
    </w:p>
    <w:p>
      <w:pPr>
        <w:spacing w:after="0" w:line="215"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Accordingly, based on the above uncertainties and variables, it is not possible at this time for the Company to estimate its share of liability, if any, related to this matter. However, in the event of one or more adverse determinations related to this matter, it is possible that the ultimate liability resulting from this matter and the impact on the Company’s results of operations could be material.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Customs and Border Protection matter</w:t>
      </w:r>
    </w:p>
    <w:p>
      <w:pPr>
        <w:spacing w:after="0" w:line="225"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By letter dated August 26, 2019, the Company was advised that U.S. Customs and Border Protection ("CBP") had commenced an investigation, pursuant to 19,000 U.S.C. §1592, regarding the Company’s tariff classification of certain tableware and kitchenware. The issue centers on whether such merchandise meets the criteria for reduced duty rates as specified sets as those terms are defined in Chapter 69, Note 6(b), Harmonized Tariff System of the United States. The period of investigation is stated to be from August 26, 2014 to the present. Since being notified of the investigation, the Company has obtained a significant amount of evidence that,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444444"/>
        </w:rPr>
        <w:t>F</w:t>
      </w:r>
      <w:r>
        <w:rPr>
          <w:rFonts w:ascii="Arial" w:cs="Arial" w:eastAsia="Arial" w:hAnsi="Arial"/>
          <w:sz w:val="16"/>
          <w:szCs w:val="16"/>
          <w:color w:val="00000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13" w:lineRule="exact"/>
        <w:rPr>
          <w:sz w:val="20"/>
          <w:szCs w:val="20"/>
          <w:color w:val="auto"/>
        </w:rPr>
      </w:pPr>
    </w:p>
    <w:p>
      <w:pPr>
        <w:ind w:right="400"/>
        <w:spacing w:after="0" w:line="307" w:lineRule="auto"/>
        <w:rPr>
          <w:sz w:val="20"/>
          <w:szCs w:val="20"/>
          <w:color w:val="auto"/>
        </w:rPr>
      </w:pPr>
      <w:r>
        <w:rPr>
          <w:rFonts w:ascii="Arial" w:cs="Arial" w:eastAsia="Arial" w:hAnsi="Arial"/>
          <w:sz w:val="16"/>
          <w:szCs w:val="16"/>
          <w:color w:val="auto"/>
        </w:rPr>
        <w:t>Company believes, supports that the imported products were properly classified as specified sets. The Company's counsel filed a Lead Protest and Application for Further Review with CBP on February 5, 2020 (the "Lead Protest") relating to a single shipment made during the investigation period.</w:t>
      </w:r>
    </w:p>
    <w:p>
      <w:pPr>
        <w:spacing w:after="0" w:line="164" w:lineRule="exact"/>
        <w:rPr>
          <w:sz w:val="20"/>
          <w:szCs w:val="20"/>
          <w:color w:val="auto"/>
        </w:rPr>
      </w:pPr>
    </w:p>
    <w:p>
      <w:pPr>
        <w:jc w:val="both"/>
        <w:ind w:right="180"/>
        <w:spacing w:after="0" w:line="248" w:lineRule="auto"/>
        <w:rPr>
          <w:sz w:val="20"/>
          <w:szCs w:val="20"/>
          <w:color w:val="auto"/>
        </w:rPr>
      </w:pPr>
      <w:r>
        <w:rPr>
          <w:rFonts w:ascii="Arial" w:cs="Arial" w:eastAsia="Arial" w:hAnsi="Arial"/>
          <w:sz w:val="18"/>
          <w:szCs w:val="18"/>
          <w:color w:val="auto"/>
        </w:rPr>
        <w:t>CBP approved the Company’s Lead Protest on June 8, 2020 stating that the specified set requirement was fulfilled with respect to the protested shipment based on information provided by the Company. Based on this decision, no additional duties will be owed for the seven tableware collections imported in this shipment.</w:t>
      </w:r>
    </w:p>
    <w:p>
      <w:pPr>
        <w:spacing w:after="0" w:line="209"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The Company also compiled and submitted to CBP a complete set of supporting documents for three additional protests (for the remaining 29 tableware collections that were imported by the Company under the protested shipments). One of these three was approved on October 15, 2020; the other two remain pending. If the CBP approves these additional claims and accepts the evidence presented as it did with the Lead Protest, then no additional duties will be owed for the remaining protested shipments.</w:t>
      </w:r>
    </w:p>
    <w:p>
      <w:pPr>
        <w:spacing w:after="0" w:line="201"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Because the period of investigation covers a five-year period, the Company is compiling supporting documentation packages for all tableware collections imported during this period.</w:t>
      </w:r>
    </w:p>
    <w:p>
      <w:pPr>
        <w:spacing w:after="0" w:line="210" w:lineRule="exact"/>
        <w:rPr>
          <w:sz w:val="20"/>
          <w:szCs w:val="20"/>
          <w:color w:val="auto"/>
        </w:rPr>
      </w:pPr>
    </w:p>
    <w:p>
      <w:pPr>
        <w:ind w:right="840"/>
        <w:spacing w:after="0" w:line="257" w:lineRule="auto"/>
        <w:rPr>
          <w:sz w:val="20"/>
          <w:szCs w:val="20"/>
          <w:color w:val="auto"/>
        </w:rPr>
      </w:pPr>
      <w:r>
        <w:rPr>
          <w:rFonts w:ascii="Arial" w:cs="Arial" w:eastAsia="Arial" w:hAnsi="Arial"/>
          <w:sz w:val="18"/>
          <w:szCs w:val="18"/>
          <w:color w:val="auto"/>
        </w:rPr>
        <w:t>In the event CBP accepts the evidence presented, then no additional duties or penalties will be owed. If CBP rejects the Company’s position, then the estimated amount of duties that could be owed is $2.6 million. In such event, it is reasonably possible that additional penalties could be assessed, depending upon the level of culpability found, of up to $5.2 million for negligence and up to $10.4 million for gross negligence. In the event penalties are assessed, the Company will have the opportunity to further contest CBP’s findings and seek cancellation or mitigation of such assessments.</w:t>
      </w:r>
    </w:p>
    <w:p>
      <w:pPr>
        <w:spacing w:after="0" w:line="215"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Accordingly, based on the above uncertainties and variables, the Company considers the potential losses related to this matter to be reasonably possible, but not probable. However, in the event of one or more adverse determinations related to this matter, it is possible that the ultimate liability resulting from this matter and the impact on the Company’s results of operations could be material.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RETIREMENT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 and other defined contribution plans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maintains a defined contribution retirement plan for eligible employees under Section 401(k) of the Internal Revenue Code. Participants can make voluntary contributions up to the Internal Revenue Service limit of $19,500 ($26,000 for employees 50 years or over) for 2020. The Company suspended its matching contribution in 2009 as an expense savings measure. The Company’s United Kingdom-based subsidiary, Lifetime Brands Europe Limited, maintains a defined contribution pension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 obligations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assumed retirement benefit obligations, which are paid to certain former executives of a business acquired in 2006. The obligations under the agreements with these former executives are unfunded and amounted to $8.0 million at December 31, 2020 and $7.3 million at December 31, 2019.</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discount rate used to calculate the retirement benefit obligations was 2.02% at December 31, 2020 and 2.88% at December 31, 2019. The retirement benefit obligations are included in accrued expenses and other long-term liabilities.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Company expects to recognize $0.2 million of actuarial losses included in accumulated other comprehensive loss in net periodic benefit cost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Expected benefit payments for each of the next five fiscal years and in the aggregate for the five fiscal years thereafter are as follows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2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2026 through 2030</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890"/>
        </w:trPr>
        <w:tc>
          <w:tcPr>
            <w:tcW w:w="8620" w:type="dxa"/>
            <w:vAlign w:val="bottom"/>
          </w:tcPr>
          <w:p>
            <w:pPr>
              <w:spacing w:after="0"/>
              <w:rPr>
                <w:sz w:val="20"/>
                <w:szCs w:val="20"/>
                <w:color w:val="auto"/>
              </w:rPr>
            </w:pPr>
            <w:r>
              <w:rPr>
                <w:rFonts w:ascii="Arial" w:cs="Arial" w:eastAsia="Arial" w:hAnsi="Arial"/>
                <w:sz w:val="18"/>
                <w:szCs w:val="18"/>
                <w:b w:val="1"/>
                <w:bCs w:val="1"/>
                <w:color w:val="auto"/>
              </w:rPr>
              <w:t>NOTE 16 — OTHER</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20" w:type="dxa"/>
            <w:vAlign w:val="bottom"/>
          </w:tcPr>
          <w:p>
            <w:pPr>
              <w:spacing w:after="0"/>
              <w:rPr>
                <w:sz w:val="20"/>
                <w:szCs w:val="20"/>
                <w:color w:val="auto"/>
              </w:rPr>
            </w:pPr>
            <w:r>
              <w:rPr>
                <w:rFonts w:ascii="Arial" w:cs="Arial" w:eastAsia="Arial" w:hAnsi="Arial"/>
                <w:sz w:val="18"/>
                <w:szCs w:val="18"/>
                <w:b w:val="1"/>
                <w:bCs w:val="1"/>
                <w:color w:val="auto"/>
              </w:rPr>
              <w:t>Inventory</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20" w:type="dxa"/>
            <w:vAlign w:val="bottom"/>
          </w:tcPr>
          <w:p>
            <w:pPr>
              <w:spacing w:after="0"/>
              <w:rPr>
                <w:sz w:val="20"/>
                <w:szCs w:val="20"/>
                <w:color w:val="auto"/>
              </w:rPr>
            </w:pPr>
            <w:r>
              <w:rPr>
                <w:rFonts w:ascii="Arial" w:cs="Arial" w:eastAsia="Arial" w:hAnsi="Arial"/>
                <w:sz w:val="18"/>
                <w:szCs w:val="18"/>
                <w:color w:val="auto"/>
              </w:rPr>
              <w:t>The components of inventory are as follows: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4"/>
              </w:rPr>
              <w:t>December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8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1"/>
        </w:trPr>
        <w:tc>
          <w:tcPr>
            <w:tcW w:w="8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ind w:left="600"/>
              <w:spacing w:after="0"/>
              <w:rPr>
                <w:sz w:val="20"/>
                <w:szCs w:val="20"/>
                <w:color w:val="auto"/>
              </w:rPr>
            </w:pPr>
            <w:r>
              <w:rPr>
                <w:rFonts w:ascii="Arial" w:cs="Arial" w:eastAsia="Arial" w:hAnsi="Arial"/>
                <w:sz w:val="14"/>
                <w:szCs w:val="14"/>
                <w:color w:val="auto"/>
                <w:w w:val="96"/>
              </w:rPr>
              <w:t>(in thousands)</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194,209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165,950</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7,416</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203,164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173,427</w:t>
            </w: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8"/>
                <w:szCs w:val="18"/>
                <w:b w:val="1"/>
                <w:bCs w:val="1"/>
                <w:color w:val="auto"/>
              </w:rPr>
              <w:t>Property and equipment</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1"/>
        </w:trPr>
        <w:tc>
          <w:tcPr>
            <w:tcW w:w="86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20" w:type="dxa"/>
            <w:vAlign w:val="bottom"/>
          </w:tcPr>
          <w:p>
            <w:pPr>
              <w:spacing w:after="0"/>
              <w:rPr>
                <w:sz w:val="20"/>
                <w:szCs w:val="20"/>
                <w:color w:val="auto"/>
              </w:rPr>
            </w:pPr>
            <w:r>
              <w:rPr>
                <w:rFonts w:ascii="Arial" w:cs="Arial" w:eastAsia="Arial" w:hAnsi="Arial"/>
                <w:sz w:val="18"/>
                <w:szCs w:val="18"/>
                <w:color w:val="auto"/>
              </w:rPr>
              <w:t>Property and equipment (including finance leases) consist of:</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ind w:left="600"/>
              <w:spacing w:after="0"/>
              <w:rPr>
                <w:sz w:val="20"/>
                <w:szCs w:val="20"/>
                <w:color w:val="auto"/>
              </w:rPr>
            </w:pPr>
            <w:r>
              <w:rPr>
                <w:rFonts w:ascii="Arial" w:cs="Arial" w:eastAsia="Arial" w:hAnsi="Arial"/>
                <w:sz w:val="14"/>
                <w:szCs w:val="14"/>
                <w:b w:val="1"/>
                <w:bCs w:val="1"/>
                <w:color w:val="auto"/>
                <w:w w:val="94"/>
              </w:rPr>
              <w:t>December 31,</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8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6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5"/>
        </w:trPr>
        <w:tc>
          <w:tcPr>
            <w:tcW w:w="8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ind w:left="600"/>
              <w:spacing w:after="0"/>
              <w:rPr>
                <w:sz w:val="20"/>
                <w:szCs w:val="20"/>
                <w:color w:val="auto"/>
              </w:rPr>
            </w:pPr>
            <w:r>
              <w:rPr>
                <w:rFonts w:ascii="Arial" w:cs="Arial" w:eastAsia="Arial" w:hAnsi="Arial"/>
                <w:sz w:val="14"/>
                <w:szCs w:val="14"/>
                <w:color w:val="auto"/>
                <w:w w:val="96"/>
              </w:rPr>
              <w:t>(in thousands)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furniture and equipment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73,634</w:t>
            </w: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38,467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38,293</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 and software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35,458</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148,602</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(127,816)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(120,434)</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28,168</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Depreciation and amortization expense of property and equipment for the years ended December 31, 2020, 2019 and 2018 was $7.4 million, $8.0 million and $8.0 million,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444444"/>
        </w:rPr>
        <w:t>F</w:t>
      </w:r>
      <w:r>
        <w:rPr>
          <w:rFonts w:ascii="Arial" w:cs="Arial" w:eastAsia="Arial" w:hAnsi="Arial"/>
          <w:sz w:val="16"/>
          <w:szCs w:val="16"/>
          <w:color w:val="00000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term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 term liabilities consist of:</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w w:val="94"/>
              </w:rPr>
              <w:t>December 31,</w:t>
            </w: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2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2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gridSpan w:val="5"/>
            <w:shd w:val="clear" w:color="auto" w:fill="CCEEFF"/>
          </w:tcPr>
          <w:p>
            <w:pPr>
              <w:ind w:left="740"/>
              <w:spacing w:after="0"/>
              <w:rPr>
                <w:sz w:val="20"/>
                <w:szCs w:val="20"/>
                <w:color w:val="auto"/>
              </w:rPr>
            </w:pPr>
            <w:r>
              <w:rPr>
                <w:rFonts w:ascii="Arial" w:cs="Arial" w:eastAsia="Arial" w:hAnsi="Arial"/>
                <w:sz w:val="14"/>
                <w:szCs w:val="14"/>
                <w:color w:val="auto"/>
                <w:w w:val="96"/>
              </w:rPr>
              <w:t>(in thousands)</w:t>
            </w: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Retirement benefit obligations</w:t>
            </w: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7,534</w:t>
            </w:r>
          </w:p>
        </w:tc>
        <w:tc>
          <w:tcPr>
            <w:tcW w:w="40" w:type="dxa"/>
            <w:vAlign w:val="bottom"/>
          </w:tcPr>
          <w:p>
            <w:pPr>
              <w:spacing w:after="0"/>
              <w:rPr>
                <w:sz w:val="19"/>
                <w:szCs w:val="19"/>
                <w:color w:val="auto"/>
              </w:rPr>
            </w:pPr>
          </w:p>
        </w:tc>
        <w:tc>
          <w:tcPr>
            <w:tcW w:w="52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non-income tax liabilities</w:t>
            </w:r>
          </w:p>
        </w:tc>
        <w:tc>
          <w:tcPr>
            <w:tcW w:w="2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Derivative financial instruments</w:t>
            </w: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Unearned revenues</w:t>
            </w:r>
          </w:p>
        </w:tc>
        <w:tc>
          <w:tcPr>
            <w:tcW w:w="2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Deferred payroll non-income tax liabilities</w:t>
            </w: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obligation</w:t>
            </w:r>
          </w:p>
        </w:tc>
        <w:tc>
          <w:tcPr>
            <w:tcW w:w="2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 term obligations</w:t>
            </w:r>
          </w:p>
        </w:tc>
        <w:tc>
          <w:tcPr>
            <w:tcW w:w="26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16,483</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Accrued expenses</w:t>
            </w:r>
          </w:p>
        </w:tc>
        <w:tc>
          <w:tcPr>
            <w:tcW w:w="2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620" w:type="dxa"/>
            <w:vAlign w:val="bottom"/>
            <w:vMerge w:val="continue"/>
          </w:tcPr>
          <w:p>
            <w:pPr>
              <w:spacing w:after="0"/>
              <w:rPr>
                <w:sz w:val="24"/>
                <w:szCs w:val="24"/>
                <w:color w:val="auto"/>
              </w:rPr>
            </w:pP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20" w:type="dxa"/>
            <w:vAlign w:val="bottom"/>
          </w:tcPr>
          <w:p>
            <w:pPr>
              <w:spacing w:after="0"/>
              <w:rPr>
                <w:sz w:val="20"/>
                <w:szCs w:val="20"/>
                <w:color w:val="auto"/>
              </w:rPr>
            </w:pPr>
            <w:r>
              <w:rPr>
                <w:rFonts w:ascii="Arial" w:cs="Arial" w:eastAsia="Arial" w:hAnsi="Arial"/>
                <w:sz w:val="18"/>
                <w:szCs w:val="18"/>
                <w:color w:val="auto"/>
              </w:rPr>
              <w:t>Accrued expenses consist of:</w:t>
            </w: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w w:val="94"/>
              </w:rPr>
              <w:t>December 31,</w:t>
            </w: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6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5"/>
          </w:tcPr>
          <w:p>
            <w:pPr>
              <w:ind w:left="740"/>
              <w:spacing w:after="0"/>
              <w:rPr>
                <w:sz w:val="20"/>
                <w:szCs w:val="20"/>
                <w:color w:val="auto"/>
              </w:rPr>
            </w:pPr>
            <w:r>
              <w:rPr>
                <w:rFonts w:ascii="Arial" w:cs="Arial" w:eastAsia="Arial" w:hAnsi="Arial"/>
                <w:sz w:val="14"/>
                <w:szCs w:val="14"/>
                <w:color w:val="auto"/>
                <w:w w:val="96"/>
              </w:rPr>
              <w:t>(in thousands)</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allowances and rebates</w:t>
            </w:r>
          </w:p>
        </w:tc>
        <w:tc>
          <w:tcPr>
            <w:tcW w:w="26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30,913</w:t>
            </w:r>
          </w:p>
        </w:tc>
        <w:tc>
          <w:tcPr>
            <w:tcW w:w="4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18,834</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Compensation and benefits</w:t>
            </w: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19,016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2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Vendor invoices</w:t>
            </w: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6,536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2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Commissions</w:t>
            </w: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Freight</w:t>
            </w:r>
          </w:p>
        </w:tc>
        <w:tc>
          <w:tcPr>
            <w:tcW w:w="2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Restructuring</w:t>
            </w: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9,720</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360"/>
              <w:spacing w:after="0"/>
              <w:rPr>
                <w:sz w:val="20"/>
                <w:szCs w:val="20"/>
                <w:color w:val="auto"/>
              </w:rPr>
            </w:pPr>
            <w:r>
              <w:rPr>
                <w:rFonts w:ascii="Arial" w:cs="Arial" w:eastAsia="Arial" w:hAnsi="Arial"/>
                <w:sz w:val="18"/>
                <w:szCs w:val="18"/>
                <w:color w:val="auto"/>
              </w:rPr>
              <w:t>Total</w:t>
            </w: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80,050</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52,060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4620" w:type="dxa"/>
            <w:vAlign w:val="bottom"/>
            <w:vMerge w:val="continue"/>
          </w:tcPr>
          <w:p>
            <w:pPr>
              <w:spacing w:after="0"/>
              <w:rPr>
                <w:sz w:val="24"/>
                <w:szCs w:val="24"/>
                <w:color w:val="auto"/>
              </w:rPr>
            </w:pP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9"/>
          </w:tcPr>
          <w:p>
            <w:pPr>
              <w:jc w:val="center"/>
              <w:ind w:left="437"/>
              <w:spacing w:after="0"/>
              <w:rPr>
                <w:sz w:val="20"/>
                <w:szCs w:val="20"/>
                <w:color w:val="auto"/>
              </w:rPr>
            </w:pPr>
            <w:r>
              <w:rPr>
                <w:rFonts w:ascii="Arial" w:cs="Arial" w:eastAsia="Arial" w:hAnsi="Arial"/>
                <w:sz w:val="14"/>
                <w:szCs w:val="14"/>
                <w:b w:val="1"/>
                <w:bCs w:val="1"/>
                <w:color w:val="auto"/>
                <w:w w:val="93"/>
              </w:rPr>
              <w:t>Year Ended December 31,</w:t>
            </w:r>
          </w:p>
        </w:tc>
        <w:tc>
          <w:tcPr>
            <w:tcW w:w="8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6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75"/>
              <w:spacing w:after="0"/>
              <w:rPr>
                <w:sz w:val="20"/>
                <w:szCs w:val="20"/>
                <w:color w:val="auto"/>
              </w:rPr>
            </w:pPr>
            <w:r>
              <w:rPr>
                <w:rFonts w:ascii="Arial" w:cs="Arial" w:eastAsia="Arial" w:hAnsi="Arial"/>
                <w:sz w:val="14"/>
                <w:szCs w:val="14"/>
                <w:color w:val="auto"/>
                <w:w w:val="92"/>
              </w:rPr>
              <w:t>(in thousands)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4620" w:type="dxa"/>
            <w:vAlign w:val="bottom"/>
            <w:shd w:val="clear" w:color="auto" w:fill="CCEEFF"/>
          </w:tcPr>
          <w:p>
            <w:pPr>
              <w:spacing w:after="0"/>
              <w:rPr>
                <w:sz w:val="22"/>
                <w:szCs w:val="22"/>
                <w:color w:val="auto"/>
              </w:rPr>
            </w:pPr>
          </w:p>
        </w:tc>
        <w:tc>
          <w:tcPr>
            <w:tcW w:w="26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gridSpan w:val="2"/>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2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15,476</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18,859</w:t>
            </w:r>
          </w:p>
        </w:tc>
        <w:tc>
          <w:tcPr>
            <w:tcW w:w="40" w:type="dxa"/>
            <w:vAlign w:val="bottom"/>
          </w:tcPr>
          <w:p>
            <w:pPr>
              <w:spacing w:after="0"/>
              <w:rPr>
                <w:sz w:val="19"/>
                <w:szCs w:val="19"/>
                <w:color w:val="auto"/>
              </w:rPr>
            </w:pPr>
          </w:p>
        </w:tc>
        <w:tc>
          <w:tcPr>
            <w:tcW w:w="52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16,319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taxes, net of refunds</w:t>
            </w:r>
          </w:p>
        </w:tc>
        <w:tc>
          <w:tcPr>
            <w:tcW w:w="2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Non-cash investing activities:</w:t>
            </w: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adjustment</w:t>
            </w:r>
          </w:p>
        </w:tc>
        <w:tc>
          <w:tcPr>
            <w:tcW w:w="2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6"/>
        </w:trPr>
        <w:tc>
          <w:tcPr>
            <w:tcW w:w="4620" w:type="dxa"/>
            <w:vAlign w:val="bottom"/>
          </w:tcPr>
          <w:p>
            <w:pPr>
              <w:spacing w:after="0"/>
              <w:rPr>
                <w:sz w:val="24"/>
                <w:szCs w:val="24"/>
                <w:color w:val="auto"/>
              </w:rPr>
            </w:pPr>
          </w:p>
        </w:tc>
        <w:tc>
          <w:tcPr>
            <w:tcW w:w="2900" w:type="dxa"/>
            <w:vAlign w:val="bottom"/>
            <w:gridSpan w:val="2"/>
          </w:tcPr>
          <w:p>
            <w:pPr>
              <w:jc w:val="right"/>
              <w:ind w:right="1720"/>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-40</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accumulated other comprehensive loss, net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center"/>
              <w:ind w:left="572"/>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187"/>
        </w:trPr>
        <w:tc>
          <w:tcPr>
            <w:tcW w:w="7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r>
      <w:tr>
        <w:trPr>
          <w:trHeight w:val="181"/>
        </w:trPr>
        <w:tc>
          <w:tcPr>
            <w:tcW w:w="7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52"/>
              <w:spacing w:after="0"/>
              <w:rPr>
                <w:sz w:val="20"/>
                <w:szCs w:val="20"/>
                <w:color w:val="auto"/>
              </w:rPr>
            </w:pPr>
            <w:r>
              <w:rPr>
                <w:rFonts w:ascii="Arial" w:cs="Arial" w:eastAsia="Arial" w:hAnsi="Arial"/>
                <w:sz w:val="14"/>
                <w:szCs w:val="14"/>
                <w:color w:val="auto"/>
                <w:w w:val="92"/>
              </w:rPr>
              <w:t>(in thousands)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Accumulated translation adjustment: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Balance at beginning of year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(34,019)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(33,727)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(27,821)</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adjustment during period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 xml:space="preserve">Amount reclassified from accumulated other comprehensive loss: </w:t>
            </w:r>
            <w:r>
              <w:rPr>
                <w:rFonts w:ascii="Arial" w:cs="Arial" w:eastAsia="Arial" w:hAnsi="Arial"/>
                <w:sz w:val="10"/>
                <w:szCs w:val="10"/>
                <w:color w:val="auto"/>
              </w:rPr>
              <w:t>(1)</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Currency translation adjustment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(35,846)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(34,019)</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(33,727)</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7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Accumulated deferred gains (losses) on cash flow hedges: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Balance at beginning of year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1,164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fair value adjustment, net of tax</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7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Amounts reclassified from accumulated other comprehensive loss: </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 of cash flow hedges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7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Accumulated effect of retirement benefit obligations: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Balance at beginning of year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(1,518)</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arising from retirement benefit obligations, net of tax</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30"/>
        </w:trPr>
        <w:tc>
          <w:tcPr>
            <w:tcW w:w="7240" w:type="dxa"/>
            <w:vAlign w:val="bottom"/>
          </w:tcPr>
          <w:p>
            <w:pPr>
              <w:ind w:left="20"/>
              <w:spacing w:after="0" w:line="230" w:lineRule="exact"/>
              <w:rPr>
                <w:sz w:val="20"/>
                <w:szCs w:val="20"/>
                <w:color w:val="auto"/>
              </w:rPr>
            </w:pPr>
            <w:r>
              <w:rPr>
                <w:rFonts w:ascii="Arial" w:cs="Arial" w:eastAsia="Arial" w:hAnsi="Arial"/>
                <w:sz w:val="18"/>
                <w:szCs w:val="18"/>
                <w:color w:val="auto"/>
              </w:rPr>
              <w:t>Amount reclassified from accumulated other comprehensive loss:</w:t>
            </w:r>
            <w:r>
              <w:rPr>
                <w:rFonts w:ascii="Arial" w:cs="Arial" w:eastAsia="Arial" w:hAnsi="Arial"/>
                <w:sz w:val="23"/>
                <w:szCs w:val="23"/>
                <w:color w:val="auto"/>
                <w:vertAlign w:val="superscript"/>
              </w:rPr>
              <w:t>(3)</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loss, net of tax</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9"/>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accumulated other comprehensive loss at 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(34,616)</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480" w:hanging="472"/>
        <w:spacing w:after="0"/>
        <w:tabs>
          <w:tab w:leader="none" w:pos="480"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Amount is recorded in equity in earnings on the consolidated statements of operations.</w:t>
      </w:r>
    </w:p>
    <w:p>
      <w:pPr>
        <w:spacing w:after="0" w:line="1" w:lineRule="exact"/>
        <w:rPr>
          <w:rFonts w:ascii="Arial" w:cs="Arial" w:eastAsia="Arial" w:hAnsi="Arial"/>
          <w:sz w:val="23"/>
          <w:szCs w:val="23"/>
          <w:color w:val="auto"/>
          <w:vertAlign w:val="superscript"/>
        </w:rPr>
      </w:pPr>
    </w:p>
    <w:p>
      <w:pPr>
        <w:ind w:left="480" w:hanging="472"/>
        <w:spacing w:after="0" w:line="194" w:lineRule="auto"/>
        <w:tabs>
          <w:tab w:leader="none" w:pos="480"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Amounts reclassified are recorded in interest expense and cost of goods sold on the consolidated statements of operations.</w:t>
      </w:r>
    </w:p>
    <w:p>
      <w:pPr>
        <w:spacing w:after="0" w:line="2" w:lineRule="exact"/>
        <w:rPr>
          <w:rFonts w:ascii="Arial" w:cs="Arial" w:eastAsia="Arial" w:hAnsi="Arial"/>
          <w:sz w:val="23"/>
          <w:szCs w:val="23"/>
          <w:color w:val="auto"/>
          <w:vertAlign w:val="superscript"/>
        </w:rPr>
      </w:pPr>
    </w:p>
    <w:p>
      <w:pPr>
        <w:ind w:left="480" w:hanging="472"/>
        <w:spacing w:after="0" w:line="194" w:lineRule="auto"/>
        <w:tabs>
          <w:tab w:leader="none" w:pos="480"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Amount is recorded in selling, general and administrative expenses on the consolidated statements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Year and Day</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February 26, 2021, the Company acquired the business and certain assets of Year and Day, a designer and distributor of ceramic dinnerware, stainless steel flatware and Italian glassware.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Item 15(a)</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COL. A</w:t>
            </w: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COL. B</w:t>
            </w:r>
          </w:p>
        </w:tc>
        <w:tc>
          <w:tcPr>
            <w:tcW w:w="180" w:type="dxa"/>
            <w:vAlign w:val="bottom"/>
          </w:tcPr>
          <w:p>
            <w:pPr>
              <w:spacing w:after="0"/>
              <w:rPr>
                <w:sz w:val="14"/>
                <w:szCs w:val="14"/>
                <w:color w:val="auto"/>
              </w:rPr>
            </w:pPr>
          </w:p>
        </w:tc>
        <w:tc>
          <w:tcPr>
            <w:tcW w:w="1060" w:type="dxa"/>
            <w:vAlign w:val="bottom"/>
          </w:tcPr>
          <w:p>
            <w:pPr>
              <w:jc w:val="right"/>
              <w:ind w:right="336"/>
              <w:spacing w:after="0"/>
              <w:rPr>
                <w:sz w:val="20"/>
                <w:szCs w:val="20"/>
                <w:color w:val="auto"/>
              </w:rPr>
            </w:pPr>
            <w:r>
              <w:rPr>
                <w:rFonts w:ascii="Arial" w:cs="Arial" w:eastAsia="Arial" w:hAnsi="Arial"/>
                <w:sz w:val="14"/>
                <w:szCs w:val="14"/>
                <w:b w:val="1"/>
                <w:bCs w:val="1"/>
                <w:color w:val="auto"/>
              </w:rPr>
              <w:t>COL. C</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93"/>
              <w:spacing w:after="0"/>
              <w:rPr>
                <w:sz w:val="20"/>
                <w:szCs w:val="20"/>
                <w:color w:val="auto"/>
              </w:rPr>
            </w:pPr>
            <w:r>
              <w:rPr>
                <w:rFonts w:ascii="Arial" w:cs="Arial" w:eastAsia="Arial" w:hAnsi="Arial"/>
                <w:sz w:val="14"/>
                <w:szCs w:val="14"/>
                <w:b w:val="1"/>
                <w:bCs w:val="1"/>
                <w:color w:val="auto"/>
              </w:rPr>
              <w:t>COL. D</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16"/>
              <w:spacing w:after="0"/>
              <w:rPr>
                <w:sz w:val="20"/>
                <w:szCs w:val="20"/>
                <w:color w:val="auto"/>
              </w:rPr>
            </w:pPr>
            <w:r>
              <w:rPr>
                <w:rFonts w:ascii="Arial" w:cs="Arial" w:eastAsia="Arial" w:hAnsi="Arial"/>
                <w:sz w:val="14"/>
                <w:szCs w:val="14"/>
                <w:b w:val="1"/>
                <w:bCs w:val="1"/>
                <w:color w:val="auto"/>
              </w:rPr>
              <w:t>COL. 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1"/>
              </w:rPr>
              <w:t>Balance at</w:t>
            </w:r>
          </w:p>
        </w:tc>
        <w:tc>
          <w:tcPr>
            <w:tcW w:w="180" w:type="dxa"/>
            <w:vAlign w:val="bottom"/>
          </w:tcPr>
          <w:p>
            <w:pPr>
              <w:spacing w:after="0"/>
              <w:rPr>
                <w:sz w:val="11"/>
                <w:szCs w:val="11"/>
                <w:color w:val="auto"/>
              </w:rPr>
            </w:pPr>
          </w:p>
        </w:tc>
        <w:tc>
          <w:tcPr>
            <w:tcW w:w="1060" w:type="dxa"/>
            <w:vAlign w:val="bottom"/>
          </w:tcPr>
          <w:p>
            <w:pPr>
              <w:jc w:val="center"/>
              <w:ind w:right="96"/>
              <w:spacing w:after="0" w:line="129" w:lineRule="exact"/>
              <w:rPr>
                <w:sz w:val="20"/>
                <w:szCs w:val="20"/>
                <w:color w:val="auto"/>
              </w:rPr>
            </w:pPr>
            <w:r>
              <w:rPr>
                <w:rFonts w:ascii="Arial" w:cs="Arial" w:eastAsia="Arial" w:hAnsi="Arial"/>
                <w:sz w:val="14"/>
                <w:szCs w:val="14"/>
                <w:b w:val="1"/>
                <w:bCs w:val="1"/>
                <w:color w:val="auto"/>
                <w:w w:val="91"/>
              </w:rPr>
              <w:t>Charged to</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center"/>
              <w:ind w:right="116"/>
              <w:spacing w:after="0" w:line="12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9"/>
              </w:rPr>
              <w:t>beginning</w:t>
            </w:r>
          </w:p>
        </w:tc>
        <w:tc>
          <w:tcPr>
            <w:tcW w:w="180" w:type="dxa"/>
            <w:vAlign w:val="bottom"/>
          </w:tcPr>
          <w:p>
            <w:pPr>
              <w:spacing w:after="0"/>
              <w:rPr>
                <w:sz w:val="11"/>
                <w:szCs w:val="11"/>
                <w:color w:val="auto"/>
              </w:rPr>
            </w:pPr>
          </w:p>
        </w:tc>
        <w:tc>
          <w:tcPr>
            <w:tcW w:w="106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w w:val="85"/>
              </w:rPr>
              <w:t>costs and</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99"/>
              </w:rPr>
              <w:t>Deductions</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center"/>
              <w:ind w:right="136"/>
              <w:spacing w:after="0" w:line="135" w:lineRule="exact"/>
              <w:rPr>
                <w:sz w:val="20"/>
                <w:szCs w:val="20"/>
                <w:color w:val="auto"/>
              </w:rPr>
            </w:pPr>
            <w:r>
              <w:rPr>
                <w:rFonts w:ascii="Arial" w:cs="Arial" w:eastAsia="Arial" w:hAnsi="Arial"/>
                <w:sz w:val="14"/>
                <w:szCs w:val="14"/>
                <w:b w:val="1"/>
                <w:bCs w:val="1"/>
                <w:color w:val="auto"/>
                <w:w w:val="90"/>
              </w:rPr>
              <w:t>end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of period</w:t>
            </w:r>
          </w:p>
        </w:tc>
        <w:tc>
          <w:tcPr>
            <w:tcW w:w="180" w:type="dxa"/>
            <w:vAlign w:val="bottom"/>
          </w:tcPr>
          <w:p>
            <w:pPr>
              <w:spacing w:after="0"/>
              <w:rPr>
                <w:sz w:val="12"/>
                <w:szCs w:val="12"/>
                <w:color w:val="auto"/>
              </w:rPr>
            </w:pPr>
          </w:p>
        </w:tc>
        <w:tc>
          <w:tcPr>
            <w:tcW w:w="106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1"/>
              </w:rPr>
              <w:t>expenses</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Year ended Year ended December 31, 2020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Deducted from asset accounts: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22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1,333</w:t>
            </w:r>
          </w:p>
        </w:tc>
        <w:tc>
          <w:tcPr>
            <w:tcW w:w="120" w:type="dxa"/>
            <w:vAlign w:val="bottom"/>
            <w:shd w:val="clear" w:color="auto" w:fill="BFE4FF"/>
          </w:tcPr>
          <w:p>
            <w:pPr>
              <w:spacing w:after="0"/>
              <w:rPr>
                <w:sz w:val="19"/>
                <w:szCs w:val="19"/>
                <w:color w:val="auto"/>
              </w:rPr>
            </w:pPr>
          </w:p>
        </w:tc>
        <w:tc>
          <w:tcPr>
            <w:tcW w:w="18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4,512</w:t>
            </w:r>
          </w:p>
        </w:tc>
        <w:tc>
          <w:tcPr>
            <w:tcW w:w="560" w:type="dxa"/>
            <w:vAlign w:val="bottom"/>
            <w:gridSpan w:val="2"/>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(1,221)</w:t>
            </w:r>
          </w:p>
        </w:tc>
        <w:tc>
          <w:tcPr>
            <w:tcW w:w="440" w:type="dxa"/>
            <w:vAlign w:val="bottom"/>
            <w:shd w:val="clear" w:color="auto" w:fill="BFE4FF"/>
          </w:tcPr>
          <w:p>
            <w:pPr>
              <w:ind w:left="20"/>
              <w:spacing w:after="0"/>
              <w:rPr>
                <w:sz w:val="20"/>
                <w:szCs w:val="20"/>
                <w:color w:val="auto"/>
              </w:rPr>
            </w:pPr>
            <w:r>
              <w:rPr>
                <w:rFonts w:ascii="Arial" w:cs="Arial" w:eastAsia="Arial" w:hAnsi="Arial"/>
                <w:sz w:val="12"/>
                <w:szCs w:val="12"/>
                <w:color w:val="auto"/>
              </w:rPr>
              <w:t>(a)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gridSpan w:val="3"/>
          </w:tcPr>
          <w:p>
            <w:pPr>
              <w:ind w:left="340"/>
              <w:spacing w:after="0"/>
              <w:rPr>
                <w:sz w:val="20"/>
                <w:szCs w:val="20"/>
                <w:color w:val="auto"/>
              </w:rPr>
            </w:pPr>
            <w:r>
              <w:rPr>
                <w:rFonts w:ascii="Arial" w:cs="Arial" w:eastAsia="Arial" w:hAnsi="Arial"/>
                <w:sz w:val="18"/>
                <w:szCs w:val="18"/>
                <w:color w:val="auto"/>
              </w:rPr>
              <w:t>Reserve for sales returns and allowances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11,280</w:t>
            </w:r>
          </w:p>
        </w:tc>
        <w:tc>
          <w:tcPr>
            <w:tcW w:w="560" w:type="dxa"/>
            <w:vAlign w:val="bottom"/>
            <w:gridSpan w:val="2"/>
          </w:tcPr>
          <w:p>
            <w:pPr>
              <w:jc w:val="right"/>
              <w:ind w:right="310"/>
              <w:spacing w:after="0"/>
              <w:rPr>
                <w:sz w:val="20"/>
                <w:szCs w:val="20"/>
                <w:color w:val="auto"/>
              </w:rPr>
            </w:pPr>
            <w:r>
              <w:rPr>
                <w:rFonts w:ascii="Arial" w:cs="Arial" w:eastAsia="Arial" w:hAnsi="Arial"/>
                <w:sz w:val="12"/>
                <w:szCs w:val="12"/>
                <w:color w:val="auto"/>
                <w:w w:val="99"/>
              </w:rPr>
              <w:t>(c)</w:t>
            </w:r>
          </w:p>
        </w:tc>
        <w:tc>
          <w:tcPr>
            <w:tcW w:w="1060" w:type="dxa"/>
            <w:vAlign w:val="bottom"/>
          </w:tcPr>
          <w:p>
            <w:pPr>
              <w:jc w:val="right"/>
              <w:spacing w:after="0"/>
              <w:rPr>
                <w:sz w:val="20"/>
                <w:szCs w:val="20"/>
                <w:color w:val="auto"/>
              </w:rPr>
            </w:pPr>
            <w:r>
              <w:rPr>
                <w:rFonts w:ascii="Arial" w:cs="Arial" w:eastAsia="Arial" w:hAnsi="Arial"/>
                <w:sz w:val="18"/>
                <w:szCs w:val="18"/>
                <w:color w:val="auto"/>
              </w:rPr>
              <w:t>(7,239)</w:t>
            </w:r>
          </w:p>
        </w:tc>
        <w:tc>
          <w:tcPr>
            <w:tcW w:w="440" w:type="dxa"/>
            <w:vAlign w:val="bottom"/>
          </w:tcPr>
          <w:p>
            <w:pPr>
              <w:ind w:left="20"/>
              <w:spacing w:after="0"/>
              <w:rPr>
                <w:sz w:val="20"/>
                <w:szCs w:val="20"/>
                <w:color w:val="auto"/>
              </w:rPr>
            </w:pPr>
            <w:r>
              <w:rPr>
                <w:rFonts w:ascii="Arial" w:cs="Arial" w:eastAsia="Arial" w:hAnsi="Arial"/>
                <w:sz w:val="12"/>
                <w:szCs w:val="12"/>
                <w:color w:val="auto"/>
              </w:rPr>
              <w:t>(b)</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12,389</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1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15,792</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(8,460)</w:t>
            </w: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8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Year ended Year ended December 31, 2019</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38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Deducted from asset accounts: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gridSpan w:val="3"/>
          </w:tcPr>
          <w:p>
            <w:pPr>
              <w:ind w:left="34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1,496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(699)</w:t>
            </w:r>
          </w:p>
        </w:tc>
        <w:tc>
          <w:tcPr>
            <w:tcW w:w="440" w:type="dxa"/>
            <w:vAlign w:val="bottom"/>
          </w:tcPr>
          <w:p>
            <w:pPr>
              <w:ind w:left="20"/>
              <w:spacing w:after="0"/>
              <w:rPr>
                <w:sz w:val="20"/>
                <w:szCs w:val="20"/>
                <w:color w:val="auto"/>
              </w:rPr>
            </w:pPr>
            <w:r>
              <w:rPr>
                <w:rFonts w:ascii="Arial" w:cs="Arial" w:eastAsia="Arial" w:hAnsi="Arial"/>
                <w:sz w:val="12"/>
                <w:szCs w:val="12"/>
                <w:color w:val="auto"/>
              </w:rPr>
              <w:t>(a)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Reserve for sales returns and allowances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560" w:type="dxa"/>
            <w:vAlign w:val="bottom"/>
            <w:gridSpan w:val="2"/>
            <w:shd w:val="clear" w:color="auto" w:fill="CCEEFF"/>
          </w:tcPr>
          <w:p>
            <w:pPr>
              <w:jc w:val="right"/>
              <w:ind w:right="310"/>
              <w:spacing w:after="0"/>
              <w:rPr>
                <w:sz w:val="20"/>
                <w:szCs w:val="20"/>
                <w:color w:val="auto"/>
              </w:rPr>
            </w:pPr>
            <w:r>
              <w:rPr>
                <w:rFonts w:ascii="Arial" w:cs="Arial" w:eastAsia="Arial" w:hAnsi="Arial"/>
                <w:sz w:val="12"/>
                <w:szCs w:val="12"/>
                <w:color w:val="auto"/>
                <w:w w:val="99"/>
              </w:rPr>
              <w:t>(c)</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(b)</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6,926</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(5,100)</w:t>
            </w:r>
          </w:p>
        </w:tc>
        <w:tc>
          <w:tcPr>
            <w:tcW w:w="4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38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Year ended December 31, 2018</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Deducted from asset accounts: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gridSpan w:val="3"/>
          </w:tcPr>
          <w:p>
            <w:pPr>
              <w:ind w:left="340"/>
              <w:spacing w:after="0"/>
              <w:rPr>
                <w:sz w:val="20"/>
                <w:szCs w:val="20"/>
                <w:color w:val="auto"/>
              </w:rPr>
            </w:pPr>
            <w:r>
              <w:rPr>
                <w:rFonts w:ascii="Arial" w:cs="Arial" w:eastAsia="Arial" w:hAnsi="Arial"/>
                <w:sz w:val="18"/>
                <w:szCs w:val="18"/>
                <w:color w:val="auto"/>
              </w:rPr>
              <w:t>Reserve for sales returns and allowances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4,717</w:t>
            </w:r>
          </w:p>
        </w:tc>
        <w:tc>
          <w:tcPr>
            <w:tcW w:w="560" w:type="dxa"/>
            <w:vAlign w:val="bottom"/>
            <w:gridSpan w:val="2"/>
          </w:tcPr>
          <w:p>
            <w:pPr>
              <w:jc w:val="right"/>
              <w:ind w:right="310"/>
              <w:spacing w:after="0"/>
              <w:rPr>
                <w:sz w:val="20"/>
                <w:szCs w:val="20"/>
                <w:color w:val="auto"/>
              </w:rPr>
            </w:pPr>
            <w:r>
              <w:rPr>
                <w:rFonts w:ascii="Arial" w:cs="Arial" w:eastAsia="Arial" w:hAnsi="Arial"/>
                <w:sz w:val="12"/>
                <w:szCs w:val="12"/>
                <w:color w:val="auto"/>
                <w:w w:val="99"/>
              </w:rPr>
              <w:t>(c)</w:t>
            </w:r>
          </w:p>
        </w:tc>
        <w:tc>
          <w:tcPr>
            <w:tcW w:w="1060" w:type="dxa"/>
            <w:vAlign w:val="bottom"/>
          </w:tcPr>
          <w:p>
            <w:pPr>
              <w:jc w:val="right"/>
              <w:spacing w:after="0"/>
              <w:rPr>
                <w:sz w:val="20"/>
                <w:szCs w:val="20"/>
                <w:color w:val="auto"/>
              </w:rPr>
            </w:pPr>
            <w:r>
              <w:rPr>
                <w:rFonts w:ascii="Arial" w:cs="Arial" w:eastAsia="Arial" w:hAnsi="Arial"/>
                <w:sz w:val="18"/>
                <w:szCs w:val="18"/>
                <w:color w:val="auto"/>
              </w:rPr>
              <w:t>(3,390)</w:t>
            </w:r>
          </w:p>
        </w:tc>
        <w:tc>
          <w:tcPr>
            <w:tcW w:w="440" w:type="dxa"/>
            <w:vAlign w:val="bottom"/>
          </w:tcPr>
          <w:p>
            <w:pPr>
              <w:ind w:left="20"/>
              <w:spacing w:after="0"/>
              <w:rPr>
                <w:sz w:val="20"/>
                <w:szCs w:val="20"/>
                <w:color w:val="auto"/>
              </w:rPr>
            </w:pPr>
            <w:r>
              <w:rPr>
                <w:rFonts w:ascii="Arial" w:cs="Arial" w:eastAsia="Arial" w:hAnsi="Arial"/>
                <w:sz w:val="12"/>
                <w:szCs w:val="12"/>
                <w:color w:val="auto"/>
              </w:rPr>
              <w:t>(b)</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6,359</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1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5,503</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0"/>
          <w:szCs w:val="20"/>
          <w:color w:val="auto"/>
        </w:rPr>
      </w:pPr>
    </w:p>
    <w:p>
      <w:pPr>
        <w:ind w:left="480" w:hanging="472"/>
        <w:spacing w:after="0"/>
        <w:tabs>
          <w:tab w:leader="none" w:pos="480"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Uncollectible accounts written off, net of recoveries.</w:t>
      </w:r>
    </w:p>
    <w:p>
      <w:pPr>
        <w:spacing w:after="0" w:line="1" w:lineRule="exact"/>
        <w:rPr>
          <w:rFonts w:ascii="Arial" w:cs="Arial" w:eastAsia="Arial" w:hAnsi="Arial"/>
          <w:sz w:val="23"/>
          <w:szCs w:val="23"/>
          <w:color w:val="auto"/>
          <w:vertAlign w:val="superscript"/>
        </w:rPr>
      </w:pPr>
    </w:p>
    <w:p>
      <w:pPr>
        <w:ind w:left="480" w:hanging="472"/>
        <w:spacing w:after="0" w:line="185" w:lineRule="auto"/>
        <w:tabs>
          <w:tab w:leader="none" w:pos="480"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Allowances granted.</w:t>
      </w:r>
    </w:p>
    <w:p>
      <w:pPr>
        <w:ind w:left="480" w:hanging="472"/>
        <w:spacing w:after="0" w:line="204" w:lineRule="auto"/>
        <w:tabs>
          <w:tab w:leader="none" w:pos="480"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Charged to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139"/>
          </w:cols>
          <w:pgMar w:left="320" w:top="769" w:right="1440"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10.43</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NO. 1 TO THE RECEIVABLES PURCHASE AGREEMENT</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THIS AMENDMENT NO. 1 TO THE RECEIVABLES PURCHASE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October 9, 2020, by and between Lifetime Brands, Inc., a Delaware corporation, in its capacity as the administrative agent for the Sellers (in such capacity, the “</w:t>
      </w:r>
      <w:r>
        <w:rPr>
          <w:rFonts w:ascii="Arial" w:cs="Arial" w:eastAsia="Arial" w:hAnsi="Arial"/>
          <w:sz w:val="18"/>
          <w:szCs w:val="18"/>
          <w:u w:val="single" w:color="auto"/>
          <w:color w:val="auto"/>
        </w:rPr>
        <w:t>Seller Agent</w:t>
      </w:r>
      <w:r>
        <w:rPr>
          <w:rFonts w:ascii="Arial" w:cs="Arial" w:eastAsia="Arial" w:hAnsi="Arial"/>
          <w:sz w:val="18"/>
          <w:szCs w:val="18"/>
          <w:color w:val="auto"/>
        </w:rPr>
        <w:t xml:space="preserve">”), as a Seller, and as initial “Servicer”, and </w:t>
      </w:r>
      <w:r>
        <w:rPr>
          <w:rFonts w:ascii="Arial" w:cs="Arial" w:eastAsia="Arial" w:hAnsi="Arial"/>
          <w:sz w:val="18"/>
          <w:szCs w:val="18"/>
          <w:b w:val="1"/>
          <w:bCs w:val="1"/>
          <w:color w:val="auto"/>
        </w:rPr>
        <w:t>HSBC BANK USA, NATIONAL ASSOCIATION</w:t>
      </w:r>
      <w:r>
        <w:rPr>
          <w:rFonts w:ascii="Arial" w:cs="Arial" w:eastAsia="Arial" w:hAnsi="Arial"/>
          <w:sz w:val="18"/>
          <w:szCs w:val="18"/>
          <w:color w:val="auto"/>
        </w:rPr>
        <w:t>, a national banking association with an office at 452 Fifth Avenue, New York, New York 10018 (the “</w:t>
      </w: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Seller Agent, Seller, Servicer and Purchaser are party to that certain Receivables Purchase Agreement, dated as of September 30,</w:t>
      </w:r>
      <w:r>
        <w:rPr>
          <w:rFonts w:ascii="Arial" w:cs="Arial" w:eastAsia="Arial" w:hAnsi="Arial"/>
          <w:sz w:val="18"/>
          <w:szCs w:val="18"/>
          <w:b w:val="1"/>
          <w:bCs w:val="1"/>
          <w:color w:val="auto"/>
        </w:rPr>
        <w:t xml:space="preserve"> </w:t>
      </w:r>
      <w:r>
        <w:rPr>
          <w:rFonts w:ascii="Arial" w:cs="Arial" w:eastAsia="Arial" w:hAnsi="Arial"/>
          <w:sz w:val="18"/>
          <w:szCs w:val="18"/>
          <w:color w:val="auto"/>
        </w:rPr>
        <w:t>2016, (as the same may be amended, modified, supplemented, restated from time to time, the “</w:t>
      </w:r>
      <w:r>
        <w:rPr>
          <w:rFonts w:ascii="Arial" w:cs="Arial" w:eastAsia="Arial" w:hAnsi="Arial"/>
          <w:sz w:val="18"/>
          <w:szCs w:val="18"/>
          <w:u w:val="single" w:color="auto"/>
          <w:color w:val="auto"/>
        </w:rPr>
        <w:t>RPA</w:t>
      </w:r>
      <w:r>
        <w:rPr>
          <w:rFonts w:ascii="Arial" w:cs="Arial" w:eastAsia="Arial" w:hAnsi="Arial"/>
          <w:sz w:val="18"/>
          <w:szCs w:val="18"/>
          <w:color w:val="auto"/>
        </w:rPr>
        <w:t>”),</w:t>
      </w:r>
    </w:p>
    <w:p>
      <w:pPr>
        <w:spacing w:after="0" w:line="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Seller has requested that the Purchaser amend certain provisions of the RPA and the Purchaser is willing, on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conditions hereinafter set forth, to modify the RPA as set forth below.</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and for other good and valuable consideration, the receipt and adequacy of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the parties hereto hereby covenant and agree to be bound as follows:</w:t>
      </w:r>
    </w:p>
    <w:p>
      <w:pPr>
        <w:spacing w:after="0" w:line="54" w:lineRule="exact"/>
        <w:rPr>
          <w:sz w:val="20"/>
          <w:szCs w:val="20"/>
          <w:color w:val="auto"/>
        </w:rPr>
      </w:pPr>
    </w:p>
    <w:p>
      <w:pPr>
        <w:jc w:val="both"/>
        <w:ind w:right="20" w:firstLine="441"/>
        <w:spacing w:after="0" w:line="282"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Capitalized Terms.</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Capitalized terms used and not otherwise defined herein shall have the meanings assigned to them in the RPA unless</w:t>
      </w:r>
      <w:r>
        <w:rPr>
          <w:rFonts w:ascii="Arial" w:cs="Arial" w:eastAsia="Arial" w:hAnsi="Arial"/>
          <w:sz w:val="18"/>
          <w:szCs w:val="18"/>
          <w:b w:val="1"/>
          <w:bCs w:val="1"/>
          <w:color w:val="auto"/>
        </w:rPr>
        <w:t xml:space="preserve"> </w:t>
      </w:r>
      <w:r>
        <w:rPr>
          <w:rFonts w:ascii="Arial" w:cs="Arial" w:eastAsia="Arial" w:hAnsi="Arial"/>
          <w:sz w:val="18"/>
          <w:szCs w:val="18"/>
          <w:color w:val="auto"/>
        </w:rPr>
        <w:t>the context otherwise requires.</w:t>
      </w:r>
    </w:p>
    <w:p>
      <w:pPr>
        <w:spacing w:after="0" w:line="54"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On the Amendment Effective Date (as defined below), the RPA shall be amended by amending Exhibit A (Definitions)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ind w:left="1300" w:right="3540" w:hanging="851"/>
        <w:spacing w:after="0" w:line="250" w:lineRule="auto"/>
        <w:tabs>
          <w:tab w:leader="none" w:pos="689" w:val="left"/>
        </w:tabs>
        <w:numPr>
          <w:ilvl w:val="0"/>
          <w:numId w:val="40"/>
        </w:numPr>
        <w:rPr>
          <w:rFonts w:ascii="Arial" w:cs="Arial" w:eastAsia="Arial" w:hAnsi="Arial"/>
          <w:sz w:val="18"/>
          <w:szCs w:val="18"/>
          <w:color w:val="auto"/>
        </w:rPr>
      </w:pPr>
      <w:r>
        <w:rPr>
          <w:rFonts w:ascii="Arial" w:cs="Arial" w:eastAsia="Arial" w:hAnsi="Arial"/>
          <w:sz w:val="18"/>
          <w:szCs w:val="18"/>
          <w:color w:val="auto"/>
        </w:rPr>
        <w:t>By deleting the definition of “Facility Amount” in its entirety and replacing it with the following: “</w:t>
      </w:r>
      <w:r>
        <w:rPr>
          <w:rFonts w:ascii="Arial" w:cs="Arial" w:eastAsia="Arial" w:hAnsi="Arial"/>
          <w:sz w:val="18"/>
          <w:szCs w:val="18"/>
          <w:u w:val="single" w:color="auto"/>
          <w:color w:val="auto"/>
        </w:rPr>
        <w:t>Facility Amount</w:t>
      </w:r>
      <w:r>
        <w:rPr>
          <w:rFonts w:ascii="Arial" w:cs="Arial" w:eastAsia="Arial" w:hAnsi="Arial"/>
          <w:sz w:val="18"/>
          <w:szCs w:val="18"/>
          <w:color w:val="auto"/>
        </w:rPr>
        <w:t>: Up to USD 30,000,000.”</w:t>
      </w:r>
    </w:p>
    <w:p>
      <w:pPr>
        <w:ind w:left="700" w:hanging="251"/>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By deleting the definition of “Discount Rate” in its entirety and replacing it with the following</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Rate</w:t>
      </w:r>
      <w:r>
        <w:rPr>
          <w:rFonts w:ascii="Arial" w:cs="Arial" w:eastAsia="Arial" w:hAnsi="Arial"/>
          <w:sz w:val="18"/>
          <w:szCs w:val="18"/>
          <w:color w:val="auto"/>
        </w:rPr>
        <w:t>: A rate equal to LIBOR plus 1.75% per annum.”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 By deleting the definition of “LIBOR” and “LIBOR01 Page" in their entirety and replacing it with the following:</w:t>
      </w:r>
    </w:p>
    <w:p>
      <w:pPr>
        <w:spacing w:after="0" w:line="23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LIBOR</w:t>
      </w:r>
      <w:r>
        <w:rPr>
          <w:rFonts w:ascii="Arial" w:cs="Arial" w:eastAsia="Arial" w:hAnsi="Arial"/>
          <w:sz w:val="16"/>
          <w:szCs w:val="16"/>
          <w:color w:val="auto"/>
        </w:rPr>
        <w:t>”: The rate established by Purchaser (calculated on the basis of actual days elapsed over a 360-day year) equal to the offered rate as administered by ICE Benchmark Administration Limited (or any other successor thereto which takes over administration of such rate) appearing on Bloomberg Page BBAM1 screen (or on any successor or substitute page of such Bloomberg screen providing rate quotations comparable to those currently provided on such page of such Bloomberg screen) as of 11:00 a.m. (London time) two (2) Business Days immediately preceding the related Purchase Date with respect to Purchased Receivables for the LIBOR Period (as defined below). In the event that such rate does not appear on the Bloomberg Page BBAM1 screen at such time, or if for any reason such rate is not available, “LIBOR” shall be determined by reference to such other comparable publicly available service for displaying the offered rate for deposits in Dollars in the London interbank market as may be selected by Purchaser and, in the absence of availability, such other method to determine such offered rate as may be selected by Purchaser in its sole discretion. For purposes of this definition, “</w:t>
      </w:r>
      <w:r>
        <w:rPr>
          <w:rFonts w:ascii="Arial" w:cs="Arial" w:eastAsia="Arial" w:hAnsi="Arial"/>
          <w:sz w:val="16"/>
          <w:szCs w:val="16"/>
          <w:b w:val="1"/>
          <w:bCs w:val="1"/>
          <w:i w:val="1"/>
          <w:iCs w:val="1"/>
          <w:color w:val="auto"/>
        </w:rPr>
        <w:t>LIBOR Period</w:t>
      </w:r>
      <w:r>
        <w:rPr>
          <w:rFonts w:ascii="Arial" w:cs="Arial" w:eastAsia="Arial" w:hAnsi="Arial"/>
          <w:sz w:val="16"/>
          <w:szCs w:val="16"/>
          <w:color w:val="auto"/>
        </w:rPr>
        <w:t>” means a 60-day period, as may be modified from time to time as agreed to by Seller and the Purchaser to reflect the tenor of Receivables contemplated for purchase by the Purchaser under this Agreement. Notwithstanding anything to the contrary contained herein, if the LIBOR rate established or determined by the Purchaser pursuant to this definition shall be less than zero, LIBOR shall be deemed to be zero.</w:t>
      </w:r>
    </w:p>
    <w:p>
      <w:pPr>
        <w:spacing w:after="0" w:line="194" w:lineRule="exact"/>
        <w:rPr>
          <w:sz w:val="20"/>
          <w:szCs w:val="20"/>
          <w:color w:val="auto"/>
        </w:rPr>
      </w:pPr>
    </w:p>
    <w:p>
      <w:pPr>
        <w:jc w:val="both"/>
        <w:ind w:firstLine="441"/>
        <w:spacing w:after="0" w:line="250"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Effectiveness of This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shall not be effective until the Purchaser receives a counterpart of this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by the Seller, Servicer and the Purchaser, and any such other documents as the Purchaser may reasonably request (the “</w:t>
      </w:r>
      <w:r>
        <w:rPr>
          <w:rFonts w:ascii="Arial" w:cs="Arial" w:eastAsia="Arial" w:hAnsi="Arial"/>
          <w:sz w:val="18"/>
          <w:szCs w:val="18"/>
          <w:u w:val="single" w:color="auto"/>
          <w:color w:val="auto"/>
        </w:rPr>
        <w:t>Amendment 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Seller represents and warrants to the Purchaser as follows:</w:t>
      </w:r>
    </w:p>
    <w:p>
      <w:pPr>
        <w:sectPr>
          <w:pgSz w:w="11900" w:h="16838" w:orient="portrait"/>
          <w:cols w:equalWidth="0" w:num="1">
            <w:col w:w="11240"/>
          </w:cols>
          <w:pgMar w:left="320" w:top="1417" w:right="339" w:bottom="1440" w:gutter="0" w:footer="0" w:header="0"/>
        </w:sectPr>
      </w:pPr>
    </w:p>
    <w:bookmarkStart w:id="104" w:name="page105"/>
    <w:bookmarkEnd w:id="104"/>
    <w:p>
      <w:pPr>
        <w:jc w:val="both"/>
        <w:ind w:firstLine="656"/>
        <w:spacing w:after="0"/>
        <w:tabs>
          <w:tab w:leader="none" w:pos="899"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representation and warranty made or deemed made by the Seller in the RPA is true and correct as of the date hereof, except to the extent that a representation or warranty expressly relates solely to an earlier date (in which case such representation or warranty was true and accurate on and as of such earlier date);</w:t>
      </w:r>
    </w:p>
    <w:p>
      <w:pPr>
        <w:spacing w:after="0" w:line="2" w:lineRule="exact"/>
        <w:rPr>
          <w:rFonts w:ascii="Arial" w:cs="Arial" w:eastAsia="Arial" w:hAnsi="Arial"/>
          <w:sz w:val="18"/>
          <w:szCs w:val="18"/>
          <w:color w:val="auto"/>
        </w:rPr>
      </w:pPr>
    </w:p>
    <w:p>
      <w:pPr>
        <w:ind w:left="920" w:hanging="264"/>
        <w:spacing w:after="0" w:line="234" w:lineRule="auto"/>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Event of Repurchase has occurred and is continuing as of the date hereof;</w:t>
      </w:r>
    </w:p>
    <w:p>
      <w:pPr>
        <w:jc w:val="both"/>
        <w:ind w:firstLine="656"/>
        <w:spacing w:after="0" w:line="248" w:lineRule="auto"/>
        <w:tabs>
          <w:tab w:leader="none" w:pos="894"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execution, delivery and performance by the Seller of this Amendment and the RPA, as amended hereby, (i) are within the Seller’s corporate or other organizational powers, (ii) have been duly authorized by all necessary corporate or other organizational action; (iii) do not contravene (A) the Seller’s Organizational Documents, (B) any law, rule or regulation applicable to the Seller, (C) any contractual restriction binding on or affecting the Seller or its property, or (D) any order, writ, judgment, award, injunction or decree binding on or affecting the Seller or its property.</w:t>
      </w:r>
    </w:p>
    <w:p>
      <w:pPr>
        <w:spacing w:after="0" w:line="2" w:lineRule="exact"/>
        <w:rPr>
          <w:rFonts w:ascii="Arial" w:cs="Arial" w:eastAsia="Arial" w:hAnsi="Arial"/>
          <w:sz w:val="17"/>
          <w:szCs w:val="17"/>
          <w:color w:val="auto"/>
        </w:rPr>
      </w:pPr>
    </w:p>
    <w:p>
      <w:pPr>
        <w:jc w:val="both"/>
        <w:ind w:firstLine="656"/>
        <w:spacing w:after="0" w:line="238" w:lineRule="auto"/>
        <w:tabs>
          <w:tab w:leader="none" w:pos="90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Amendment and the RPA are legal, valid and binding obligations of the Seller and so long as the Seller acts as Servicer, enforceable against the Seller and the Servicer, as applicable, in accordance with their terms, except as limited by bankruptcy, insolvency, moratorium, fraudulent conveyance or other laws relating to the enforcement of creditors’ rights generally and general principles of equity (regardless of whether enforcement is sought at equity or law).</w:t>
      </w:r>
    </w:p>
    <w:p>
      <w:pPr>
        <w:spacing w:after="0" w:line="77" w:lineRule="exact"/>
        <w:rPr>
          <w:sz w:val="20"/>
          <w:szCs w:val="20"/>
          <w:color w:val="auto"/>
        </w:rPr>
      </w:pPr>
    </w:p>
    <w:p>
      <w:pPr>
        <w:jc w:val="both"/>
        <w:ind w:firstLine="441"/>
        <w:spacing w:after="0" w:line="274" w:lineRule="auto"/>
        <w:rPr>
          <w:sz w:val="20"/>
          <w:szCs w:val="20"/>
          <w:color w:val="auto"/>
        </w:rPr>
      </w:pPr>
      <w:r>
        <w:rPr>
          <w:rFonts w:ascii="Arial" w:cs="Arial" w:eastAsia="Arial" w:hAnsi="Arial"/>
          <w:sz w:val="17"/>
          <w:szCs w:val="17"/>
          <w:b w:val="1"/>
          <w:bCs w:val="1"/>
          <w:color w:val="auto"/>
        </w:rPr>
        <w:t xml:space="preserve">Section 5. </w:t>
      </w:r>
      <w:r>
        <w:rPr>
          <w:rFonts w:ascii="Arial" w:cs="Arial" w:eastAsia="Arial" w:hAnsi="Arial"/>
          <w:sz w:val="17"/>
          <w:szCs w:val="17"/>
          <w:b w:val="1"/>
          <w:bCs w:val="1"/>
          <w:u w:val="single" w:color="auto"/>
          <w:color w:val="auto"/>
        </w:rPr>
        <w:t>Reaffirmation; Effect of Amendment.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Seller and the Servicer each acknowledges and reaffirms that the RPA, as hereby amended, is</w:t>
      </w:r>
      <w:r>
        <w:rPr>
          <w:rFonts w:ascii="Arial" w:cs="Arial" w:eastAsia="Arial" w:hAnsi="Arial"/>
          <w:sz w:val="17"/>
          <w:szCs w:val="17"/>
          <w:b w:val="1"/>
          <w:bCs w:val="1"/>
          <w:color w:val="auto"/>
        </w:rPr>
        <w:t xml:space="preserve"> </w:t>
      </w:r>
      <w:r>
        <w:rPr>
          <w:rFonts w:ascii="Arial" w:cs="Arial" w:eastAsia="Arial" w:hAnsi="Arial"/>
          <w:sz w:val="17"/>
          <w:szCs w:val="17"/>
          <w:color w:val="auto"/>
        </w:rPr>
        <w:t>hereby ratified and confirmed in all respects and all terms, conditions, and provisions of the RPA, except as amended by this Amendment, shall remain unmodified and in full force and effect. All references in any document or instrument to the RPA are hereby amended to refer to the RPA as amended by this Amendment. If any part of this Amendment is for any reason found to be unenforceable, all other portions of it shall nevertheless remain enforceable. The RPA and any and all other documents heretofore, now or hereafter executed and delivered pursuant to the terms of the RPA are hereby amended so that any reference to the RPA shall mean a reference to the RPA amended by this Amendment.</w:t>
      </w:r>
    </w:p>
    <w:p>
      <w:pPr>
        <w:spacing w:after="0" w:line="65" w:lineRule="exact"/>
        <w:rPr>
          <w:sz w:val="20"/>
          <w:szCs w:val="20"/>
          <w:color w:val="auto"/>
        </w:rPr>
      </w:pPr>
    </w:p>
    <w:p>
      <w:pPr>
        <w:ind w:right="340" w:firstLine="441"/>
        <w:spacing w:after="0" w:line="282"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Amendment shall be governed by and construed in accordance with the laws of the State of New York,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laws principles.</w:t>
      </w:r>
    </w:p>
    <w:p>
      <w:pPr>
        <w:spacing w:after="0" w:line="54"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headings in this Amendment are included herein for convenience of reference only and shall not constitute a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for any other purpose.</w:t>
      </w:r>
    </w:p>
    <w:p>
      <w:pPr>
        <w:spacing w:after="0" w:line="54"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Amendment may be executed in any number of counterparts and by the parties hereto in separate counterparts,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when so executed and delivered shall be deemed to be an original and all of which taken together shall constitute one and the same instrument. Delivery of an executed counterpart of a signature page to this Amendment by fax or by email shall be effective as delivery of a manually executed counterpart of this Amendment.</w:t>
      </w:r>
    </w:p>
    <w:p>
      <w:pPr>
        <w:spacing w:after="0" w:line="72"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ENTIRETY</w:t>
      </w:r>
      <w:r>
        <w:rPr>
          <w:rFonts w:ascii="Arial" w:cs="Arial" w:eastAsia="Arial" w:hAnsi="Arial"/>
          <w:sz w:val="18"/>
          <w:szCs w:val="18"/>
          <w:b w:val="1"/>
          <w:bCs w:val="1"/>
          <w:color w:val="auto"/>
        </w:rPr>
        <w:t>. THIS AMENDMENT, THE RPA, AND ANY OTHER RELATED DOCUMENTS EMBODY THE ENTIRE AGREEMENT BETWEEN THE PARTIES AND SUPERSEDE ALL PRIOR AGREEMENTS AND UNDERSTANDINGS, IF ANY, RELATING TO THE SUBJECT MATTER HEREOF. THESE DOCUMENTS REPRESENT THE FINAL AGREEMENT BETWEEN THE PARTIES AND MAY NOT BE CONTRADICTED BY EVIDENCE OF PRIOR, CONTEMPORANEOUS OR SUBSEQUENT ORAL AGREEMENTS OF THE PARTIES.</w:t>
      </w:r>
    </w:p>
    <w:p>
      <w:pPr>
        <w:spacing w:after="0" w:line="210"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 xml:space="preserve">Section 10. </w:t>
      </w:r>
      <w:r>
        <w:rPr>
          <w:rFonts w:ascii="Arial" w:cs="Arial" w:eastAsia="Arial" w:hAnsi="Arial"/>
          <w:sz w:val="16"/>
          <w:szCs w:val="16"/>
          <w:b w:val="1"/>
          <w:bCs w:val="1"/>
          <w:u w:val="single" w:color="auto"/>
          <w:color w:val="auto"/>
        </w:rPr>
        <w:t>Successors.</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Amendment binds and inures to the benefit of the parties hereto and their respective successors and permitted assigns.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240"/>
          </w:cols>
          <w:pgMar w:left="320" w:top="1421" w:right="3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color w:val="auto"/>
        </w:rPr>
        <w:t>IN WITNESS WHEREOF, the parties hereto have caused this Amendment to be duly executed and delivered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LIFETIME BRANDS, INC. as Seller and initial Servicer</w:t>
      </w:r>
    </w:p>
    <w:p>
      <w:pPr>
        <w:spacing w:after="0" w:line="23" w:lineRule="exact"/>
        <w:rPr>
          <w:sz w:val="20"/>
          <w:szCs w:val="20"/>
          <w:color w:val="auto"/>
        </w:rPr>
      </w:pPr>
    </w:p>
    <w:tbl>
      <w:tblPr>
        <w:tblLayout w:type="fixed"/>
        <w:tblInd w:w="4460" w:type="dxa"/>
        <w:tblCellMar>
          <w:top w:w="0" w:type="dxa"/>
          <w:left w:w="0" w:type="dxa"/>
          <w:bottom w:w="0" w:type="dxa"/>
          <w:right w:w="0" w:type="dxa"/>
        </w:tblCellMar>
      </w:tblPr>
      <w:tr>
        <w:trPr>
          <w:trHeight w:val="229"/>
        </w:trPr>
        <w:tc>
          <w:tcPr>
            <w:tcW w:w="222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Laurence Winoker</w:t>
            </w:r>
          </w:p>
        </w:tc>
      </w:tr>
      <w:tr>
        <w:trPr>
          <w:trHeight w:val="222"/>
        </w:trPr>
        <w:tc>
          <w:tcPr>
            <w:tcW w:w="2220" w:type="dxa"/>
            <w:vAlign w:val="bottom"/>
          </w:tcPr>
          <w:p>
            <w:pPr>
              <w:spacing w:after="0"/>
              <w:rPr>
                <w:sz w:val="20"/>
                <w:szCs w:val="20"/>
                <w:color w:val="auto"/>
              </w:rPr>
            </w:pPr>
            <w:r>
              <w:rPr>
                <w:rFonts w:ascii="Arial" w:cs="Arial" w:eastAsia="Arial" w:hAnsi="Arial"/>
                <w:sz w:val="18"/>
                <w:szCs w:val="18"/>
                <w:color w:val="auto"/>
              </w:rPr>
              <w:t>Name:</w:t>
            </w:r>
          </w:p>
        </w:tc>
        <w:tc>
          <w:tcPr>
            <w:tcW w:w="4480" w:type="dxa"/>
            <w:vAlign w:val="bottom"/>
          </w:tcPr>
          <w:p>
            <w:pPr>
              <w:ind w:left="20"/>
              <w:spacing w:after="0"/>
              <w:rPr>
                <w:sz w:val="20"/>
                <w:szCs w:val="20"/>
                <w:color w:val="auto"/>
              </w:rPr>
            </w:pPr>
            <w:r>
              <w:rPr>
                <w:rFonts w:ascii="Arial" w:cs="Arial" w:eastAsia="Arial" w:hAnsi="Arial"/>
                <w:sz w:val="18"/>
                <w:szCs w:val="18"/>
                <w:color w:val="auto"/>
              </w:rPr>
              <w:t>Laurence Winoker</w:t>
            </w:r>
          </w:p>
        </w:tc>
      </w:tr>
      <w:tr>
        <w:trPr>
          <w:trHeight w:val="176"/>
        </w:trPr>
        <w:tc>
          <w:tcPr>
            <w:tcW w:w="222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4480" w:type="dxa"/>
            <w:vAlign w:val="bottom"/>
          </w:tcPr>
          <w:p>
            <w:pPr>
              <w:ind w:left="20"/>
              <w:spacing w:after="0" w:line="176" w:lineRule="exact"/>
              <w:rPr>
                <w:sz w:val="20"/>
                <w:szCs w:val="20"/>
                <w:color w:val="auto"/>
              </w:rPr>
            </w:pPr>
            <w:r>
              <w:rPr>
                <w:rFonts w:ascii="Arial" w:cs="Arial" w:eastAsia="Arial" w:hAnsi="Arial"/>
                <w:sz w:val="18"/>
                <w:szCs w:val="18"/>
                <w:color w:val="auto"/>
                <w:w w:val="90"/>
              </w:rPr>
              <w:t>Senior Vice President -Finance,Treasurer and Chief Financial</w:t>
            </w:r>
          </w:p>
        </w:tc>
      </w:tr>
      <w:tr>
        <w:trPr>
          <w:trHeight w:val="230"/>
        </w:trPr>
        <w:tc>
          <w:tcPr>
            <w:tcW w:w="222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Officer</w:t>
            </w:r>
          </w:p>
        </w:tc>
      </w:tr>
      <w:tr>
        <w:trPr>
          <w:trHeight w:val="768"/>
        </w:trPr>
        <w:tc>
          <w:tcPr>
            <w:tcW w:w="6700" w:type="dxa"/>
            <w:vAlign w:val="bottom"/>
            <w:gridSpan w:val="2"/>
          </w:tcPr>
          <w:p>
            <w:pPr>
              <w:spacing w:after="0"/>
              <w:rPr>
                <w:sz w:val="20"/>
                <w:szCs w:val="20"/>
                <w:color w:val="auto"/>
              </w:rPr>
            </w:pPr>
            <w:r>
              <w:rPr>
                <w:rFonts w:ascii="Arial" w:cs="Arial" w:eastAsia="Arial" w:hAnsi="Arial"/>
                <w:sz w:val="18"/>
                <w:szCs w:val="18"/>
                <w:color w:val="auto"/>
              </w:rPr>
              <w:t>HSBC BANK USA, NATIONAL ASSOCIATION, as</w:t>
            </w: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Purchaser</w:t>
            </w:r>
          </w:p>
        </w:tc>
        <w:tc>
          <w:tcPr>
            <w:tcW w:w="448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Conlan</w:t>
            </w:r>
          </w:p>
        </w:tc>
      </w:tr>
      <w:tr>
        <w:trPr>
          <w:trHeight w:val="224"/>
        </w:trPr>
        <w:tc>
          <w:tcPr>
            <w:tcW w:w="2220" w:type="dxa"/>
            <w:vAlign w:val="bottom"/>
          </w:tcPr>
          <w:p>
            <w:pPr>
              <w:spacing w:after="0"/>
              <w:rPr>
                <w:sz w:val="20"/>
                <w:szCs w:val="20"/>
                <w:color w:val="auto"/>
              </w:rPr>
            </w:pPr>
            <w:r>
              <w:rPr>
                <w:rFonts w:ascii="Arial" w:cs="Arial" w:eastAsia="Arial" w:hAnsi="Arial"/>
                <w:sz w:val="18"/>
                <w:szCs w:val="18"/>
                <w:color w:val="auto"/>
              </w:rPr>
              <w:t>Name:</w:t>
            </w:r>
          </w:p>
        </w:tc>
        <w:tc>
          <w:tcPr>
            <w:tcW w:w="4480" w:type="dxa"/>
            <w:vAlign w:val="bottom"/>
          </w:tcPr>
          <w:p>
            <w:pPr>
              <w:ind w:left="20"/>
              <w:spacing w:after="0"/>
              <w:rPr>
                <w:sz w:val="20"/>
                <w:szCs w:val="20"/>
                <w:color w:val="auto"/>
              </w:rPr>
            </w:pPr>
            <w:r>
              <w:rPr>
                <w:rFonts w:ascii="Arial" w:cs="Arial" w:eastAsia="Arial" w:hAnsi="Arial"/>
                <w:sz w:val="18"/>
                <w:szCs w:val="18"/>
                <w:color w:val="auto"/>
              </w:rPr>
              <w:t>William Conlan</w:t>
            </w:r>
          </w:p>
        </w:tc>
      </w:tr>
      <w:tr>
        <w:trPr>
          <w:trHeight w:val="269"/>
        </w:trPr>
        <w:tc>
          <w:tcPr>
            <w:tcW w:w="2220" w:type="dxa"/>
            <w:vAlign w:val="bottom"/>
          </w:tcPr>
          <w:p>
            <w:pPr>
              <w:spacing w:after="0"/>
              <w:rPr>
                <w:sz w:val="20"/>
                <w:szCs w:val="20"/>
                <w:color w:val="auto"/>
              </w:rPr>
            </w:pPr>
            <w:r>
              <w:rPr>
                <w:rFonts w:ascii="Arial" w:cs="Arial" w:eastAsia="Arial" w:hAnsi="Arial"/>
                <w:sz w:val="20"/>
                <w:szCs w:val="20"/>
                <w:color w:val="auto"/>
              </w:rPr>
              <w:t>Title:</w:t>
            </w:r>
          </w:p>
        </w:tc>
        <w:tc>
          <w:tcPr>
            <w:tcW w:w="448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ectPr>
          <w:pgSz w:w="11900" w:h="16838" w:orient="portrait"/>
          <w:cols w:equalWidth="0" w:num="1">
            <w:col w:w="11160"/>
          </w:cols>
          <w:pgMar w:left="320" w:top="1421" w:right="419" w:bottom="1440" w:gutter="0" w:footer="0" w:header="0"/>
        </w:sectPr>
      </w:pPr>
    </w:p>
    <w:bookmarkStart w:id="106" w:name="page107"/>
    <w:bookmarkEnd w:id="106"/>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180" w:type="dxa"/>
            <w:vAlign w:val="bottom"/>
            <w:vMerge w:val="restart"/>
          </w:tcPr>
          <w:p>
            <w:pPr>
              <w:spacing w:after="0"/>
              <w:rPr>
                <w:sz w:val="20"/>
                <w:szCs w:val="20"/>
                <w:color w:val="auto"/>
              </w:rPr>
            </w:pPr>
            <w:r>
              <w:rPr>
                <w:rFonts w:ascii="Arial" w:cs="Arial" w:eastAsia="Arial" w:hAnsi="Arial"/>
                <w:sz w:val="22"/>
                <w:szCs w:val="22"/>
                <w:b w:val="1"/>
                <w:bCs w:val="1"/>
                <w:color w:val="auto"/>
              </w:rPr>
              <w:t>Subsidiaries of the Registrant</w:t>
            </w:r>
          </w:p>
        </w:tc>
        <w:tc>
          <w:tcPr>
            <w:tcW w:w="3720" w:type="dxa"/>
            <w:vAlign w:val="bottom"/>
          </w:tcPr>
          <w:p>
            <w:pPr>
              <w:spacing w:after="0"/>
              <w:rPr>
                <w:sz w:val="24"/>
                <w:szCs w:val="24"/>
                <w:color w:val="auto"/>
              </w:rPr>
            </w:pPr>
          </w:p>
        </w:tc>
        <w:tc>
          <w:tcPr>
            <w:tcW w:w="1340" w:type="dxa"/>
            <w:vAlign w:val="bottom"/>
          </w:tcPr>
          <w:p>
            <w:pPr>
              <w:ind w:left="220"/>
              <w:spacing w:after="0"/>
              <w:rPr>
                <w:sz w:val="20"/>
                <w:szCs w:val="20"/>
                <w:color w:val="auto"/>
              </w:rPr>
            </w:pPr>
            <w:r>
              <w:rPr>
                <w:rFonts w:ascii="Arial" w:cs="Arial" w:eastAsia="Arial" w:hAnsi="Arial"/>
                <w:sz w:val="22"/>
                <w:szCs w:val="22"/>
                <w:b w:val="1"/>
                <w:bCs w:val="1"/>
                <w:color w:val="auto"/>
                <w:w w:val="89"/>
              </w:rPr>
              <w:t>Exhibit 21.1</w:t>
            </w:r>
          </w:p>
        </w:tc>
        <w:tc>
          <w:tcPr>
            <w:tcW w:w="0" w:type="dxa"/>
            <w:vAlign w:val="bottom"/>
          </w:tcPr>
          <w:p>
            <w:pPr>
              <w:spacing w:after="0"/>
              <w:rPr>
                <w:sz w:val="1"/>
                <w:szCs w:val="1"/>
                <w:color w:val="auto"/>
              </w:rPr>
            </w:pPr>
          </w:p>
        </w:tc>
      </w:tr>
      <w:tr>
        <w:trPr>
          <w:trHeight w:val="243"/>
        </w:trPr>
        <w:tc>
          <w:tcPr>
            <w:tcW w:w="6180" w:type="dxa"/>
            <w:vAlign w:val="bottom"/>
            <w:vMerge w:val="continue"/>
          </w:tcPr>
          <w:p>
            <w:pPr>
              <w:spacing w:after="0"/>
              <w:rPr>
                <w:sz w:val="21"/>
                <w:szCs w:val="21"/>
                <w:color w:val="auto"/>
              </w:rPr>
            </w:pPr>
          </w:p>
        </w:tc>
        <w:tc>
          <w:tcPr>
            <w:tcW w:w="37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0"/>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Name of subsidiary</w:t>
            </w:r>
          </w:p>
        </w:tc>
        <w:tc>
          <w:tcPr>
            <w:tcW w:w="3720" w:type="dxa"/>
            <w:vAlign w:val="bottom"/>
          </w:tcPr>
          <w:p>
            <w:pPr>
              <w:ind w:left="1740"/>
              <w:spacing w:after="0"/>
              <w:rPr>
                <w:sz w:val="20"/>
                <w:szCs w:val="20"/>
                <w:color w:val="auto"/>
              </w:rPr>
            </w:pPr>
            <w:r>
              <w:rPr>
                <w:rFonts w:ascii="Arial" w:cs="Arial" w:eastAsia="Arial" w:hAnsi="Arial"/>
                <w:sz w:val="14"/>
                <w:szCs w:val="14"/>
                <w:b w:val="1"/>
                <w:bCs w:val="1"/>
                <w:color w:val="auto"/>
                <w:w w:val="96"/>
              </w:rPr>
              <w:t>State/Country of Incorporation</w:t>
            </w:r>
          </w:p>
        </w:tc>
        <w:tc>
          <w:tcPr>
            <w:tcW w:w="1340" w:type="dxa"/>
            <w:vAlign w:val="bottom"/>
          </w:tcPr>
          <w:p>
            <w:pPr>
              <w:ind w:left="36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26"/>
        </w:trPr>
        <w:tc>
          <w:tcPr>
            <w:tcW w:w="61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80" w:type="dxa"/>
            <w:vAlign w:val="bottom"/>
          </w:tcPr>
          <w:p>
            <w:pPr>
              <w:ind w:left="20"/>
              <w:spacing w:after="0"/>
              <w:rPr>
                <w:sz w:val="20"/>
                <w:szCs w:val="20"/>
                <w:color w:val="auto"/>
              </w:rPr>
            </w:pPr>
            <w:r>
              <w:rPr>
                <w:rFonts w:ascii="Arial" w:cs="Arial" w:eastAsia="Arial" w:hAnsi="Arial"/>
                <w:sz w:val="18"/>
                <w:szCs w:val="18"/>
                <w:color w:val="auto"/>
              </w:rPr>
              <w:t>Creative Tops Limited</w:t>
            </w:r>
          </w:p>
        </w:tc>
        <w:tc>
          <w:tcPr>
            <w:tcW w:w="3720" w:type="dxa"/>
            <w:vAlign w:val="bottom"/>
          </w:tcPr>
          <w:p>
            <w:pPr>
              <w:ind w:left="1660"/>
              <w:spacing w:after="0"/>
              <w:rPr>
                <w:sz w:val="20"/>
                <w:szCs w:val="20"/>
                <w:color w:val="auto"/>
              </w:rPr>
            </w:pPr>
            <w:r>
              <w:rPr>
                <w:rFonts w:ascii="Arial" w:cs="Arial" w:eastAsia="Arial" w:hAnsi="Arial"/>
                <w:sz w:val="18"/>
                <w:szCs w:val="18"/>
                <w:color w:val="auto"/>
              </w:rPr>
              <w:t>United Kingdom</w:t>
            </w:r>
          </w:p>
        </w:tc>
        <w:tc>
          <w:tcPr>
            <w:tcW w:w="134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57"/>
        </w:trPr>
        <w:tc>
          <w:tcPr>
            <w:tcW w:w="6180" w:type="dxa"/>
            <w:vAlign w:val="bottom"/>
          </w:tcPr>
          <w:p>
            <w:pPr>
              <w:ind w:left="20"/>
              <w:spacing w:after="0"/>
              <w:rPr>
                <w:sz w:val="20"/>
                <w:szCs w:val="20"/>
                <w:color w:val="auto"/>
              </w:rPr>
            </w:pPr>
            <w:r>
              <w:rPr>
                <w:rFonts w:ascii="Arial" w:cs="Arial" w:eastAsia="Arial" w:hAnsi="Arial"/>
                <w:sz w:val="18"/>
                <w:szCs w:val="18"/>
                <w:color w:val="auto"/>
              </w:rPr>
              <w:t>KitchenCraft Lifetime Brands B.V.</w:t>
            </w:r>
          </w:p>
        </w:tc>
        <w:tc>
          <w:tcPr>
            <w:tcW w:w="3720" w:type="dxa"/>
            <w:vAlign w:val="bottom"/>
          </w:tcPr>
          <w:p>
            <w:pPr>
              <w:ind w:left="1660"/>
              <w:spacing w:after="0"/>
              <w:rPr>
                <w:sz w:val="20"/>
                <w:szCs w:val="20"/>
                <w:color w:val="auto"/>
              </w:rPr>
            </w:pPr>
            <w:r>
              <w:rPr>
                <w:rFonts w:ascii="Arial" w:cs="Arial" w:eastAsia="Arial" w:hAnsi="Arial"/>
                <w:sz w:val="18"/>
                <w:szCs w:val="18"/>
                <w:color w:val="auto"/>
              </w:rPr>
              <w:t>Netherlands</w:t>
            </w:r>
          </w:p>
        </w:tc>
        <w:tc>
          <w:tcPr>
            <w:tcW w:w="134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57"/>
        </w:trPr>
        <w:tc>
          <w:tcPr>
            <w:tcW w:w="6180" w:type="dxa"/>
            <w:vAlign w:val="bottom"/>
          </w:tcPr>
          <w:p>
            <w:pPr>
              <w:ind w:left="20"/>
              <w:spacing w:after="0"/>
              <w:rPr>
                <w:sz w:val="20"/>
                <w:szCs w:val="20"/>
                <w:color w:val="auto"/>
              </w:rPr>
            </w:pPr>
            <w:r>
              <w:rPr>
                <w:rFonts w:ascii="Arial" w:cs="Arial" w:eastAsia="Arial" w:hAnsi="Arial"/>
                <w:sz w:val="18"/>
                <w:szCs w:val="18"/>
                <w:color w:val="auto"/>
              </w:rPr>
              <w:t>Grand Venture Enterprises Limited</w:t>
            </w:r>
          </w:p>
        </w:tc>
        <w:tc>
          <w:tcPr>
            <w:tcW w:w="3720" w:type="dxa"/>
            <w:vAlign w:val="bottom"/>
          </w:tcPr>
          <w:p>
            <w:pPr>
              <w:ind w:left="1660"/>
              <w:spacing w:after="0"/>
              <w:rPr>
                <w:sz w:val="20"/>
                <w:szCs w:val="20"/>
                <w:color w:val="auto"/>
              </w:rPr>
            </w:pPr>
            <w:r>
              <w:rPr>
                <w:rFonts w:ascii="Arial" w:cs="Arial" w:eastAsia="Arial" w:hAnsi="Arial"/>
                <w:sz w:val="18"/>
                <w:szCs w:val="18"/>
                <w:color w:val="auto"/>
              </w:rPr>
              <w:t>Hong Kong</w:t>
            </w:r>
          </w:p>
        </w:tc>
        <w:tc>
          <w:tcPr>
            <w:tcW w:w="134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57"/>
        </w:trPr>
        <w:tc>
          <w:tcPr>
            <w:tcW w:w="6180" w:type="dxa"/>
            <w:vAlign w:val="bottom"/>
          </w:tcPr>
          <w:p>
            <w:pPr>
              <w:ind w:left="20"/>
              <w:spacing w:after="0"/>
              <w:rPr>
                <w:sz w:val="20"/>
                <w:szCs w:val="20"/>
                <w:color w:val="auto"/>
              </w:rPr>
            </w:pPr>
            <w:r>
              <w:rPr>
                <w:rFonts w:ascii="Arial" w:cs="Arial" w:eastAsia="Arial" w:hAnsi="Arial"/>
                <w:sz w:val="18"/>
                <w:szCs w:val="18"/>
                <w:color w:val="auto"/>
              </w:rPr>
              <w:t>Kitchen Craft (Asia) Limited</w:t>
            </w:r>
          </w:p>
        </w:tc>
        <w:tc>
          <w:tcPr>
            <w:tcW w:w="3720" w:type="dxa"/>
            <w:vAlign w:val="bottom"/>
          </w:tcPr>
          <w:p>
            <w:pPr>
              <w:ind w:left="1660"/>
              <w:spacing w:after="0"/>
              <w:rPr>
                <w:sz w:val="20"/>
                <w:szCs w:val="20"/>
                <w:color w:val="auto"/>
              </w:rPr>
            </w:pPr>
            <w:r>
              <w:rPr>
                <w:rFonts w:ascii="Arial" w:cs="Arial" w:eastAsia="Arial" w:hAnsi="Arial"/>
                <w:sz w:val="18"/>
                <w:szCs w:val="18"/>
                <w:color w:val="auto"/>
              </w:rPr>
              <w:t>Hong Kong</w:t>
            </w:r>
          </w:p>
        </w:tc>
        <w:tc>
          <w:tcPr>
            <w:tcW w:w="134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56"/>
        </w:trPr>
        <w:tc>
          <w:tcPr>
            <w:tcW w:w="6180" w:type="dxa"/>
            <w:vAlign w:val="bottom"/>
          </w:tcPr>
          <w:p>
            <w:pPr>
              <w:ind w:left="20"/>
              <w:spacing w:after="0"/>
              <w:rPr>
                <w:sz w:val="20"/>
                <w:szCs w:val="20"/>
                <w:color w:val="auto"/>
              </w:rPr>
            </w:pPr>
            <w:r>
              <w:rPr>
                <w:rFonts w:ascii="Arial" w:cs="Arial" w:eastAsia="Arial" w:hAnsi="Arial"/>
                <w:sz w:val="18"/>
                <w:szCs w:val="18"/>
                <w:color w:val="auto"/>
              </w:rPr>
              <w:t>La Cafetiere (UK) Limited</w:t>
            </w:r>
          </w:p>
        </w:tc>
        <w:tc>
          <w:tcPr>
            <w:tcW w:w="3720" w:type="dxa"/>
            <w:vAlign w:val="bottom"/>
          </w:tcPr>
          <w:p>
            <w:pPr>
              <w:ind w:left="1660"/>
              <w:spacing w:after="0"/>
              <w:rPr>
                <w:sz w:val="20"/>
                <w:szCs w:val="20"/>
                <w:color w:val="auto"/>
              </w:rPr>
            </w:pPr>
            <w:r>
              <w:rPr>
                <w:rFonts w:ascii="Arial" w:cs="Arial" w:eastAsia="Arial" w:hAnsi="Arial"/>
                <w:sz w:val="18"/>
                <w:szCs w:val="18"/>
                <w:color w:val="auto"/>
              </w:rPr>
              <w:t>United Kingdom</w:t>
            </w:r>
          </w:p>
        </w:tc>
        <w:tc>
          <w:tcPr>
            <w:tcW w:w="134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57"/>
        </w:trPr>
        <w:tc>
          <w:tcPr>
            <w:tcW w:w="6180" w:type="dxa"/>
            <w:vAlign w:val="bottom"/>
          </w:tcPr>
          <w:p>
            <w:pPr>
              <w:ind w:left="20"/>
              <w:spacing w:after="0"/>
              <w:rPr>
                <w:sz w:val="20"/>
                <w:szCs w:val="20"/>
                <w:color w:val="auto"/>
              </w:rPr>
            </w:pPr>
            <w:r>
              <w:rPr>
                <w:rFonts w:ascii="Arial" w:cs="Arial" w:eastAsia="Arial" w:hAnsi="Arial"/>
                <w:sz w:val="18"/>
                <w:szCs w:val="18"/>
                <w:color w:val="auto"/>
              </w:rPr>
              <w:t>Lifetime Brands (Jersey) Limited</w:t>
            </w:r>
          </w:p>
        </w:tc>
        <w:tc>
          <w:tcPr>
            <w:tcW w:w="3720" w:type="dxa"/>
            <w:vAlign w:val="bottom"/>
          </w:tcPr>
          <w:p>
            <w:pPr>
              <w:ind w:left="1660"/>
              <w:spacing w:after="0"/>
              <w:rPr>
                <w:sz w:val="20"/>
                <w:szCs w:val="20"/>
                <w:color w:val="auto"/>
              </w:rPr>
            </w:pPr>
            <w:r>
              <w:rPr>
                <w:rFonts w:ascii="Arial" w:cs="Arial" w:eastAsia="Arial" w:hAnsi="Arial"/>
                <w:sz w:val="18"/>
                <w:szCs w:val="18"/>
                <w:color w:val="auto"/>
              </w:rPr>
              <w:t>Jersey, Channel Islands</w:t>
            </w:r>
          </w:p>
        </w:tc>
        <w:tc>
          <w:tcPr>
            <w:tcW w:w="134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57"/>
        </w:trPr>
        <w:tc>
          <w:tcPr>
            <w:tcW w:w="6180" w:type="dxa"/>
            <w:vAlign w:val="bottom"/>
          </w:tcPr>
          <w:p>
            <w:pPr>
              <w:ind w:left="20"/>
              <w:spacing w:after="0"/>
              <w:rPr>
                <w:sz w:val="20"/>
                <w:szCs w:val="20"/>
                <w:color w:val="auto"/>
              </w:rPr>
            </w:pPr>
            <w:r>
              <w:rPr>
                <w:rFonts w:ascii="Arial" w:cs="Arial" w:eastAsia="Arial" w:hAnsi="Arial"/>
                <w:sz w:val="18"/>
                <w:szCs w:val="18"/>
                <w:color w:val="auto"/>
              </w:rPr>
              <w:t>Lifetime Brands Europe Limited</w:t>
            </w:r>
          </w:p>
        </w:tc>
        <w:tc>
          <w:tcPr>
            <w:tcW w:w="3720" w:type="dxa"/>
            <w:vAlign w:val="bottom"/>
          </w:tcPr>
          <w:p>
            <w:pPr>
              <w:ind w:left="1660"/>
              <w:spacing w:after="0"/>
              <w:rPr>
                <w:sz w:val="20"/>
                <w:szCs w:val="20"/>
                <w:color w:val="auto"/>
              </w:rPr>
            </w:pPr>
            <w:r>
              <w:rPr>
                <w:rFonts w:ascii="Arial" w:cs="Arial" w:eastAsia="Arial" w:hAnsi="Arial"/>
                <w:sz w:val="18"/>
                <w:szCs w:val="18"/>
                <w:color w:val="auto"/>
              </w:rPr>
              <w:t>United Kingdom</w:t>
            </w:r>
          </w:p>
        </w:tc>
        <w:tc>
          <w:tcPr>
            <w:tcW w:w="134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57"/>
        </w:trPr>
        <w:tc>
          <w:tcPr>
            <w:tcW w:w="6180" w:type="dxa"/>
            <w:vAlign w:val="bottom"/>
          </w:tcPr>
          <w:p>
            <w:pPr>
              <w:ind w:left="20"/>
              <w:spacing w:after="0"/>
              <w:rPr>
                <w:sz w:val="20"/>
                <w:szCs w:val="20"/>
                <w:color w:val="auto"/>
              </w:rPr>
            </w:pPr>
            <w:r>
              <w:rPr>
                <w:rFonts w:ascii="Arial" w:cs="Arial" w:eastAsia="Arial" w:hAnsi="Arial"/>
                <w:sz w:val="18"/>
                <w:szCs w:val="18"/>
                <w:color w:val="auto"/>
              </w:rPr>
              <w:t>Lifetime Brands Global Limited</w:t>
            </w:r>
          </w:p>
        </w:tc>
        <w:tc>
          <w:tcPr>
            <w:tcW w:w="3720" w:type="dxa"/>
            <w:vAlign w:val="bottom"/>
          </w:tcPr>
          <w:p>
            <w:pPr>
              <w:ind w:left="1660"/>
              <w:spacing w:after="0"/>
              <w:rPr>
                <w:sz w:val="20"/>
                <w:szCs w:val="20"/>
                <w:color w:val="auto"/>
              </w:rPr>
            </w:pPr>
            <w:r>
              <w:rPr>
                <w:rFonts w:ascii="Arial" w:cs="Arial" w:eastAsia="Arial" w:hAnsi="Arial"/>
                <w:sz w:val="18"/>
                <w:szCs w:val="18"/>
                <w:color w:val="auto"/>
              </w:rPr>
              <w:t>Hong Kong</w:t>
            </w:r>
          </w:p>
        </w:tc>
        <w:tc>
          <w:tcPr>
            <w:tcW w:w="134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57"/>
        </w:trPr>
        <w:tc>
          <w:tcPr>
            <w:tcW w:w="6180" w:type="dxa"/>
            <w:vAlign w:val="bottom"/>
          </w:tcPr>
          <w:p>
            <w:pPr>
              <w:ind w:left="20"/>
              <w:spacing w:after="0"/>
              <w:rPr>
                <w:sz w:val="20"/>
                <w:szCs w:val="20"/>
                <w:color w:val="auto"/>
              </w:rPr>
            </w:pPr>
            <w:r>
              <w:rPr>
                <w:rFonts w:ascii="Arial" w:cs="Arial" w:eastAsia="Arial" w:hAnsi="Arial"/>
                <w:sz w:val="18"/>
                <w:szCs w:val="18"/>
                <w:color w:val="auto"/>
              </w:rPr>
              <w:t>Lifetime Brands, Inc. (HK) Limited</w:t>
            </w:r>
          </w:p>
        </w:tc>
        <w:tc>
          <w:tcPr>
            <w:tcW w:w="3720" w:type="dxa"/>
            <w:vAlign w:val="bottom"/>
          </w:tcPr>
          <w:p>
            <w:pPr>
              <w:ind w:left="1660"/>
              <w:spacing w:after="0"/>
              <w:rPr>
                <w:sz w:val="20"/>
                <w:szCs w:val="20"/>
                <w:color w:val="auto"/>
              </w:rPr>
            </w:pPr>
            <w:r>
              <w:rPr>
                <w:rFonts w:ascii="Arial" w:cs="Arial" w:eastAsia="Arial" w:hAnsi="Arial"/>
                <w:sz w:val="18"/>
                <w:szCs w:val="18"/>
                <w:color w:val="auto"/>
              </w:rPr>
              <w:t>Hong Kong</w:t>
            </w:r>
          </w:p>
        </w:tc>
        <w:tc>
          <w:tcPr>
            <w:tcW w:w="134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56"/>
        </w:trPr>
        <w:tc>
          <w:tcPr>
            <w:tcW w:w="6180" w:type="dxa"/>
            <w:vAlign w:val="bottom"/>
          </w:tcPr>
          <w:p>
            <w:pPr>
              <w:ind w:left="20"/>
              <w:spacing w:after="0"/>
              <w:rPr>
                <w:sz w:val="20"/>
                <w:szCs w:val="20"/>
                <w:color w:val="auto"/>
              </w:rPr>
            </w:pPr>
            <w:r>
              <w:rPr>
                <w:rFonts w:ascii="Arial" w:cs="Arial" w:eastAsia="Arial" w:hAnsi="Arial"/>
                <w:sz w:val="18"/>
                <w:szCs w:val="18"/>
                <w:color w:val="auto"/>
              </w:rPr>
              <w:t>Lifetime Brands Global Trading (Shanghai) Company Limited</w:t>
            </w:r>
          </w:p>
        </w:tc>
        <w:tc>
          <w:tcPr>
            <w:tcW w:w="3720" w:type="dxa"/>
            <w:vAlign w:val="bottom"/>
          </w:tcPr>
          <w:p>
            <w:pPr>
              <w:ind w:left="1660"/>
              <w:spacing w:after="0"/>
              <w:rPr>
                <w:sz w:val="20"/>
                <w:szCs w:val="20"/>
                <w:color w:val="auto"/>
              </w:rPr>
            </w:pPr>
            <w:r>
              <w:rPr>
                <w:rFonts w:ascii="Arial" w:cs="Arial" w:eastAsia="Arial" w:hAnsi="Arial"/>
                <w:sz w:val="18"/>
                <w:szCs w:val="18"/>
                <w:color w:val="auto"/>
              </w:rPr>
              <w:t>China</w:t>
            </w:r>
          </w:p>
        </w:tc>
        <w:tc>
          <w:tcPr>
            <w:tcW w:w="134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57"/>
        </w:trPr>
        <w:tc>
          <w:tcPr>
            <w:tcW w:w="6180" w:type="dxa"/>
            <w:vAlign w:val="bottom"/>
          </w:tcPr>
          <w:p>
            <w:pPr>
              <w:ind w:left="20"/>
              <w:spacing w:after="0"/>
              <w:rPr>
                <w:sz w:val="20"/>
                <w:szCs w:val="20"/>
                <w:color w:val="auto"/>
              </w:rPr>
            </w:pPr>
            <w:r>
              <w:rPr>
                <w:rFonts w:ascii="Arial" w:cs="Arial" w:eastAsia="Arial" w:hAnsi="Arial"/>
                <w:sz w:val="18"/>
                <w:szCs w:val="18"/>
                <w:color w:val="auto"/>
              </w:rPr>
              <w:t>Lifetime Brands Holdings Limited</w:t>
            </w:r>
          </w:p>
        </w:tc>
        <w:tc>
          <w:tcPr>
            <w:tcW w:w="3720" w:type="dxa"/>
            <w:vAlign w:val="bottom"/>
          </w:tcPr>
          <w:p>
            <w:pPr>
              <w:ind w:left="1660"/>
              <w:spacing w:after="0"/>
              <w:rPr>
                <w:sz w:val="20"/>
                <w:szCs w:val="20"/>
                <w:color w:val="auto"/>
              </w:rPr>
            </w:pPr>
            <w:r>
              <w:rPr>
                <w:rFonts w:ascii="Arial" w:cs="Arial" w:eastAsia="Arial" w:hAnsi="Arial"/>
                <w:sz w:val="18"/>
                <w:szCs w:val="18"/>
                <w:color w:val="auto"/>
              </w:rPr>
              <w:t>United Kingdom</w:t>
            </w:r>
          </w:p>
        </w:tc>
        <w:tc>
          <w:tcPr>
            <w:tcW w:w="134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57"/>
        </w:trPr>
        <w:tc>
          <w:tcPr>
            <w:tcW w:w="6180" w:type="dxa"/>
            <w:vAlign w:val="bottom"/>
          </w:tcPr>
          <w:p>
            <w:pPr>
              <w:ind w:left="20"/>
              <w:spacing w:after="0"/>
              <w:rPr>
                <w:sz w:val="20"/>
                <w:szCs w:val="20"/>
                <w:color w:val="auto"/>
              </w:rPr>
            </w:pPr>
            <w:r>
              <w:rPr>
                <w:rFonts w:ascii="Arial" w:cs="Arial" w:eastAsia="Arial" w:hAnsi="Arial"/>
                <w:sz w:val="18"/>
                <w:szCs w:val="18"/>
                <w:color w:val="auto"/>
              </w:rPr>
              <w:t>Lifetime Brands UK Limited</w:t>
            </w:r>
          </w:p>
        </w:tc>
        <w:tc>
          <w:tcPr>
            <w:tcW w:w="3720" w:type="dxa"/>
            <w:vAlign w:val="bottom"/>
          </w:tcPr>
          <w:p>
            <w:pPr>
              <w:ind w:left="1660"/>
              <w:spacing w:after="0"/>
              <w:rPr>
                <w:sz w:val="20"/>
                <w:szCs w:val="20"/>
                <w:color w:val="auto"/>
              </w:rPr>
            </w:pPr>
            <w:r>
              <w:rPr>
                <w:rFonts w:ascii="Arial" w:cs="Arial" w:eastAsia="Arial" w:hAnsi="Arial"/>
                <w:sz w:val="18"/>
                <w:szCs w:val="18"/>
                <w:color w:val="auto"/>
              </w:rPr>
              <w:t>United Kingdom</w:t>
            </w:r>
          </w:p>
        </w:tc>
        <w:tc>
          <w:tcPr>
            <w:tcW w:w="134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57"/>
        </w:trPr>
        <w:tc>
          <w:tcPr>
            <w:tcW w:w="6180" w:type="dxa"/>
            <w:vAlign w:val="bottom"/>
          </w:tcPr>
          <w:p>
            <w:pPr>
              <w:ind w:left="20"/>
              <w:spacing w:after="0"/>
              <w:rPr>
                <w:sz w:val="20"/>
                <w:szCs w:val="20"/>
                <w:color w:val="auto"/>
              </w:rPr>
            </w:pPr>
            <w:r>
              <w:rPr>
                <w:rFonts w:ascii="Arial" w:cs="Arial" w:eastAsia="Arial" w:hAnsi="Arial"/>
                <w:sz w:val="18"/>
                <w:szCs w:val="18"/>
                <w:color w:val="auto"/>
              </w:rPr>
              <w:t>New Goal Development Limited</w:t>
            </w:r>
          </w:p>
        </w:tc>
        <w:tc>
          <w:tcPr>
            <w:tcW w:w="3720" w:type="dxa"/>
            <w:vAlign w:val="bottom"/>
          </w:tcPr>
          <w:p>
            <w:pPr>
              <w:ind w:left="1660"/>
              <w:spacing w:after="0"/>
              <w:rPr>
                <w:sz w:val="20"/>
                <w:szCs w:val="20"/>
                <w:color w:val="auto"/>
              </w:rPr>
            </w:pPr>
            <w:r>
              <w:rPr>
                <w:rFonts w:ascii="Arial" w:cs="Arial" w:eastAsia="Arial" w:hAnsi="Arial"/>
                <w:sz w:val="18"/>
                <w:szCs w:val="18"/>
                <w:color w:val="auto"/>
              </w:rPr>
              <w:t>Hong Kong</w:t>
            </w:r>
          </w:p>
        </w:tc>
        <w:tc>
          <w:tcPr>
            <w:tcW w:w="134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56"/>
        </w:trPr>
        <w:tc>
          <w:tcPr>
            <w:tcW w:w="6180" w:type="dxa"/>
            <w:vAlign w:val="bottom"/>
          </w:tcPr>
          <w:p>
            <w:pPr>
              <w:ind w:left="20"/>
              <w:spacing w:after="0"/>
              <w:rPr>
                <w:sz w:val="20"/>
                <w:szCs w:val="20"/>
                <w:color w:val="auto"/>
              </w:rPr>
            </w:pPr>
            <w:r>
              <w:rPr>
                <w:rFonts w:ascii="Arial" w:cs="Arial" w:eastAsia="Arial" w:hAnsi="Arial"/>
                <w:sz w:val="18"/>
                <w:szCs w:val="18"/>
                <w:color w:val="auto"/>
              </w:rPr>
              <w:t>Pfaltzgraff Factory Stores, Inc.</w:t>
            </w:r>
          </w:p>
        </w:tc>
        <w:tc>
          <w:tcPr>
            <w:tcW w:w="3720" w:type="dxa"/>
            <w:vAlign w:val="bottom"/>
          </w:tcPr>
          <w:p>
            <w:pPr>
              <w:ind w:left="1660"/>
              <w:spacing w:after="0"/>
              <w:rPr>
                <w:sz w:val="20"/>
                <w:szCs w:val="20"/>
                <w:color w:val="auto"/>
              </w:rPr>
            </w:pPr>
            <w:r>
              <w:rPr>
                <w:rFonts w:ascii="Arial" w:cs="Arial" w:eastAsia="Arial" w:hAnsi="Arial"/>
                <w:sz w:val="18"/>
                <w:szCs w:val="18"/>
                <w:color w:val="auto"/>
              </w:rPr>
              <w:t>Delaware</w:t>
            </w:r>
          </w:p>
        </w:tc>
        <w:tc>
          <w:tcPr>
            <w:tcW w:w="134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57"/>
        </w:trPr>
        <w:tc>
          <w:tcPr>
            <w:tcW w:w="6180" w:type="dxa"/>
            <w:vAlign w:val="bottom"/>
          </w:tcPr>
          <w:p>
            <w:pPr>
              <w:ind w:left="20"/>
              <w:spacing w:after="0"/>
              <w:rPr>
                <w:sz w:val="20"/>
                <w:szCs w:val="20"/>
                <w:color w:val="auto"/>
              </w:rPr>
            </w:pPr>
            <w:r>
              <w:rPr>
                <w:rFonts w:ascii="Arial" w:cs="Arial" w:eastAsia="Arial" w:hAnsi="Arial"/>
                <w:sz w:val="18"/>
                <w:szCs w:val="18"/>
                <w:color w:val="auto"/>
              </w:rPr>
              <w:t>The Chef’n Corporation</w:t>
            </w:r>
          </w:p>
        </w:tc>
        <w:tc>
          <w:tcPr>
            <w:tcW w:w="3720" w:type="dxa"/>
            <w:vAlign w:val="bottom"/>
          </w:tcPr>
          <w:p>
            <w:pPr>
              <w:ind w:left="1660"/>
              <w:spacing w:after="0"/>
              <w:rPr>
                <w:sz w:val="20"/>
                <w:szCs w:val="20"/>
                <w:color w:val="auto"/>
              </w:rPr>
            </w:pPr>
            <w:r>
              <w:rPr>
                <w:rFonts w:ascii="Arial" w:cs="Arial" w:eastAsia="Arial" w:hAnsi="Arial"/>
                <w:sz w:val="18"/>
                <w:szCs w:val="18"/>
                <w:color w:val="auto"/>
              </w:rPr>
              <w:t>Washington</w:t>
            </w:r>
          </w:p>
        </w:tc>
        <w:tc>
          <w:tcPr>
            <w:tcW w:w="134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57"/>
        </w:trPr>
        <w:tc>
          <w:tcPr>
            <w:tcW w:w="6180" w:type="dxa"/>
            <w:vAlign w:val="bottom"/>
          </w:tcPr>
          <w:p>
            <w:pPr>
              <w:ind w:left="20"/>
              <w:spacing w:after="0"/>
              <w:rPr>
                <w:sz w:val="20"/>
                <w:szCs w:val="20"/>
                <w:color w:val="auto"/>
              </w:rPr>
            </w:pPr>
            <w:r>
              <w:rPr>
                <w:rFonts w:ascii="Arial" w:cs="Arial" w:eastAsia="Arial" w:hAnsi="Arial"/>
                <w:sz w:val="18"/>
                <w:szCs w:val="18"/>
                <w:color w:val="auto"/>
              </w:rPr>
              <w:t>Thomas Plant (Birmingham) Holdings Limited</w:t>
            </w:r>
          </w:p>
        </w:tc>
        <w:tc>
          <w:tcPr>
            <w:tcW w:w="3720" w:type="dxa"/>
            <w:vAlign w:val="bottom"/>
          </w:tcPr>
          <w:p>
            <w:pPr>
              <w:ind w:left="1660"/>
              <w:spacing w:after="0"/>
              <w:rPr>
                <w:sz w:val="20"/>
                <w:szCs w:val="20"/>
                <w:color w:val="auto"/>
              </w:rPr>
            </w:pPr>
            <w:r>
              <w:rPr>
                <w:rFonts w:ascii="Arial" w:cs="Arial" w:eastAsia="Arial" w:hAnsi="Arial"/>
                <w:sz w:val="18"/>
                <w:szCs w:val="18"/>
                <w:color w:val="auto"/>
              </w:rPr>
              <w:t>United Kingdom</w:t>
            </w:r>
          </w:p>
        </w:tc>
        <w:tc>
          <w:tcPr>
            <w:tcW w:w="134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57"/>
        </w:trPr>
        <w:tc>
          <w:tcPr>
            <w:tcW w:w="6180" w:type="dxa"/>
            <w:vAlign w:val="bottom"/>
          </w:tcPr>
          <w:p>
            <w:pPr>
              <w:ind w:left="20"/>
              <w:spacing w:after="0"/>
              <w:rPr>
                <w:sz w:val="20"/>
                <w:szCs w:val="20"/>
                <w:color w:val="auto"/>
              </w:rPr>
            </w:pPr>
            <w:r>
              <w:rPr>
                <w:rFonts w:ascii="Arial" w:cs="Arial" w:eastAsia="Arial" w:hAnsi="Arial"/>
                <w:sz w:val="18"/>
                <w:szCs w:val="18"/>
                <w:color w:val="auto"/>
              </w:rPr>
              <w:t>Wallace Silversmiths de Puerto Rico Ltd.</w:t>
            </w:r>
          </w:p>
        </w:tc>
        <w:tc>
          <w:tcPr>
            <w:tcW w:w="3720" w:type="dxa"/>
            <w:vAlign w:val="bottom"/>
          </w:tcPr>
          <w:p>
            <w:pPr>
              <w:ind w:left="1660"/>
              <w:spacing w:after="0"/>
              <w:rPr>
                <w:sz w:val="20"/>
                <w:szCs w:val="20"/>
                <w:color w:val="auto"/>
              </w:rPr>
            </w:pPr>
            <w:r>
              <w:rPr>
                <w:rFonts w:ascii="Arial" w:cs="Arial" w:eastAsia="Arial" w:hAnsi="Arial"/>
                <w:sz w:val="18"/>
                <w:szCs w:val="18"/>
                <w:color w:val="auto"/>
              </w:rPr>
              <w:t>Cayman Islands</w:t>
            </w:r>
          </w:p>
        </w:tc>
        <w:tc>
          <w:tcPr>
            <w:tcW w:w="134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56"/>
        </w:trPr>
        <w:tc>
          <w:tcPr>
            <w:tcW w:w="6180" w:type="dxa"/>
            <w:vAlign w:val="bottom"/>
          </w:tcPr>
          <w:p>
            <w:pPr>
              <w:ind w:left="20"/>
              <w:spacing w:after="0"/>
              <w:rPr>
                <w:sz w:val="20"/>
                <w:szCs w:val="20"/>
                <w:color w:val="auto"/>
              </w:rPr>
            </w:pPr>
            <w:r>
              <w:rPr>
                <w:rFonts w:ascii="Arial" w:cs="Arial" w:eastAsia="Arial" w:hAnsi="Arial"/>
                <w:sz w:val="18"/>
                <w:szCs w:val="18"/>
                <w:color w:val="auto"/>
              </w:rPr>
              <w:t>LTB de México, S.A. de C.V.</w:t>
            </w:r>
          </w:p>
        </w:tc>
        <w:tc>
          <w:tcPr>
            <w:tcW w:w="3720" w:type="dxa"/>
            <w:vAlign w:val="bottom"/>
          </w:tcPr>
          <w:p>
            <w:pPr>
              <w:ind w:left="1660"/>
              <w:spacing w:after="0"/>
              <w:rPr>
                <w:sz w:val="20"/>
                <w:szCs w:val="20"/>
                <w:color w:val="auto"/>
              </w:rPr>
            </w:pPr>
            <w:r>
              <w:rPr>
                <w:rFonts w:ascii="Arial" w:cs="Arial" w:eastAsia="Arial" w:hAnsi="Arial"/>
                <w:sz w:val="18"/>
                <w:szCs w:val="18"/>
                <w:color w:val="auto"/>
              </w:rPr>
              <w:t>Mexico</w:t>
            </w:r>
          </w:p>
        </w:tc>
        <w:tc>
          <w:tcPr>
            <w:tcW w:w="1340" w:type="dxa"/>
            <w:vAlign w:val="bottom"/>
          </w:tcPr>
          <w:p>
            <w:pPr>
              <w:ind w:left="60"/>
              <w:spacing w:after="0"/>
              <w:rPr>
                <w:sz w:val="20"/>
                <w:szCs w:val="20"/>
                <w:color w:val="auto"/>
              </w:rPr>
            </w:pPr>
            <w:r>
              <w:rPr>
                <w:rFonts w:ascii="Arial" w:cs="Arial" w:eastAsia="Arial" w:hAnsi="Arial"/>
                <w:sz w:val="18"/>
                <w:szCs w:val="18"/>
                <w:color w:val="auto"/>
              </w:rPr>
              <w:t>99.99 %</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07" w:name="page108"/>
    <w:bookmarkEnd w:id="107"/>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3"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We consent to the incorporation by reference in the Registration Statements on Form S-8 (Nos. 333-105382, 333-146017, 333-162734, 333-186208, 333-208961, 333-221613, 333-226666, 333-239539) pertaining to the Amended and Restated 2000 Long-Term Incentive Plan of Lifetime Brands, Inc. of our reports dated March 10, 2021, with respect to the consolidated financial statements and schedule of Lifetime Brands, Inc., and the effectiveness of internal control over financial reporting of Lifetime Brands, Inc. included in this Annual Report (Form 10-K) for the year ended December 31, 2020.</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Jericho, New York</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10, 2021</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16"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Grupo Vasconia, S.A.B.</w:t>
      </w:r>
    </w:p>
    <w:p>
      <w:pPr>
        <w:spacing w:after="0" w:line="234" w:lineRule="auto"/>
        <w:rPr>
          <w:sz w:val="20"/>
          <w:szCs w:val="20"/>
          <w:color w:val="auto"/>
        </w:rPr>
      </w:pPr>
      <w:r>
        <w:rPr>
          <w:rFonts w:ascii="Arial" w:cs="Arial" w:eastAsia="Arial" w:hAnsi="Arial"/>
          <w:sz w:val="18"/>
          <w:szCs w:val="18"/>
          <w:b w:val="1"/>
          <w:bCs w:val="1"/>
          <w:color w:val="auto"/>
        </w:rPr>
        <w:t>Avenida 16 de septiembre #346</w:t>
      </w:r>
    </w:p>
    <w:p>
      <w:pPr>
        <w:spacing w:after="0" w:line="235" w:lineRule="auto"/>
        <w:rPr>
          <w:sz w:val="20"/>
          <w:szCs w:val="20"/>
          <w:color w:val="auto"/>
        </w:rPr>
      </w:pPr>
      <w:r>
        <w:rPr>
          <w:rFonts w:ascii="Arial" w:cs="Arial" w:eastAsia="Arial" w:hAnsi="Arial"/>
          <w:sz w:val="18"/>
          <w:szCs w:val="18"/>
          <w:b w:val="1"/>
          <w:bCs w:val="1"/>
          <w:color w:val="auto"/>
        </w:rPr>
        <w:t>Colonia El Partidor</w:t>
      </w:r>
    </w:p>
    <w:p>
      <w:pPr>
        <w:spacing w:after="0" w:line="235" w:lineRule="auto"/>
        <w:rPr>
          <w:sz w:val="20"/>
          <w:szCs w:val="20"/>
          <w:color w:val="auto"/>
        </w:rPr>
      </w:pPr>
      <w:r>
        <w:rPr>
          <w:rFonts w:ascii="Arial" w:cs="Arial" w:eastAsia="Arial" w:hAnsi="Arial"/>
          <w:sz w:val="18"/>
          <w:szCs w:val="18"/>
          <w:b w:val="1"/>
          <w:bCs w:val="1"/>
          <w:color w:val="auto"/>
        </w:rPr>
        <w:t>Cuautitlán, Estado de México,</w:t>
      </w:r>
    </w:p>
    <w:p>
      <w:pPr>
        <w:spacing w:after="0"/>
        <w:rPr>
          <w:sz w:val="20"/>
          <w:szCs w:val="20"/>
          <w:color w:val="auto"/>
        </w:rPr>
      </w:pPr>
      <w:r>
        <w:rPr>
          <w:rFonts w:ascii="Arial" w:cs="Arial" w:eastAsia="Arial" w:hAnsi="Arial"/>
          <w:sz w:val="18"/>
          <w:szCs w:val="18"/>
          <w:b w:val="1"/>
          <w:bCs w:val="1"/>
          <w:color w:val="auto"/>
        </w:rPr>
        <w:t>C.P. 54879</w:t>
      </w:r>
    </w:p>
    <w:p>
      <w:pPr>
        <w:spacing w:after="0" w:line="223"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We consent to the incorporation by reference in the Registration Statements on Form S-8 (Nos. 333-105282, 333-146017, 333-162734, 333-186208, 333-208961, 333-221613, 333-226666, 333-239539) of Lifetime Brands, Inc. of our report dated March 10, 2021 relating to the consolidated financial statements (not presented separately herein) of Grupo Vasconia, S.A.B. and subsidiaries (the “Company”) included in the December 31, 2020 annual report on Form 10-K of Lifetime Brands, Inc.</w:t>
      </w:r>
    </w:p>
    <w:p>
      <w:pPr>
        <w:spacing w:after="0" w:line="215"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Our report dated March 10, 2021 contains an explanatory paragraph that states that International Financial Reporting Standards as issued by the IASB vary in certain significant respects from generally accepted accounting principles in the United States of America. Information relating to the nature and effect of such differences is presented in note 24 to the consolidated financial statements of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Castillo Miranda y Compañía, S.C. (BDO Mexico)</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C.P.C. Jose Luis Villalobos Zuazua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829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C.P.C. Jose Luis Villalobos Zuazua</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Partner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Mexico City, Mexico</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10, 2021</w:t>
      </w:r>
    </w:p>
    <w:p>
      <w:pPr>
        <w:sectPr>
          <w:pgSz w:w="11900" w:h="16838" w:orient="portrait"/>
          <w:cols w:equalWidth="0" w:num="1">
            <w:col w:w="11240"/>
          </w:cols>
          <w:pgMar w:left="320" w:top="1440"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B. Kay, certify that:</w:t>
      </w:r>
    </w:p>
    <w:p>
      <w:pPr>
        <w:spacing w:after="0" w:line="117" w:lineRule="exact"/>
        <w:rPr>
          <w:sz w:val="20"/>
          <w:szCs w:val="20"/>
          <w:color w:val="auto"/>
        </w:rPr>
      </w:pPr>
    </w:p>
    <w:p>
      <w:pPr>
        <w:ind w:left="600" w:hanging="187"/>
        <w:spacing w:after="0"/>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Lifetime Brands, Inc. (“the registrant”);</w:t>
      </w:r>
    </w:p>
    <w:p>
      <w:pPr>
        <w:spacing w:after="0" w:line="117" w:lineRule="exact"/>
        <w:rPr>
          <w:rFonts w:ascii="Arial" w:cs="Arial" w:eastAsia="Arial" w:hAnsi="Arial"/>
          <w:sz w:val="18"/>
          <w:szCs w:val="18"/>
          <w:color w:val="auto"/>
        </w:rPr>
      </w:pPr>
    </w:p>
    <w:p>
      <w:pPr>
        <w:jc w:val="both"/>
        <w:ind w:left="420" w:right="220" w:hanging="7"/>
        <w:spacing w:after="0" w:line="263" w:lineRule="auto"/>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75" w:lineRule="exact"/>
        <w:rPr>
          <w:rFonts w:ascii="Arial" w:cs="Arial" w:eastAsia="Arial" w:hAnsi="Arial"/>
          <w:sz w:val="18"/>
          <w:szCs w:val="18"/>
          <w:color w:val="auto"/>
        </w:rPr>
      </w:pPr>
    </w:p>
    <w:p>
      <w:pPr>
        <w:ind w:left="420" w:right="400" w:hanging="7"/>
        <w:spacing w:after="0" w:line="342" w:lineRule="auto"/>
        <w:tabs>
          <w:tab w:leader="none" w:pos="6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 w:lineRule="exact"/>
        <w:rPr>
          <w:rFonts w:ascii="Arial" w:cs="Arial" w:eastAsia="Arial" w:hAnsi="Arial"/>
          <w:sz w:val="16"/>
          <w:szCs w:val="16"/>
          <w:color w:val="auto"/>
        </w:rPr>
      </w:pPr>
    </w:p>
    <w:p>
      <w:pPr>
        <w:ind w:left="420" w:right="300" w:hanging="7"/>
        <w:spacing w:after="0" w:line="263" w:lineRule="auto"/>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820" w:right="80" w:hanging="2"/>
        <w:spacing w:after="0" w:line="263" w:lineRule="auto"/>
        <w:tabs>
          <w:tab w:leader="none" w:pos="99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5" w:lineRule="exact"/>
        <w:rPr>
          <w:rFonts w:ascii="Arial" w:cs="Arial" w:eastAsia="Arial" w:hAnsi="Arial"/>
          <w:sz w:val="18"/>
          <w:szCs w:val="18"/>
          <w:color w:val="auto"/>
        </w:rPr>
      </w:pPr>
    </w:p>
    <w:p>
      <w:pPr>
        <w:jc w:val="both"/>
        <w:ind w:left="820" w:right="460" w:hanging="2"/>
        <w:spacing w:after="0" w:line="263" w:lineRule="auto"/>
        <w:tabs>
          <w:tab w:leader="none" w:pos="10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820" w:right="580" w:hanging="2"/>
        <w:spacing w:after="0" w:line="342" w:lineRule="auto"/>
        <w:tabs>
          <w:tab w:leader="none" w:pos="99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20" w:right="20" w:hanging="2"/>
        <w:spacing w:after="0" w:line="342" w:lineRule="auto"/>
        <w:tabs>
          <w:tab w:leader="none" w:pos="10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420" w:right="260" w:hanging="7"/>
        <w:spacing w:after="0" w:line="342" w:lineRule="auto"/>
        <w:tabs>
          <w:tab w:leader="none" w:pos="6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5" w:lineRule="exact"/>
        <w:rPr>
          <w:rFonts w:ascii="Arial" w:cs="Arial" w:eastAsia="Arial" w:hAnsi="Arial"/>
          <w:sz w:val="16"/>
          <w:szCs w:val="16"/>
          <w:color w:val="auto"/>
        </w:rPr>
      </w:pPr>
    </w:p>
    <w:p>
      <w:pPr>
        <w:ind w:left="820" w:right="820" w:hanging="2"/>
        <w:spacing w:after="0" w:line="342" w:lineRule="auto"/>
        <w:tabs>
          <w:tab w:leader="none" w:pos="99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820" w:right="500" w:hanging="2"/>
        <w:spacing w:after="0" w:line="273" w:lineRule="auto"/>
        <w:tabs>
          <w:tab w:leader="none" w:pos="10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10, 2021</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774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Robert B. Kay</w:t>
      </w:r>
    </w:p>
    <w:p>
      <w:pPr>
        <w:ind w:left="20"/>
        <w:spacing w:after="0"/>
        <w:rPr>
          <w:sz w:val="20"/>
          <w:szCs w:val="20"/>
          <w:color w:val="auto"/>
        </w:rPr>
      </w:pPr>
      <w:r>
        <w:rPr>
          <w:rFonts w:ascii="Arial" w:cs="Arial" w:eastAsia="Arial" w:hAnsi="Arial"/>
          <w:sz w:val="18"/>
          <w:szCs w:val="18"/>
          <w:color w:val="auto"/>
        </w:rPr>
        <w:t>Chief Executive Officer and Director</w:t>
      </w:r>
    </w:p>
    <w:p>
      <w:pPr>
        <w:sectPr>
          <w:pgSz w:w="11900" w:h="16838" w:orient="portrait"/>
          <w:cols w:equalWidth="0" w:num="1">
            <w:col w:w="11240"/>
          </w:cols>
          <w:pgMar w:left="320" w:top="891"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Laurence Winoker, certify that:</w:t>
      </w:r>
    </w:p>
    <w:p>
      <w:pPr>
        <w:spacing w:after="0" w:line="117" w:lineRule="exact"/>
        <w:rPr>
          <w:sz w:val="20"/>
          <w:szCs w:val="20"/>
          <w:color w:val="auto"/>
        </w:rPr>
      </w:pPr>
    </w:p>
    <w:p>
      <w:pPr>
        <w:ind w:left="600" w:hanging="187"/>
        <w:spacing w:after="0"/>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Lifetime Brands, Inc. (“the registrant”);</w:t>
      </w:r>
    </w:p>
    <w:p>
      <w:pPr>
        <w:spacing w:after="0" w:line="117" w:lineRule="exact"/>
        <w:rPr>
          <w:rFonts w:ascii="Arial" w:cs="Arial" w:eastAsia="Arial" w:hAnsi="Arial"/>
          <w:sz w:val="18"/>
          <w:szCs w:val="18"/>
          <w:color w:val="auto"/>
        </w:rPr>
      </w:pPr>
    </w:p>
    <w:p>
      <w:pPr>
        <w:jc w:val="both"/>
        <w:ind w:left="420" w:right="220" w:hanging="7"/>
        <w:spacing w:after="0" w:line="263" w:lineRule="auto"/>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75" w:lineRule="exact"/>
        <w:rPr>
          <w:rFonts w:ascii="Arial" w:cs="Arial" w:eastAsia="Arial" w:hAnsi="Arial"/>
          <w:sz w:val="18"/>
          <w:szCs w:val="18"/>
          <w:color w:val="auto"/>
        </w:rPr>
      </w:pPr>
    </w:p>
    <w:p>
      <w:pPr>
        <w:ind w:left="420" w:right="400" w:hanging="7"/>
        <w:spacing w:after="0" w:line="342" w:lineRule="auto"/>
        <w:tabs>
          <w:tab w:leader="none" w:pos="6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 w:lineRule="exact"/>
        <w:rPr>
          <w:rFonts w:ascii="Arial" w:cs="Arial" w:eastAsia="Arial" w:hAnsi="Arial"/>
          <w:sz w:val="16"/>
          <w:szCs w:val="16"/>
          <w:color w:val="auto"/>
        </w:rPr>
      </w:pPr>
    </w:p>
    <w:p>
      <w:pPr>
        <w:ind w:left="420" w:right="300" w:hanging="7"/>
        <w:spacing w:after="0" w:line="263" w:lineRule="auto"/>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820" w:right="80" w:hanging="2"/>
        <w:spacing w:after="0" w:line="263" w:lineRule="auto"/>
        <w:tabs>
          <w:tab w:leader="none" w:pos="99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5" w:lineRule="exact"/>
        <w:rPr>
          <w:rFonts w:ascii="Arial" w:cs="Arial" w:eastAsia="Arial" w:hAnsi="Arial"/>
          <w:sz w:val="18"/>
          <w:szCs w:val="18"/>
          <w:color w:val="auto"/>
        </w:rPr>
      </w:pPr>
    </w:p>
    <w:p>
      <w:pPr>
        <w:jc w:val="both"/>
        <w:ind w:left="820" w:right="460" w:hanging="2"/>
        <w:spacing w:after="0" w:line="263" w:lineRule="auto"/>
        <w:tabs>
          <w:tab w:leader="none" w:pos="10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820" w:right="580" w:hanging="2"/>
        <w:spacing w:after="0" w:line="342" w:lineRule="auto"/>
        <w:tabs>
          <w:tab w:leader="none" w:pos="99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20" w:right="20" w:hanging="2"/>
        <w:spacing w:after="0" w:line="342" w:lineRule="auto"/>
        <w:tabs>
          <w:tab w:leader="none" w:pos="10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420" w:right="260" w:hanging="7"/>
        <w:spacing w:after="0" w:line="342" w:lineRule="auto"/>
        <w:tabs>
          <w:tab w:leader="none" w:pos="6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5" w:lineRule="exact"/>
        <w:rPr>
          <w:rFonts w:ascii="Arial" w:cs="Arial" w:eastAsia="Arial" w:hAnsi="Arial"/>
          <w:sz w:val="16"/>
          <w:szCs w:val="16"/>
          <w:color w:val="auto"/>
        </w:rPr>
      </w:pPr>
    </w:p>
    <w:p>
      <w:pPr>
        <w:ind w:left="820" w:right="820" w:hanging="2"/>
        <w:spacing w:after="0" w:line="342" w:lineRule="auto"/>
        <w:tabs>
          <w:tab w:leader="none" w:pos="99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820" w:right="500" w:hanging="2"/>
        <w:spacing w:after="0" w:line="273" w:lineRule="auto"/>
        <w:tabs>
          <w:tab w:leader="none" w:pos="10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10, 2021</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9891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6">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Laurence Winoker</w:t>
      </w:r>
    </w:p>
    <w:p>
      <w:pPr>
        <w:ind w:left="20"/>
        <w:spacing w:after="0"/>
        <w:rPr>
          <w:sz w:val="20"/>
          <w:szCs w:val="20"/>
          <w:color w:val="auto"/>
        </w:rPr>
      </w:pPr>
      <w:r>
        <w:rPr>
          <w:rFonts w:ascii="Arial" w:cs="Arial" w:eastAsia="Arial" w:hAnsi="Arial"/>
          <w:sz w:val="18"/>
          <w:szCs w:val="18"/>
          <w:color w:val="auto"/>
        </w:rPr>
        <w:t>Senior Vice President -Finance,Treasurer and Chief Financial Officer</w:t>
      </w:r>
    </w:p>
    <w:p>
      <w:pPr>
        <w:sectPr>
          <w:pgSz w:w="11900" w:h="16838" w:orient="portrait"/>
          <w:cols w:equalWidth="0" w:num="1">
            <w:col w:w="11240"/>
          </w:cols>
          <w:pgMar w:left="320" w:top="89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5"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Certification by Robert B. Kay, Chief Executive Officer and Director, and Laurence Winoker, Senior Vice President - Finance, Treasurer and Chief Financial Officer, Pursuant to 18 U.S.C. Section 1350, as Adopted Pursuant to Section 906 of the Sarbanes-Oxley Act of 2002.</w:t>
      </w:r>
    </w:p>
    <w:p>
      <w:pPr>
        <w:spacing w:after="0" w:line="14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 Robert B. Kay, Chief Executive Officer, and I, Laurence Winoker, Senior Vice President - Finance, Treasurer and Chief Financial Officer, of Lifetime Brands, Inc., a Delaware corporation (the “Company”), each hereby certifies that:</w:t>
      </w:r>
    </w:p>
    <w:p>
      <w:pPr>
        <w:spacing w:after="0" w:line="62" w:lineRule="exact"/>
        <w:rPr>
          <w:sz w:val="20"/>
          <w:szCs w:val="20"/>
          <w:color w:val="auto"/>
        </w:rPr>
      </w:pPr>
    </w:p>
    <w:p>
      <w:pPr>
        <w:ind w:left="660" w:right="180" w:hanging="328"/>
        <w:spacing w:after="0" w:line="277" w:lineRule="auto"/>
        <w:tabs>
          <w:tab w:leader="none" w:pos="65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2020 (the “Form 10-K”)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660" w:right="620" w:hanging="328"/>
        <w:spacing w:after="0" w:line="273" w:lineRule="auto"/>
        <w:tabs>
          <w:tab w:leader="none" w:pos="65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Form 10-K fairly presents, in all material respects, the financial condition and results of operations of the Company.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/s/ Robert B. Kay</w:t>
            </w:r>
          </w:p>
        </w:tc>
        <w:tc>
          <w:tcPr>
            <w:tcW w:w="5540" w:type="dxa"/>
            <w:vAlign w:val="bottom"/>
          </w:tcPr>
          <w:p>
            <w:pPr>
              <w:ind w:left="20"/>
              <w:spacing w:after="0"/>
              <w:rPr>
                <w:sz w:val="20"/>
                <w:szCs w:val="20"/>
                <w:color w:val="auto"/>
              </w:rPr>
            </w:pPr>
            <w:r>
              <w:rPr>
                <w:rFonts w:ascii="Arial" w:cs="Arial" w:eastAsia="Arial" w:hAnsi="Arial"/>
                <w:sz w:val="18"/>
                <w:szCs w:val="18"/>
                <w:color w:val="auto"/>
              </w:rPr>
              <w:t>/s/ Laurence Winoker</w:t>
            </w:r>
          </w:p>
        </w:tc>
      </w:tr>
      <w:tr>
        <w:trPr>
          <w:trHeight w:val="169"/>
        </w:trPr>
        <w:tc>
          <w:tcPr>
            <w:tcW w:w="554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Robert B. Kay</w:t>
            </w:r>
          </w:p>
        </w:tc>
        <w:tc>
          <w:tcPr>
            <w:tcW w:w="140" w:type="dxa"/>
            <w:vAlign w:val="bottom"/>
          </w:tcPr>
          <w:p>
            <w:pPr>
              <w:spacing w:after="0"/>
              <w:rPr>
                <w:sz w:val="14"/>
                <w:szCs w:val="14"/>
                <w:color w:val="auto"/>
              </w:rPr>
            </w:pPr>
          </w:p>
        </w:tc>
        <w:tc>
          <w:tcPr>
            <w:tcW w:w="554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Laurence Winoker</w:t>
            </w:r>
          </w:p>
        </w:tc>
      </w:tr>
      <w:tr>
        <w:trPr>
          <w:trHeight w:val="176"/>
        </w:trPr>
        <w:tc>
          <w:tcPr>
            <w:tcW w:w="56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Chief Executive Officer and Director</w:t>
            </w:r>
          </w:p>
        </w:tc>
        <w:tc>
          <w:tcPr>
            <w:tcW w:w="5540" w:type="dxa"/>
            <w:vAlign w:val="bottom"/>
          </w:tcPr>
          <w:p>
            <w:pPr>
              <w:ind w:left="20"/>
              <w:spacing w:after="0" w:line="176" w:lineRule="exact"/>
              <w:rPr>
                <w:sz w:val="20"/>
                <w:szCs w:val="20"/>
                <w:color w:val="auto"/>
              </w:rPr>
            </w:pPr>
            <w:r>
              <w:rPr>
                <w:rFonts w:ascii="Arial" w:cs="Arial" w:eastAsia="Arial" w:hAnsi="Arial"/>
                <w:sz w:val="18"/>
                <w:szCs w:val="18"/>
                <w:color w:val="auto"/>
              </w:rPr>
              <w:t>Senior Vice President- Finance, Treasurer</w:t>
            </w:r>
          </w:p>
        </w:tc>
      </w:tr>
      <w:tr>
        <w:trPr>
          <w:trHeight w:val="230"/>
        </w:trPr>
        <w:tc>
          <w:tcPr>
            <w:tcW w:w="5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ind w:left="20"/>
              <w:spacing w:after="0"/>
              <w:rPr>
                <w:sz w:val="20"/>
                <w:szCs w:val="20"/>
                <w:color w:val="auto"/>
              </w:rPr>
            </w:pPr>
            <w:r>
              <w:rPr>
                <w:rFonts w:ascii="Arial" w:cs="Arial" w:eastAsia="Arial" w:hAnsi="Arial"/>
                <w:sz w:val="18"/>
                <w:szCs w:val="18"/>
                <w:color w:val="auto"/>
              </w:rPr>
              <w:t>and Chief Financial Officer</w:t>
            </w:r>
          </w:p>
        </w:tc>
      </w:tr>
      <w:tr>
        <w:trPr>
          <w:trHeight w:val="49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Date: March 10, 2021</w:t>
            </w:r>
          </w:p>
        </w:tc>
        <w:tc>
          <w:tcPr>
            <w:tcW w:w="5540" w:type="dxa"/>
            <w:vAlign w:val="bottom"/>
          </w:tcPr>
          <w:p>
            <w:pPr>
              <w:ind w:left="20"/>
              <w:spacing w:after="0"/>
              <w:rPr>
                <w:sz w:val="20"/>
                <w:szCs w:val="20"/>
                <w:color w:val="auto"/>
              </w:rPr>
            </w:pPr>
            <w:r>
              <w:rPr>
                <w:rFonts w:ascii="Arial" w:cs="Arial" w:eastAsia="Arial" w:hAnsi="Arial"/>
                <w:sz w:val="18"/>
                <w:szCs w:val="18"/>
                <w:color w:val="auto"/>
              </w:rPr>
              <w:t>Date: March 10, 2021</w:t>
            </w: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certification required by 18 U.S.C. Section 1350 has been provided to Lifetime Brands, Inc. and will be retained by Lifetime Brands, Inc. and furnished to the SEC or its staff upon request.</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certification is being furnished solely pursuant to 18 U.S.C. 1350, shall not be deemed “filed” with the Securities and Exchange Commission for purposes of Section 18 of the Securities Exchange Act of 1934 or otherwise subject to liability under that section, and shall not be deemed incorporated by reference into any filing of the Company under the Securities Act of 1933, as amended, or the Securities Exchange Act of 1934, as amended, irrespective of any general incorporation by reference language contained in such filing.</w:t>
      </w:r>
    </w:p>
    <w:p>
      <w:pPr>
        <w:sectPr>
          <w:pgSz w:w="11900" w:h="16838" w:orient="portrait"/>
          <w:cols w:equalWidth="0" w:num="1">
            <w:col w:w="11240"/>
          </w:cols>
          <w:pgMar w:left="320" w:top="1134"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99.1</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Grupo Vasconia, S.A.B.</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43"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We have audited the accompanying consolidated statements of financial position of Grupo Vasconia S.A.B. and Subsidiaries (the “Company”) as of December 31, 2020 and 2019, and the related consolidated statements of comprehensive income, changes in equity, and cash flows for each of the three years in the period ended December 31, 2020, and the related notes (collectively referred to as the “consolidated financial statements”) (not present herein). In our opinion, the consolidated financial statements present fairly, in all material respects, the financial position of the Company as of December 31, 2020 and 2019, and the consolidated results of operations and its cash flows for each of the three years in the period ended December 31, 2020, in conformity with International Financial Reporting Standards as issued by the International Accounting Standards Board (“IASB”).</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from U.S. generally accepted accounting principles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International Financial Reporting Standards as issued by the IASB vary in certain significant respects from U.S. generally accepted accounting principles.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relating to the nature and effect of such differences is presented in Note 24 to the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We conducted our audits in accordance with the standards of the PCAOB and in accordance with International Standards on Auditing.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separate opinion on the critical audit matter or on the accounts or disclosures to which it relates.</w:t>
      </w:r>
    </w:p>
    <w:p>
      <w:pPr>
        <w:sectPr>
          <w:pgSz w:w="11900" w:h="16838" w:orient="portrait"/>
          <w:cols w:equalWidth="0" w:num="1">
            <w:col w:w="11240"/>
          </w:cols>
          <w:pgMar w:left="320" w:top="1417" w:right="339" w:bottom="1440" w:gutter="0" w:footer="0" w:header="0"/>
        </w:sectPr>
      </w:pPr>
    </w:p>
    <w:bookmarkStart w:id="113" w:name="page114"/>
    <w:bookmarkEnd w:id="113"/>
    <w:p>
      <w:pPr>
        <w:jc w:val="both"/>
        <w:spacing w:after="0" w:line="296" w:lineRule="auto"/>
        <w:rPr>
          <w:sz w:val="20"/>
          <w:szCs w:val="20"/>
          <w:color w:val="auto"/>
        </w:rPr>
      </w:pPr>
      <w:r>
        <w:rPr>
          <w:rFonts w:ascii="Arial" w:cs="Arial" w:eastAsia="Arial" w:hAnsi="Arial"/>
          <w:sz w:val="16"/>
          <w:szCs w:val="16"/>
          <w:color w:val="auto"/>
        </w:rPr>
        <w:t>As described in notes 2 and 4 to the Company's consolidated financial statements, on February 19, 2020, the Company completed the acquisition of Alucal pursuant to the terms of the Termination and Settlement Agreement entered on that date with the former shareholders of such entity. The transaction was accounted for as a business combination. As a result of the acquisition, the Company obtained the effective control of Alucal, which until the transaction date was accounted for under the equity method. The purchase price was allocated based on the fair values of the assets acquired, which principally consisted of land, buildings and machinery and equipment, and the liabilities assumed, including a gain on a bargain purchase of $192 million.</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Auditing the Company's accounting for its acquisition of Alucal was complex due to the significant estimation required by management to determine the fair value of the previously held interest in Alucal and of the assets acquired. Determining the fair value of the previously held interest in Alucal required judgment to assess the fair value methodology utilized and the related significant assumptions, such as future cash flows and the weighted average cost of capital. There was also significant judgment involved in determining the fair value of the assets acquired applying the cost approach by estimating the amount that would be required currently to substitute an asset of comparable utility and use condition. The estimate takes into account the condition of the asset and the environment in which it operates, including physical deterioration, functional and economic obsolescence, as well as installation costs.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52" w:lineRule="exact"/>
        <w:rPr>
          <w:sz w:val="20"/>
          <w:szCs w:val="20"/>
          <w:color w:val="auto"/>
        </w:rPr>
      </w:pPr>
    </w:p>
    <w:p>
      <w:pPr>
        <w:ind w:left="660" w:hanging="166"/>
        <w:spacing w:after="0" w:line="258"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Obtaining an understanding over the Company's business combinations process, including management's review of the significant assumptions and determination of fair value methods utilized.</w:t>
      </w:r>
    </w:p>
    <w:p>
      <w:pPr>
        <w:spacing w:after="0" w:line="1" w:lineRule="exact"/>
        <w:rPr>
          <w:rFonts w:ascii="Arial" w:cs="Arial" w:eastAsia="Arial" w:hAnsi="Arial"/>
          <w:sz w:val="18"/>
          <w:szCs w:val="18"/>
          <w:color w:val="auto"/>
        </w:rPr>
      </w:pPr>
    </w:p>
    <w:p>
      <w:pPr>
        <w:jc w:val="both"/>
        <w:ind w:left="660" w:hanging="166"/>
        <w:spacing w:after="0" w:line="250"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Utilizing professionals with specialized skills and knowledge to assist in: (i) evaluating the reasonableness of the purchase price allocation methodology used by management to determine the fair value of the consideration transferred and the tangible assets acquired, (ii) evaluating management's significant assumptions described above, and (iii) performing sensitivity analyses of certain significant assumptions used to determine fair values.</w:t>
      </w:r>
    </w:p>
    <w:p>
      <w:pPr>
        <w:spacing w:after="0" w:line="1" w:lineRule="exact"/>
        <w:rPr>
          <w:rFonts w:ascii="Arial" w:cs="Arial" w:eastAsia="Arial" w:hAnsi="Arial"/>
          <w:sz w:val="18"/>
          <w:szCs w:val="18"/>
          <w:color w:val="auto"/>
        </w:rPr>
      </w:pPr>
    </w:p>
    <w:p>
      <w:pPr>
        <w:ind w:left="660" w:hanging="16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Testing the completeness and accuracy of the underlying data.</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7900"/>
        <w:spacing w:after="0"/>
        <w:rPr>
          <w:sz w:val="20"/>
          <w:szCs w:val="20"/>
          <w:color w:val="auto"/>
        </w:rPr>
      </w:pPr>
      <w:r>
        <w:rPr>
          <w:rFonts w:ascii="Arial" w:cs="Arial" w:eastAsia="Arial" w:hAnsi="Arial"/>
          <w:sz w:val="17"/>
          <w:szCs w:val="17"/>
          <w:color w:val="auto"/>
        </w:rPr>
        <w:t>CASTILLO MIRANDA Y COMPAÑÍA, S.C.</w:t>
      </w: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Jose Luis Villalobos Zuazua</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Jose Luis Villalobos Zuazua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Mexico City, Mexico</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10, 2021</w:t>
      </w:r>
    </w:p>
    <w:sectPr>
      <w:pgSz w:w="11900" w:h="16838" w:orient="portrait"/>
      <w:cols w:equalWidth="0" w:num="1">
        <w:col w:w="11240"/>
      </w:cols>
      <w:pgMar w:left="320" w:top="14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1)"/>
      <w:numFmt w:val="lowerLetter"/>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lowerLetter"/>
      <w:start w:val="1"/>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82" Type="http://schemas.openxmlformats.org/officeDocument/2006/relationships/image" Target="media/image67.png"/><Relationship Id="rId100" Type="http://schemas.openxmlformats.org/officeDocument/2006/relationships/image" Target="media/image68.png"/><Relationship Id="rId101" Type="http://schemas.openxmlformats.org/officeDocument/2006/relationships/image" Target="media/image69.png"/><Relationship Id="rId119" Type="http://schemas.openxmlformats.org/officeDocument/2006/relationships/image" Target="media/image70.png"/><Relationship Id="rId120" Type="http://schemas.openxmlformats.org/officeDocument/2006/relationships/image" Target="media/image71.png"/><Relationship Id="rId123" Type="http://schemas.openxmlformats.org/officeDocument/2006/relationships/image" Target="media/image72.png"/><Relationship Id="rId124" Type="http://schemas.openxmlformats.org/officeDocument/2006/relationships/image" Target="media/image73.png"/><Relationship Id="rId125" Type="http://schemas.openxmlformats.org/officeDocument/2006/relationships/image" Target="media/image74.png"/><Relationship Id="rId126" Type="http://schemas.openxmlformats.org/officeDocument/2006/relationships/image" Target="media/image75.png"/><Relationship Id="rId127" Type="http://schemas.openxmlformats.org/officeDocument/2006/relationships/image" Target="media/image76.png"/><Relationship Id="rId128" Type="http://schemas.openxmlformats.org/officeDocument/2006/relationships/image" Target="media/image77.png"/><Relationship Id="rId129" Type="http://schemas.openxmlformats.org/officeDocument/2006/relationships/image" Target="media/image78.png"/><Relationship Id="rId130" Type="http://schemas.openxmlformats.org/officeDocument/2006/relationships/image" Target="media/image79.png"/><Relationship Id="rId131" Type="http://schemas.openxmlformats.org/officeDocument/2006/relationships/image" Target="media/image80.png"/><Relationship Id="rId132" Type="http://schemas.openxmlformats.org/officeDocument/2006/relationships/image" Target="media/image81.png"/><Relationship Id="rId133" Type="http://schemas.openxmlformats.org/officeDocument/2006/relationships/image" Target="media/image82.png"/><Relationship Id="rId134" Type="http://schemas.openxmlformats.org/officeDocument/2006/relationships/image" Target="media/image83.png"/><Relationship Id="rId135" Type="http://schemas.openxmlformats.org/officeDocument/2006/relationships/image" Target="media/image84.png"/><Relationship Id="rId136" Type="http://schemas.openxmlformats.org/officeDocument/2006/relationships/image" Target="media/image85.png"/><Relationship Id="rId137" Type="http://schemas.openxmlformats.org/officeDocument/2006/relationships/image" Target="media/image86.png"/><Relationship Id="rId138" Type="http://schemas.openxmlformats.org/officeDocument/2006/relationships/image" Target="media/image87.png"/><Relationship Id="rId139" Type="http://schemas.openxmlformats.org/officeDocument/2006/relationships/image" Target="media/image88.png"/><Relationship Id="rId140" Type="http://schemas.openxmlformats.org/officeDocument/2006/relationships/image" Target="media/image89.png"/><Relationship Id="rId141" Type="http://schemas.openxmlformats.org/officeDocument/2006/relationships/image" Target="media/image90.png"/><Relationship Id="rId142" Type="http://schemas.openxmlformats.org/officeDocument/2006/relationships/image" Target="media/image91.png"/><Relationship Id="rId143" Type="http://schemas.openxmlformats.org/officeDocument/2006/relationships/image" Target="media/image92.png"/><Relationship Id="rId144" Type="http://schemas.openxmlformats.org/officeDocument/2006/relationships/image" Target="media/image93.png"/><Relationship Id="rId145" Type="http://schemas.openxmlformats.org/officeDocument/2006/relationships/image" Target="media/image94.png"/><Relationship Id="rId146" Type="http://schemas.openxmlformats.org/officeDocument/2006/relationships/image" Target="media/image95.png"/><Relationship Id="rId147" Type="http://schemas.openxmlformats.org/officeDocument/2006/relationships/image" Target="media/image96.png"/><Relationship Id="rId148" Type="http://schemas.openxmlformats.org/officeDocument/2006/relationships/image" Target="media/image97.png"/><Relationship Id="rId149" Type="http://schemas.openxmlformats.org/officeDocument/2006/relationships/image" Target="media/image98.png"/><Relationship Id="rId150" Type="http://schemas.openxmlformats.org/officeDocument/2006/relationships/image" Target="media/image99.png"/><Relationship Id="rId151" Type="http://schemas.openxmlformats.org/officeDocument/2006/relationships/image" Target="media/image100.png"/><Relationship Id="rId152" Type="http://schemas.openxmlformats.org/officeDocument/2006/relationships/image" Target="media/image101.png"/><Relationship Id="rId153" Type="http://schemas.openxmlformats.org/officeDocument/2006/relationships/image" Target="media/image102.png"/><Relationship Id="rId154" Type="http://schemas.openxmlformats.org/officeDocument/2006/relationships/image" Target="media/image103.png"/><Relationship Id="rId155" Type="http://schemas.openxmlformats.org/officeDocument/2006/relationships/image" Target="media/image104.png"/><Relationship Id="rId156" Type="http://schemas.openxmlformats.org/officeDocument/2006/relationships/image" Target="media/image105.png"/><Relationship Id="rId157" Type="http://schemas.openxmlformats.org/officeDocument/2006/relationships/image" Target="media/image106.png"/><Relationship Id="rId158" Type="http://schemas.openxmlformats.org/officeDocument/2006/relationships/image" Target="media/image107.png"/><Relationship Id="rId159" Type="http://schemas.openxmlformats.org/officeDocument/2006/relationships/image" Target="media/image108.png"/><Relationship Id="rId160" Type="http://schemas.openxmlformats.org/officeDocument/2006/relationships/image" Target="media/image109.png"/><Relationship Id="rId161" Type="http://schemas.openxmlformats.org/officeDocument/2006/relationships/image" Target="media/image110.png"/><Relationship Id="rId162" Type="http://schemas.openxmlformats.org/officeDocument/2006/relationships/image" Target="media/image111.png"/><Relationship Id="rId163" Type="http://schemas.openxmlformats.org/officeDocument/2006/relationships/image" Target="media/image112.png"/><Relationship Id="rId164" Type="http://schemas.openxmlformats.org/officeDocument/2006/relationships/image" Target="media/image113.png"/><Relationship Id="rId165" Type="http://schemas.openxmlformats.org/officeDocument/2006/relationships/image" Target="media/image114.png"/><Relationship Id="rId166" Type="http://schemas.openxmlformats.org/officeDocument/2006/relationships/image" Target="media/image115.png"/><Relationship Id="rId167" Type="http://schemas.openxmlformats.org/officeDocument/2006/relationships/image" Target="media/image116.png"/><Relationship Id="rId168" Type="http://schemas.openxmlformats.org/officeDocument/2006/relationships/image" Target="media/image117.png"/><Relationship Id="rId169" Type="http://schemas.openxmlformats.org/officeDocument/2006/relationships/image" Target="media/image118.png"/><Relationship Id="rId170" Type="http://schemas.openxmlformats.org/officeDocument/2006/relationships/image" Target="media/image119.png"/><Relationship Id="rId171" Type="http://schemas.openxmlformats.org/officeDocument/2006/relationships/image" Target="media/image120.png"/><Relationship Id="rId172" Type="http://schemas.openxmlformats.org/officeDocument/2006/relationships/image" Target="media/image121.png"/><Relationship Id="rId173" Type="http://schemas.openxmlformats.org/officeDocument/2006/relationships/image" Target="media/image122.png"/><Relationship Id="rId174" Type="http://schemas.openxmlformats.org/officeDocument/2006/relationships/image" Target="media/image123.png"/><Relationship Id="rId175" Type="http://schemas.openxmlformats.org/officeDocument/2006/relationships/image" Target="media/image124.png"/><Relationship Id="rId176" Type="http://schemas.openxmlformats.org/officeDocument/2006/relationships/image" Target="media/image125.png"/><Relationship Id="rId74" Type="http://schemas.openxmlformats.org/officeDocument/2006/relationships/hyperlink" Target="http://www.sec.gov/Archives/edgar/data/874396/000119312517383700/d467423dex21.htm" TargetMode="External"/><Relationship Id="rId75" Type="http://schemas.openxmlformats.org/officeDocument/2006/relationships/hyperlink" Target="https://www.sec.gov/Archives/edgar/data/874396/000091068006000214/ex3_2-f10k123105.txt" TargetMode="External"/><Relationship Id="rId76" Type="http://schemas.openxmlformats.org/officeDocument/2006/relationships/hyperlink" Target="http://www.sec.gov/Archives/edgar/data/874396/000119312516788456/d255324dex31.htm" TargetMode="External"/><Relationship Id="rId77" Type="http://schemas.openxmlformats.org/officeDocument/2006/relationships/hyperlink" Target="https://www.sec.gov/Archives/edgar/data/874396/000162828020003560/lcutex4110k12312019.htm" TargetMode="External"/><Relationship Id="rId78" Type="http://schemas.openxmlformats.org/officeDocument/2006/relationships/hyperlink" Target="https://www.sec.gov/Archives/edgar/data/874396/000119312519186032/d37933dex101.htm" TargetMode="External"/><Relationship Id="rId79" Type="http://schemas.openxmlformats.org/officeDocument/2006/relationships/hyperlink" Target="http://www.sec.gov/Archives/edgar/data/874396/000119312519267308/d789732dex106.htm" TargetMode="External"/><Relationship Id="rId80" Type="http://schemas.openxmlformats.org/officeDocument/2006/relationships/hyperlink" Target="https://www.sec.gov/Archives/edgar/data/874396/000162828020008225/exhibit102.htm" TargetMode="External"/><Relationship Id="rId81" Type="http://schemas.openxmlformats.org/officeDocument/2006/relationships/hyperlink" Target="http://www.sec.gov/Archives/edgar/data/874396/000091068006000404/ex99_1-f8k051006.txt" TargetMode="External"/><Relationship Id="rId83" Type="http://schemas.openxmlformats.org/officeDocument/2006/relationships/hyperlink" Target="http://www.sec.gov/Archives/edgar/data/874396/000091068006001070/ex10-1_f10q093006.htm" TargetMode="External"/><Relationship Id="rId84" Type="http://schemas.openxmlformats.org/officeDocument/2006/relationships/hyperlink" Target="http://www.sec.gov/Archives/edgar/data/874396/000119312518209648/d841646dex101.htm" TargetMode="External"/><Relationship Id="rId85" Type="http://schemas.openxmlformats.org/officeDocument/2006/relationships/hyperlink" Target="https://www.sec.gov/Archives/edgar/data/874396/000119312515283316/d82287dex101.htm" TargetMode="External"/><Relationship Id="rId86" Type="http://schemas.openxmlformats.org/officeDocument/2006/relationships/hyperlink" Target="https://www.sec.gov/Archives/edgar/data/874396/000119312515283316/d82287dex102.htm" TargetMode="External"/><Relationship Id="rId87" Type="http://schemas.openxmlformats.org/officeDocument/2006/relationships/hyperlink" Target="http://www.sec.gov/Archives/edgar/data/874396/000119312517211662/d403365dex101.htm" TargetMode="External"/><Relationship Id="rId88" Type="http://schemas.openxmlformats.org/officeDocument/2006/relationships/hyperlink" Target="https://www.sec.gov/Archives/edgar/data/874396/000119312520126185/d836663ddef14a.htm" TargetMode="External"/><Relationship Id="rId89" Type="http://schemas.openxmlformats.org/officeDocument/2006/relationships/hyperlink" Target="http://www.sec.gov/Archives/edgar/data/874396/000119312515321240/d95014dex101.htm" TargetMode="External"/><Relationship Id="rId90" Type="http://schemas.openxmlformats.org/officeDocument/2006/relationships/hyperlink" Target="http://www.sec.gov/Archives/edgar/data/874396/000119312517338917/d473962dex103.htm" TargetMode="External"/><Relationship Id="rId91" Type="http://schemas.openxmlformats.org/officeDocument/2006/relationships/hyperlink" Target="https://www.sec.gov/Archives/edgar/data/874396/000162828020008225/exhibit104.htm" TargetMode="External"/><Relationship Id="rId92" Type="http://schemas.openxmlformats.org/officeDocument/2006/relationships/hyperlink" Target="https://www.sec.gov/Archives/edgar/data/874396/000091068009000143/ex10_17-f10k12312008.htm" TargetMode="External"/><Relationship Id="rId93" Type="http://schemas.openxmlformats.org/officeDocument/2006/relationships/hyperlink" Target="http://www.sec.gov/Archives/edgar/data/874396/000091068007000540/ex99-1_f8k061107.htm" TargetMode="External"/><Relationship Id="rId94" Type="http://schemas.openxmlformats.org/officeDocument/2006/relationships/hyperlink" Target="http://www.sec.gov/Archives/edgar/data/874396/000091068009000143/ex10_17-f10k12312008.htm" TargetMode="External"/><Relationship Id="rId95" Type="http://schemas.openxmlformats.org/officeDocument/2006/relationships/hyperlink" Target="http://www.sec.gov/Archives/edgar/data/874396/000091068009000143/ex10_20-f10k12312008.htm" TargetMode="External"/><Relationship Id="rId96" Type="http://schemas.openxmlformats.org/officeDocument/2006/relationships/hyperlink" Target="http://www.sec.gov/Archives/edgar/data/874396/000091068008000573/ex99-1_f10q63008.htm" TargetMode="External"/><Relationship Id="rId97" Type="http://schemas.openxmlformats.org/officeDocument/2006/relationships/hyperlink" Target="http://www.sec.gov/Archives/edgar/data/874396/000091068011000410/ex99_2-f8k11042011.htm" TargetMode="External"/><Relationship Id="rId98" Type="http://schemas.openxmlformats.org/officeDocument/2006/relationships/hyperlink" Target="http://www.sec.gov/Archives/edgar/data/874396/000119312513435524/d608281dex106.htm" TargetMode="External"/><Relationship Id="rId99" Type="http://schemas.openxmlformats.org/officeDocument/2006/relationships/hyperlink" Target="http://www.sec.gov/Archives/edgar/data/874396/000119312513274118/d560820dex993.htm" TargetMode="External"/><Relationship Id="rId102" Type="http://schemas.openxmlformats.org/officeDocument/2006/relationships/hyperlink" Target="http://www.sec.gov/Archives/edgar/data/874396/000119312513274118/d560820dex991.htm" TargetMode="External"/><Relationship Id="rId103" Type="http://schemas.openxmlformats.org/officeDocument/2006/relationships/hyperlink" Target="http://www.sec.gov/Archives/edgar/data/874396/000119312514014321/d659261dex992.htm" TargetMode="External"/><Relationship Id="rId104" Type="http://schemas.openxmlformats.org/officeDocument/2006/relationships/hyperlink" Target="http://www.sec.gov/Archives/edgar/data/874396/000119312515179708/d897959dex101.htm" TargetMode="External"/><Relationship Id="rId105" Type="http://schemas.openxmlformats.org/officeDocument/2006/relationships/hyperlink" Target="http://www.sec.gov/Archives/edgar/data/874396/000119312517338917/d473962dex104.htm" TargetMode="External"/><Relationship Id="rId106" Type="http://schemas.openxmlformats.org/officeDocument/2006/relationships/hyperlink" Target="http://www.sec.gov/Archives/edgar/data/874396/000119312519267308/d789732dex105.htm" TargetMode="External"/><Relationship Id="rId107" Type="http://schemas.openxmlformats.org/officeDocument/2006/relationships/hyperlink" Target="https://www.sec.gov/Archives/edgar/data/874396/000162828021001505/ex102.htm" TargetMode="External"/><Relationship Id="rId108" Type="http://schemas.openxmlformats.org/officeDocument/2006/relationships/hyperlink" Target="http://www.sec.gov/Archives/edgar/data/874396/000119312516440068/d21586dex101.htm" TargetMode="External"/><Relationship Id="rId109" Type="http://schemas.openxmlformats.org/officeDocument/2006/relationships/hyperlink" Target="http://www.sec.gov/Archives/edgar/data/874396/000119312516730047/d228608dex101.htm" TargetMode="External"/><Relationship Id="rId110" Type="http://schemas.openxmlformats.org/officeDocument/2006/relationships/hyperlink" Target="http://www.sec.gov/Archives/edgar/data/874396/000119312517164340/d381143dex101.htm" TargetMode="External"/><Relationship Id="rId111" Type="http://schemas.openxmlformats.org/officeDocument/2006/relationships/hyperlink" Target="http://www.sec.gov/Archives/edgar/data/874396/000119312517383700/d467423dex101.htm" TargetMode="External"/><Relationship Id="rId112" Type="http://schemas.openxmlformats.org/officeDocument/2006/relationships/hyperlink" Target="http://www.sec.gov/Archives/edgar/data/874396/000119312517383700/d467423dex102.htm" TargetMode="External"/><Relationship Id="rId113" Type="http://schemas.openxmlformats.org/officeDocument/2006/relationships/hyperlink" Target="http://www.sec.gov/Archives/edgar/data/874396/000119312519267308/d789732dex102.htm" TargetMode="External"/><Relationship Id="rId114" Type="http://schemas.openxmlformats.org/officeDocument/2006/relationships/hyperlink" Target="https://www.sec.gov/Archives/edgar/data/874396/000162828020008225/exhibit101.htm" TargetMode="External"/><Relationship Id="rId115" Type="http://schemas.openxmlformats.org/officeDocument/2006/relationships/hyperlink" Target="https://www.sec.gov/Archives/edgar/data/874396/000162828021001505/ex101.htm" TargetMode="External"/><Relationship Id="rId116" Type="http://schemas.openxmlformats.org/officeDocument/2006/relationships/hyperlink" Target="http://www.sec.gov/Archives/edgar/data/874396/000119312518072132/d543564dex1001.htm" TargetMode="External"/><Relationship Id="rId117" Type="http://schemas.openxmlformats.org/officeDocument/2006/relationships/hyperlink" Target="http://www.sec.gov/Archives/edgar/data/874396/000119312519267308/d789732dex101.htm" TargetMode="External"/><Relationship Id="rId118" Type="http://schemas.openxmlformats.org/officeDocument/2006/relationships/hyperlink" Target="http://www.sec.gov/Archives/edgar/data/874396/000119312518327948/d619485dex1001.htm" TargetMode="External"/><Relationship Id="rId121" Type="http://schemas.openxmlformats.org/officeDocument/2006/relationships/hyperlink" Target="http://www.sec.gov/Archives/edgar/data/874396/000119312518072132/d543564dex1002.htm" TargetMode="External"/><Relationship Id="rId122" Type="http://schemas.openxmlformats.org/officeDocument/2006/relationships/hyperlink" Target="http://www.sec.gov/Archives/edgar/data/874396/000119312518072132/d543564dex10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2021-03-10T15:45:19Z</dcterms:created>
  <dcterms:modified xsi:type="dcterms:W3CDTF">2021-03-10T15:45:19Z</dcterms:modified>
</cp:coreProperties>
</file>