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572135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537845</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51"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__________________________</w:t>
      </w:r>
    </w:p>
    <w:p>
      <w:pPr>
        <w:spacing w:after="0" w:line="189"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195"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__________________________</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300" w:hanging="274"/>
        <w:spacing w:after="0"/>
        <w:tabs>
          <w:tab w:leader="none" w:pos="30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September 30, 2019</w:t>
      </w:r>
    </w:p>
    <w:p>
      <w:pPr>
        <w:spacing w:after="0" w:line="198"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300" w:hanging="274"/>
        <w:spacing w:after="0"/>
        <w:tabs>
          <w:tab w:leader="none" w:pos="30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227"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16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0-19254</w:t>
      </w:r>
    </w:p>
    <w:p>
      <w:pPr>
        <w:spacing w:after="0" w:line="198" w:lineRule="exact"/>
        <w:rPr>
          <w:sz w:val="24"/>
          <w:szCs w:val="24"/>
          <w:color w:val="auto"/>
        </w:rPr>
      </w:pPr>
    </w:p>
    <w:p>
      <w:pPr>
        <w:ind w:left="4540"/>
        <w:spacing w:after="0"/>
        <w:rPr>
          <w:sz w:val="20"/>
          <w:szCs w:val="20"/>
          <w:color w:val="auto"/>
        </w:rPr>
      </w:pPr>
      <w:r>
        <w:rPr>
          <w:rFonts w:ascii="Arial" w:cs="Arial" w:eastAsia="Arial" w:hAnsi="Arial"/>
          <w:sz w:val="18"/>
          <w:szCs w:val="18"/>
          <w:b w:val="1"/>
          <w:bCs w:val="1"/>
          <w:color w:val="auto"/>
        </w:rPr>
        <w:t>__________________________</w:t>
      </w:r>
    </w:p>
    <w:p>
      <w:pPr>
        <w:spacing w:after="0" w:line="173"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LIFETIME BRANDS, INC.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360" w:type="dxa"/>
            <w:vAlign w:val="bottom"/>
          </w:tcPr>
          <w:p>
            <w:pPr>
              <w:jc w:val="center"/>
              <w:ind w:left="2281"/>
              <w:spacing w:after="0"/>
              <w:rPr>
                <w:sz w:val="20"/>
                <w:szCs w:val="20"/>
                <w:color w:val="auto"/>
              </w:rPr>
            </w:pPr>
            <w:r>
              <w:rPr>
                <w:rFonts w:ascii="Arial" w:cs="Arial" w:eastAsia="Arial" w:hAnsi="Arial"/>
                <w:sz w:val="18"/>
                <w:szCs w:val="18"/>
                <w:b w:val="1"/>
                <w:bCs w:val="1"/>
                <w:color w:val="auto"/>
                <w:w w:val="91"/>
              </w:rPr>
              <w:t>Delaware</w:t>
            </w: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40" w:type="dxa"/>
            <w:vAlign w:val="bottom"/>
          </w:tcPr>
          <w:p>
            <w:pPr>
              <w:jc w:val="center"/>
              <w:ind w:right="2142"/>
              <w:spacing w:after="0"/>
              <w:rPr>
                <w:sz w:val="20"/>
                <w:szCs w:val="20"/>
                <w:color w:val="auto"/>
              </w:rPr>
            </w:pPr>
            <w:r>
              <w:rPr>
                <w:rFonts w:ascii="Arial" w:cs="Arial" w:eastAsia="Arial" w:hAnsi="Arial"/>
                <w:sz w:val="18"/>
                <w:szCs w:val="18"/>
                <w:b w:val="1"/>
                <w:bCs w:val="1"/>
                <w:color w:val="auto"/>
                <w:w w:val="89"/>
              </w:rPr>
              <w:t>11-2682486</w:t>
            </w:r>
          </w:p>
        </w:tc>
        <w:tc>
          <w:tcPr>
            <w:tcW w:w="0" w:type="dxa"/>
            <w:vAlign w:val="bottom"/>
          </w:tcPr>
          <w:p>
            <w:pPr>
              <w:spacing w:after="0"/>
              <w:rPr>
                <w:sz w:val="1"/>
                <w:szCs w:val="1"/>
                <w:color w:val="auto"/>
              </w:rPr>
            </w:pPr>
          </w:p>
        </w:tc>
      </w:tr>
      <w:tr>
        <w:trPr>
          <w:trHeight w:val="180"/>
        </w:trPr>
        <w:tc>
          <w:tcPr>
            <w:tcW w:w="7940" w:type="dxa"/>
            <w:vAlign w:val="bottom"/>
            <w:gridSpan w:val="6"/>
          </w:tcPr>
          <w:p>
            <w:pPr>
              <w:jc w:val="center"/>
              <w:ind w:right="2220"/>
              <w:spacing w:after="0"/>
              <w:rPr>
                <w:sz w:val="20"/>
                <w:szCs w:val="20"/>
                <w:color w:val="auto"/>
              </w:rPr>
            </w:pPr>
            <w:r>
              <w:rPr>
                <w:rFonts w:ascii="Arial" w:cs="Arial" w:eastAsia="Arial" w:hAnsi="Arial"/>
                <w:sz w:val="14"/>
                <w:szCs w:val="14"/>
                <w:b w:val="1"/>
                <w:bCs w:val="1"/>
                <w:color w:val="auto"/>
                <w:w w:val="93"/>
              </w:rPr>
              <w:t>(State or other jurisdiction of</w:t>
            </w:r>
          </w:p>
        </w:tc>
        <w:tc>
          <w:tcPr>
            <w:tcW w:w="3440" w:type="dxa"/>
            <w:vAlign w:val="bottom"/>
          </w:tcPr>
          <w:p>
            <w:pPr>
              <w:jc w:val="center"/>
              <w:ind w:right="2162"/>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7940" w:type="dxa"/>
            <w:vAlign w:val="bottom"/>
            <w:gridSpan w:val="6"/>
          </w:tcPr>
          <w:p>
            <w:pPr>
              <w:jc w:val="center"/>
              <w:ind w:right="2220"/>
              <w:spacing w:after="0"/>
              <w:rPr>
                <w:sz w:val="20"/>
                <w:szCs w:val="20"/>
                <w:color w:val="auto"/>
              </w:rPr>
            </w:pPr>
            <w:r>
              <w:rPr>
                <w:rFonts w:ascii="Arial" w:cs="Arial" w:eastAsia="Arial" w:hAnsi="Arial"/>
                <w:sz w:val="14"/>
                <w:szCs w:val="14"/>
                <w:b w:val="1"/>
                <w:bCs w:val="1"/>
                <w:color w:val="auto"/>
                <w:w w:val="94"/>
              </w:rPr>
              <w:t>incorporation or organization)</w:t>
            </w:r>
          </w:p>
        </w:tc>
        <w:tc>
          <w:tcPr>
            <w:tcW w:w="3440" w:type="dxa"/>
            <w:vAlign w:val="bottom"/>
          </w:tcPr>
          <w:p>
            <w:pPr>
              <w:jc w:val="center"/>
              <w:ind w:right="2162"/>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394"/>
        </w:trPr>
        <w:tc>
          <w:tcPr>
            <w:tcW w:w="3360" w:type="dxa"/>
            <w:vAlign w:val="bottom"/>
          </w:tcPr>
          <w:p>
            <w:pPr>
              <w:spacing w:after="0"/>
              <w:rPr>
                <w:sz w:val="24"/>
                <w:szCs w:val="24"/>
                <w:color w:val="auto"/>
              </w:rPr>
            </w:pPr>
          </w:p>
        </w:tc>
        <w:tc>
          <w:tcPr>
            <w:tcW w:w="45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90"/>
              </w:rPr>
              <w:t>1000 Stewart Avenue, Garden City, New York, 11530</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2"/>
              </w:rPr>
              <w:t>(Address of principal executive offices) (Zip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7"/>
        </w:trPr>
        <w:tc>
          <w:tcPr>
            <w:tcW w:w="3360" w:type="dxa"/>
            <w:vAlign w:val="bottom"/>
          </w:tcPr>
          <w:p>
            <w:pPr>
              <w:spacing w:after="0"/>
              <w:rPr>
                <w:sz w:val="24"/>
                <w:szCs w:val="24"/>
                <w:color w:val="auto"/>
              </w:rPr>
            </w:pPr>
          </w:p>
        </w:tc>
        <w:tc>
          <w:tcPr>
            <w:tcW w:w="420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90"/>
              </w:rPr>
              <w:t>(516) 683-6000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3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3360" w:type="dxa"/>
            <w:vAlign w:val="bottom"/>
          </w:tcPr>
          <w:p>
            <w:pPr>
              <w:spacing w:after="0"/>
              <w:rPr>
                <w:sz w:val="24"/>
                <w:szCs w:val="24"/>
                <w:color w:val="auto"/>
              </w:rPr>
            </w:pPr>
          </w:p>
        </w:tc>
        <w:tc>
          <w:tcPr>
            <w:tcW w:w="4200" w:type="dxa"/>
            <w:vAlign w:val="bottom"/>
            <w:gridSpan w:val="3"/>
          </w:tcPr>
          <w:p>
            <w:pPr>
              <w:jc w:val="center"/>
              <w:ind w:left="410"/>
              <w:spacing w:after="0"/>
              <w:rPr>
                <w:sz w:val="20"/>
                <w:szCs w:val="20"/>
                <w:color w:val="auto"/>
              </w:rPr>
            </w:pPr>
            <w:r>
              <w:rPr>
                <w:rFonts w:ascii="Arial" w:cs="Arial" w:eastAsia="Arial" w:hAnsi="Arial"/>
                <w:sz w:val="18"/>
                <w:szCs w:val="18"/>
                <w:b w:val="1"/>
                <w:bCs w:val="1"/>
                <w:color w:val="auto"/>
                <w:w w:val="89"/>
              </w:rPr>
              <w:t>__________________________</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3360" w:type="dxa"/>
            <w:vAlign w:val="bottom"/>
          </w:tcPr>
          <w:p>
            <w:pPr>
              <w:spacing w:after="0"/>
              <w:rPr>
                <w:sz w:val="24"/>
                <w:szCs w:val="24"/>
                <w:color w:val="auto"/>
              </w:rPr>
            </w:pPr>
          </w:p>
        </w:tc>
        <w:tc>
          <w:tcPr>
            <w:tcW w:w="45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3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3360" w:type="dxa"/>
            <w:vAlign w:val="bottom"/>
            <w:vMerge w:val="restart"/>
          </w:tcPr>
          <w:p>
            <w:pPr>
              <w:jc w:val="center"/>
              <w:ind w:left="321"/>
              <w:spacing w:after="0"/>
              <w:rPr>
                <w:sz w:val="20"/>
                <w:szCs w:val="20"/>
                <w:color w:val="auto"/>
              </w:rPr>
            </w:pPr>
            <w:r>
              <w:rPr>
                <w:rFonts w:ascii="Arial" w:cs="Arial" w:eastAsia="Arial" w:hAnsi="Arial"/>
                <w:sz w:val="14"/>
                <w:szCs w:val="14"/>
                <w:b w:val="1"/>
                <w:bCs w:val="1"/>
                <w:color w:val="auto"/>
                <w:w w:val="89"/>
              </w:rPr>
              <w:t>Title of each class</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10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3"/>
              </w:rPr>
              <w:t>Trading</w:t>
            </w:r>
          </w:p>
        </w:tc>
        <w:tc>
          <w:tcPr>
            <w:tcW w:w="3440" w:type="dxa"/>
            <w:vAlign w:val="bottom"/>
          </w:tcPr>
          <w:p>
            <w:pPr>
              <w:jc w:val="center"/>
              <w:ind w:right="202"/>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92"/>
        </w:trPr>
        <w:tc>
          <w:tcPr>
            <w:tcW w:w="336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Symbol(s)</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tcPr>
          <w:p>
            <w:pPr>
              <w:jc w:val="center"/>
              <w:ind w:right="202"/>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43"/>
        </w:trPr>
        <w:tc>
          <w:tcPr>
            <w:tcW w:w="3360" w:type="dxa"/>
            <w:vAlign w:val="bottom"/>
          </w:tcPr>
          <w:p>
            <w:pPr>
              <w:jc w:val="center"/>
              <w:ind w:left="321"/>
              <w:spacing w:after="0"/>
              <w:rPr>
                <w:sz w:val="20"/>
                <w:szCs w:val="20"/>
                <w:color w:val="auto"/>
              </w:rPr>
            </w:pPr>
            <w:r>
              <w:rPr>
                <w:rFonts w:ascii="Arial" w:cs="Arial" w:eastAsia="Arial" w:hAnsi="Arial"/>
                <w:sz w:val="18"/>
                <w:szCs w:val="18"/>
                <w:b w:val="1"/>
                <w:bCs w:val="1"/>
                <w:color w:val="auto"/>
                <w:w w:val="90"/>
              </w:rPr>
              <w:t>Common Stock, $.01 par value</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1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rPr>
              <w:t>LCUT</w:t>
            </w:r>
          </w:p>
        </w:tc>
        <w:tc>
          <w:tcPr>
            <w:tcW w:w="3440" w:type="dxa"/>
            <w:vAlign w:val="bottom"/>
          </w:tcPr>
          <w:p>
            <w:pPr>
              <w:jc w:val="center"/>
              <w:ind w:right="202"/>
              <w:spacing w:after="0"/>
              <w:rPr>
                <w:sz w:val="20"/>
                <w:szCs w:val="20"/>
                <w:color w:val="auto"/>
              </w:rPr>
            </w:pPr>
            <w:r>
              <w:rPr>
                <w:rFonts w:ascii="Arial" w:cs="Arial" w:eastAsia="Arial" w:hAnsi="Arial"/>
                <w:sz w:val="18"/>
                <w:szCs w:val="18"/>
                <w:b w:val="1"/>
                <w:bCs w:val="1"/>
                <w:color w:val="auto"/>
                <w:w w:val="94"/>
              </w:rPr>
              <w:t>The NASDAQ Global Select Market</w:t>
            </w:r>
          </w:p>
        </w:tc>
        <w:tc>
          <w:tcPr>
            <w:tcW w:w="0" w:type="dxa"/>
            <w:vAlign w:val="bottom"/>
          </w:tcPr>
          <w:p>
            <w:pPr>
              <w:spacing w:after="0"/>
              <w:rPr>
                <w:sz w:val="1"/>
                <w:szCs w:val="1"/>
                <w:color w:val="auto"/>
              </w:rPr>
            </w:pPr>
          </w:p>
        </w:tc>
      </w:tr>
    </w:tbl>
    <w:p>
      <w:pPr>
        <w:spacing w:after="0" w:line="188"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43"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7" w:lineRule="exact"/>
        <w:rPr>
          <w:sz w:val="24"/>
          <w:szCs w:val="24"/>
          <w:color w:val="auto"/>
        </w:rPr>
      </w:pPr>
    </w:p>
    <w:p>
      <w:pPr>
        <w:spacing w:after="0" w:line="25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346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5360" w:type="dxa"/>
            <w:vAlign w:val="bottom"/>
          </w:tcPr>
          <w:p>
            <w:pPr>
              <w:ind w:left="30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9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360" w:type="dxa"/>
            <w:vAlign w:val="bottom"/>
          </w:tcPr>
          <w:p>
            <w:pPr>
              <w:ind w:left="302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8" w:lineRule="exact"/>
        <w:rPr>
          <w:sz w:val="24"/>
          <w:szCs w:val="24"/>
          <w:color w:val="auto"/>
        </w:rPr>
      </w:pPr>
    </w:p>
    <w:p>
      <w:pPr>
        <w:jc w:val="both"/>
        <w:ind w:right="1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9" w:lineRule="exact"/>
        <w:rPr>
          <w:sz w:val="24"/>
          <w:szCs w:val="24"/>
          <w:color w:val="auto"/>
        </w:rPr>
      </w:pPr>
    </w:p>
    <w:p>
      <w:pPr>
        <w:spacing w:after="0" w:line="207" w:lineRule="exact"/>
        <w:tabs>
          <w:tab w:leader="none" w:pos="89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sz w:val="20"/>
          <w:szCs w:val="20"/>
          <w:color w:val="auto"/>
        </w:rPr>
        <w:tab/>
      </w: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of the registrant’s common stock outstanding as of October 31, 2019 was 21,256,793.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29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ectPr>
          <w:pgSz w:w="11900" w:h="16838" w:orient="portrait"/>
          <w:cols w:equalWidth="0" w:num="1">
            <w:col w:w="11380"/>
          </w:cols>
          <w:pgMar w:left="240" w:top="233" w:right="279" w:bottom="127"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633730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10-Q</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FOR THE QUARTER ENDED SEPTEMBER 30, 2019</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80"/>
          </w:cols>
          <w:pgMar w:left="240" w:top="125" w:right="279" w:bottom="1440" w:gutter="0" w:footer="0" w:header="0"/>
        </w:sectPr>
      </w:pPr>
    </w:p>
    <w:p>
      <w:pPr>
        <w:spacing w:after="0" w:line="24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3.</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4.</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Part II.</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1A.</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Item 6.</w:t>
      </w:r>
    </w:p>
    <w:p>
      <w:pPr>
        <w:spacing w:after="0" w:line="104" w:lineRule="exact"/>
        <w:rPr>
          <w:sz w:val="20"/>
          <w:szCs w:val="20"/>
          <w:color w:val="auto"/>
        </w:rPr>
      </w:pPr>
    </w:p>
    <w:p>
      <w:pPr>
        <w:ind w:left="20"/>
        <w:spacing w:after="0"/>
        <w:rPr>
          <w:rFonts w:ascii="Arial" w:cs="Arial" w:eastAsia="Arial" w:hAnsi="Arial"/>
          <w:sz w:val="15"/>
          <w:szCs w:val="15"/>
          <w:u w:val="single" w:color="auto"/>
          <w:color w:val="0000FF"/>
        </w:rPr>
      </w:pPr>
      <w:hyperlink w:anchor="page45">
        <w:r>
          <w:rPr>
            <w:rFonts w:ascii="Arial" w:cs="Arial" w:eastAsia="Arial" w:hAnsi="Arial"/>
            <w:sz w:val="15"/>
            <w:szCs w:val="15"/>
            <w:u w:val="single" w:color="auto"/>
            <w:color w:val="0000FF"/>
          </w:rPr>
          <w:t>Signatures</w:t>
        </w:r>
      </w:hyperlink>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242"/>
        </w:trPr>
        <w:tc>
          <w:tcPr>
            <w:tcW w:w="9140" w:type="dxa"/>
            <w:vAlign w:val="bottom"/>
            <w:gridSpan w:val="15"/>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1700" w:type="dxa"/>
            <w:vAlign w:val="bottom"/>
            <w:tcBorders>
              <w:top w:val="single" w:sz="8" w:color="0000FF"/>
            </w:tcBorders>
            <w:gridSpan w:val="5"/>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Financial Statements</w:t>
              </w:r>
            </w:hyperlink>
          </w:p>
        </w:tc>
        <w:tc>
          <w:tcPr>
            <w:tcW w:w="7440" w:type="dxa"/>
            <w:vAlign w:val="bottom"/>
            <w:gridSpan w:val="10"/>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200" w:type="dxa"/>
            <w:vAlign w:val="bottom"/>
            <w:tcBorders>
              <w:bottom w:val="single" w:sz="8" w:color="0000FF"/>
            </w:tcBorders>
            <w:gridSpan w:val="11"/>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 xml:space="preserve">Condensed Consolidated Balance Sheets – </w:t>
              </w:r>
            </w:hyperlink>
            <w:r>
              <w:rPr>
                <w:rFonts w:ascii="Arial" w:cs="Arial" w:eastAsia="Arial" w:hAnsi="Arial"/>
                <w:sz w:val="18"/>
                <w:szCs w:val="18"/>
                <w:color w:val="0000FF"/>
                <w:w w:val="88"/>
              </w:rPr>
              <w:t xml:space="preserve">September 30, 2019 </w:t>
            </w:r>
            <w:hyperlink w:anchor="page4">
              <w:r>
                <w:rPr>
                  <w:rFonts w:ascii="Arial" w:cs="Arial" w:eastAsia="Arial" w:hAnsi="Arial"/>
                  <w:sz w:val="18"/>
                  <w:szCs w:val="18"/>
                  <w:color w:val="0000FF"/>
                  <w:w w:val="88"/>
                </w:rPr>
                <w:t xml:space="preserve">(unaudited) and </w:t>
              </w:r>
            </w:hyperlink>
            <w:r>
              <w:rPr>
                <w:rFonts w:ascii="Arial" w:cs="Arial" w:eastAsia="Arial" w:hAnsi="Arial"/>
                <w:sz w:val="18"/>
                <w:szCs w:val="18"/>
                <w:color w:val="0000FF"/>
                <w:w w:val="88"/>
              </w:rPr>
              <w:t>December 31, 2018</w:t>
            </w:r>
          </w:p>
        </w:tc>
        <w:tc>
          <w:tcPr>
            <w:tcW w:w="1940" w:type="dxa"/>
            <w:vAlign w:val="bottom"/>
            <w:gridSpan w:val="4"/>
          </w:tcPr>
          <w:p>
            <w:pPr>
              <w:spacing w:after="0"/>
              <w:rPr>
                <w:sz w:val="22"/>
                <w:szCs w:val="22"/>
                <w:color w:val="auto"/>
              </w:rPr>
            </w:pPr>
          </w:p>
        </w:tc>
        <w:tc>
          <w:tcPr>
            <w:tcW w:w="1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2</w:t>
              </w:r>
            </w:hyperlink>
          </w:p>
        </w:tc>
        <w:tc>
          <w:tcPr>
            <w:tcW w:w="0" w:type="dxa"/>
            <w:vAlign w:val="bottom"/>
          </w:tcPr>
          <w:p>
            <w:pPr>
              <w:spacing w:after="0"/>
              <w:rPr>
                <w:sz w:val="1"/>
                <w:szCs w:val="1"/>
                <w:color w:val="auto"/>
              </w:rPr>
            </w:pPr>
          </w:p>
        </w:tc>
      </w:tr>
      <w:tr>
        <w:trPr>
          <w:trHeight w:val="264"/>
        </w:trPr>
        <w:tc>
          <w:tcPr>
            <w:tcW w:w="914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Statements of Operations (unaudited) – </w:t>
              </w:r>
            </w:hyperlink>
            <w:r>
              <w:rPr>
                <w:rFonts w:ascii="Arial" w:cs="Arial" w:eastAsia="Arial" w:hAnsi="Arial"/>
                <w:sz w:val="18"/>
                <w:szCs w:val="18"/>
                <w:color w:val="0000FF"/>
                <w:w w:val="89"/>
              </w:rPr>
              <w:t xml:space="preserve">Three and Nine Months Ended September 30, 2019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2018</w:t>
            </w:r>
          </w:p>
        </w:tc>
        <w:tc>
          <w:tcPr>
            <w:tcW w:w="12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c>
          <w:tcPr>
            <w:tcW w:w="0" w:type="dxa"/>
            <w:vAlign w:val="bottom"/>
          </w:tcPr>
          <w:p>
            <w:pPr>
              <w:spacing w:after="0"/>
              <w:rPr>
                <w:sz w:val="1"/>
                <w:szCs w:val="1"/>
                <w:color w:val="auto"/>
              </w:rPr>
            </w:pPr>
          </w:p>
        </w:tc>
      </w:tr>
      <w:tr>
        <w:trPr>
          <w:trHeight w:val="264"/>
        </w:trPr>
        <w:tc>
          <w:tcPr>
            <w:tcW w:w="9140" w:type="dxa"/>
            <w:vAlign w:val="bottom"/>
            <w:gridSpan w:val="15"/>
          </w:tcPr>
          <w:p>
            <w:pPr>
              <w:spacing w:after="0"/>
              <w:rPr>
                <w:rFonts w:ascii="Arial" w:cs="Arial" w:eastAsia="Arial" w:hAnsi="Arial"/>
                <w:sz w:val="18"/>
                <w:szCs w:val="18"/>
                <w:color w:val="0000FF"/>
                <w:w w:val="98"/>
              </w:rPr>
            </w:pPr>
            <w:hyperlink w:anchor="page5">
              <w:r>
                <w:rPr>
                  <w:rFonts w:ascii="Arial" w:cs="Arial" w:eastAsia="Arial" w:hAnsi="Arial"/>
                  <w:sz w:val="18"/>
                  <w:szCs w:val="18"/>
                  <w:color w:val="0000FF"/>
                  <w:w w:val="98"/>
                </w:rPr>
                <w:t xml:space="preserve">Condensed Consolidated Statements of Comprehensive </w:t>
              </w:r>
            </w:hyperlink>
            <w:r>
              <w:rPr>
                <w:rFonts w:ascii="Arial" w:cs="Arial" w:eastAsia="Arial" w:hAnsi="Arial"/>
                <w:sz w:val="18"/>
                <w:szCs w:val="18"/>
                <w:color w:val="0000FF"/>
                <w:w w:val="98"/>
              </w:rPr>
              <w:t xml:space="preserve">Income (Loss) </w:t>
            </w:r>
            <w:hyperlink w:anchor="page5">
              <w:r>
                <w:rPr>
                  <w:rFonts w:ascii="Arial" w:cs="Arial" w:eastAsia="Arial" w:hAnsi="Arial"/>
                  <w:sz w:val="18"/>
                  <w:szCs w:val="18"/>
                  <w:color w:val="0000FF"/>
                  <w:w w:val="98"/>
                </w:rPr>
                <w:t xml:space="preserve">(unaudited) – </w:t>
              </w:r>
            </w:hyperlink>
            <w:r>
              <w:rPr>
                <w:rFonts w:ascii="Arial" w:cs="Arial" w:eastAsia="Arial" w:hAnsi="Arial"/>
                <w:sz w:val="18"/>
                <w:szCs w:val="18"/>
                <w:color w:val="0000FF"/>
                <w:w w:val="98"/>
              </w:rPr>
              <w:t>Three and Nine Months Ended</w:t>
            </w:r>
          </w:p>
        </w:tc>
        <w:tc>
          <w:tcPr>
            <w:tcW w:w="1240" w:type="dxa"/>
            <w:vAlign w:val="bottom"/>
            <w:vMerge w:val="restart"/>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4</w:t>
              </w:r>
            </w:hyperlink>
          </w:p>
        </w:tc>
        <w:tc>
          <w:tcPr>
            <w:tcW w:w="0" w:type="dxa"/>
            <w:vAlign w:val="bottom"/>
          </w:tcPr>
          <w:p>
            <w:pPr>
              <w:spacing w:after="0"/>
              <w:rPr>
                <w:sz w:val="1"/>
                <w:szCs w:val="1"/>
                <w:color w:val="auto"/>
              </w:rPr>
            </w:pPr>
          </w:p>
        </w:tc>
      </w:tr>
      <w:tr>
        <w:trPr>
          <w:trHeight w:val="156"/>
        </w:trPr>
        <w:tc>
          <w:tcPr>
            <w:tcW w:w="2160" w:type="dxa"/>
            <w:vAlign w:val="bottom"/>
            <w:tcBorders>
              <w:top w:val="single" w:sz="8" w:color="0000FF"/>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87"/>
              </w:rPr>
              <w:t>September 30, 2019 and 2018</w:t>
            </w:r>
          </w:p>
        </w:tc>
        <w:tc>
          <w:tcPr>
            <w:tcW w:w="6200" w:type="dxa"/>
            <w:vAlign w:val="bottom"/>
            <w:tcBorders>
              <w:top w:val="single" w:sz="8" w:color="0000FF"/>
            </w:tcBorders>
            <w:gridSpan w:val="5"/>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9140" w:type="dxa"/>
            <w:vAlign w:val="bottom"/>
            <w:gridSpan w:val="15"/>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 xml:space="preserve">Condensed Consolidated Statements of Stockholders’ Equity (unaudited) </w:t>
              </w:r>
            </w:hyperlink>
            <w:r>
              <w:rPr>
                <w:rFonts w:ascii="Arial" w:cs="Arial" w:eastAsia="Arial" w:hAnsi="Arial"/>
                <w:sz w:val="18"/>
                <w:szCs w:val="18"/>
                <w:color w:val="0000FF"/>
                <w:w w:val="90"/>
              </w:rPr>
              <w:t>–Three and Nine Months Ended September 30, 2019</w:t>
            </w:r>
          </w:p>
        </w:tc>
        <w:tc>
          <w:tcPr>
            <w:tcW w:w="1240" w:type="dxa"/>
            <w:vAlign w:val="bottom"/>
            <w:vMerge w:val="restart"/>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5</w:t>
              </w:r>
            </w:hyperlink>
          </w:p>
        </w:tc>
        <w:tc>
          <w:tcPr>
            <w:tcW w:w="0" w:type="dxa"/>
            <w:vAlign w:val="bottom"/>
          </w:tcPr>
          <w:p>
            <w:pPr>
              <w:spacing w:after="0"/>
              <w:rPr>
                <w:sz w:val="1"/>
                <w:szCs w:val="1"/>
                <w:color w:val="auto"/>
              </w:rPr>
            </w:pPr>
          </w:p>
        </w:tc>
      </w:tr>
      <w:tr>
        <w:trPr>
          <w:trHeight w:val="156"/>
        </w:trPr>
        <w:tc>
          <w:tcPr>
            <w:tcW w:w="9120" w:type="dxa"/>
            <w:vAlign w:val="bottom"/>
            <w:tcBorders>
              <w:top w:val="single" w:sz="8" w:color="0000FF"/>
            </w:tcBorders>
            <w:gridSpan w:val="14"/>
          </w:tcPr>
          <w:p>
            <w:pPr>
              <w:spacing w:after="0" w:line="156" w:lineRule="exact"/>
              <w:rPr>
                <w:sz w:val="20"/>
                <w:szCs w:val="20"/>
                <w:color w:val="auto"/>
              </w:rPr>
            </w:pPr>
            <w:r>
              <w:rPr>
                <w:rFonts w:ascii="Arial" w:cs="Arial" w:eastAsia="Arial" w:hAnsi="Arial"/>
                <w:sz w:val="18"/>
                <w:szCs w:val="18"/>
                <w:color w:val="0000FF"/>
              </w:rPr>
              <w:t>and 2018</w:t>
            </w:r>
          </w:p>
        </w:tc>
        <w:tc>
          <w:tcPr>
            <w:tcW w:w="2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0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2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 xml:space="preserve">Condensed Consolidated Statements of Cash Flows (unaudited) – </w:t>
              </w:r>
            </w:hyperlink>
            <w:r>
              <w:rPr>
                <w:rFonts w:ascii="Arial" w:cs="Arial" w:eastAsia="Arial" w:hAnsi="Arial"/>
                <w:sz w:val="18"/>
                <w:szCs w:val="18"/>
                <w:color w:val="0000FF"/>
                <w:w w:val="89"/>
              </w:rPr>
              <w:t>Nine Months Ended September 30, 2019 and 2018</w:t>
            </w:r>
          </w:p>
        </w:tc>
        <w:tc>
          <w:tcPr>
            <w:tcW w:w="720" w:type="dxa"/>
            <w:vAlign w:val="bottom"/>
            <w:gridSpan w:val="2"/>
          </w:tcPr>
          <w:p>
            <w:pPr>
              <w:spacing w:after="0"/>
              <w:rPr>
                <w:sz w:val="22"/>
                <w:szCs w:val="22"/>
                <w:color w:val="auto"/>
              </w:rPr>
            </w:pPr>
          </w:p>
        </w:tc>
        <w:tc>
          <w:tcPr>
            <w:tcW w:w="124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7</w:t>
              </w:r>
            </w:hyperlink>
          </w:p>
        </w:tc>
        <w:tc>
          <w:tcPr>
            <w:tcW w:w="0" w:type="dxa"/>
            <w:vAlign w:val="bottom"/>
          </w:tcPr>
          <w:p>
            <w:pPr>
              <w:spacing w:after="0"/>
              <w:rPr>
                <w:sz w:val="1"/>
                <w:szCs w:val="1"/>
                <w:color w:val="auto"/>
              </w:rPr>
            </w:pPr>
          </w:p>
        </w:tc>
      </w:tr>
      <w:tr>
        <w:trPr>
          <w:trHeight w:val="264"/>
        </w:trPr>
        <w:tc>
          <w:tcPr>
            <w:tcW w:w="9140" w:type="dxa"/>
            <w:vAlign w:val="bottom"/>
            <w:gridSpan w:val="1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1240" w:type="dxa"/>
            <w:vAlign w:val="bottom"/>
          </w:tcPr>
          <w:p>
            <w:pPr>
              <w:jc w:val="right"/>
              <w:spacing w:after="0"/>
              <w:rPr>
                <w:rFonts w:ascii="Arial" w:cs="Arial" w:eastAsia="Arial" w:hAnsi="Arial"/>
                <w:sz w:val="18"/>
                <w:szCs w:val="18"/>
                <w:color w:val="auto"/>
              </w:rPr>
            </w:pPr>
            <w:hyperlink w:anchor="page9">
              <w:r>
                <w:rPr>
                  <w:rFonts w:ascii="Arial" w:cs="Arial" w:eastAsia="Arial" w:hAnsi="Arial"/>
                  <w:sz w:val="18"/>
                  <w:szCs w:val="18"/>
                  <w:color w:val="auto"/>
                </w:rPr>
                <w:t>8</w:t>
              </w:r>
            </w:hyperlink>
          </w:p>
        </w:tc>
        <w:tc>
          <w:tcPr>
            <w:tcW w:w="0" w:type="dxa"/>
            <w:vAlign w:val="bottom"/>
          </w:tcPr>
          <w:p>
            <w:pPr>
              <w:spacing w:after="0"/>
              <w:rPr>
                <w:sz w:val="1"/>
                <w:szCs w:val="1"/>
                <w:color w:val="auto"/>
              </w:rPr>
            </w:pPr>
          </w:p>
        </w:tc>
      </w:tr>
      <w:tr>
        <w:trPr>
          <w:trHeight w:val="20"/>
        </w:trPr>
        <w:tc>
          <w:tcPr>
            <w:tcW w:w="6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80" w:type="dxa"/>
            <w:vAlign w:val="bottom"/>
            <w:gridSpan w:val="5"/>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460" w:type="dxa"/>
            <w:vAlign w:val="bottom"/>
            <w:tcBorders>
              <w:bottom w:val="single" w:sz="8" w:color="0000FF"/>
            </w:tcBorders>
            <w:gridSpan w:val="10"/>
          </w:tcPr>
          <w:p>
            <w:pPr>
              <w:spacing w:after="0"/>
              <w:rPr>
                <w:rFonts w:ascii="Arial" w:cs="Arial" w:eastAsia="Arial" w:hAnsi="Arial"/>
                <w:sz w:val="18"/>
                <w:szCs w:val="18"/>
                <w:color w:val="0000FF"/>
                <w:w w:val="90"/>
              </w:rPr>
            </w:pPr>
            <w:hyperlink w:anchor="page29">
              <w:r>
                <w:rPr>
                  <w:rFonts w:ascii="Arial" w:cs="Arial" w:eastAsia="Arial" w:hAnsi="Arial"/>
                  <w:sz w:val="18"/>
                  <w:szCs w:val="18"/>
                  <w:color w:val="0000FF"/>
                  <w:w w:val="90"/>
                </w:rPr>
                <w:t>Management’s Discussion and Analysis of Financial Condition and Results of Operations</w:t>
              </w:r>
            </w:hyperlink>
          </w:p>
        </w:tc>
        <w:tc>
          <w:tcPr>
            <w:tcW w:w="2680" w:type="dxa"/>
            <w:vAlign w:val="bottom"/>
            <w:gridSpan w:val="5"/>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29">
              <w:r>
                <w:rPr>
                  <w:rFonts w:ascii="Arial" w:cs="Arial" w:eastAsia="Arial" w:hAnsi="Arial"/>
                  <w:sz w:val="18"/>
                  <w:szCs w:val="18"/>
                  <w:color w:val="auto"/>
                </w:rPr>
                <w:t>28</w:t>
              </w:r>
            </w:hyperlink>
          </w:p>
        </w:tc>
        <w:tc>
          <w:tcPr>
            <w:tcW w:w="0" w:type="dxa"/>
            <w:vAlign w:val="bottom"/>
          </w:tcPr>
          <w:p>
            <w:pPr>
              <w:spacing w:after="0"/>
              <w:rPr>
                <w:sz w:val="1"/>
                <w:szCs w:val="1"/>
                <w:color w:val="auto"/>
              </w:rPr>
            </w:pPr>
          </w:p>
        </w:tc>
      </w:tr>
      <w:tr>
        <w:trPr>
          <w:trHeight w:val="304"/>
        </w:trPr>
        <w:tc>
          <w:tcPr>
            <w:tcW w:w="4360" w:type="dxa"/>
            <w:vAlign w:val="bottom"/>
            <w:tcBorders>
              <w:bottom w:val="single" w:sz="8" w:color="0000FF"/>
            </w:tcBorders>
            <w:gridSpan w:val="8"/>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Quantitative and Qualitative Disclosures About Market Risk</w:t>
              </w:r>
            </w:hyperlink>
          </w:p>
        </w:tc>
        <w:tc>
          <w:tcPr>
            <w:tcW w:w="4780" w:type="dxa"/>
            <w:vAlign w:val="bottom"/>
            <w:gridSpan w:val="7"/>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04"/>
        </w:trPr>
        <w:tc>
          <w:tcPr>
            <w:tcW w:w="9140" w:type="dxa"/>
            <w:vAlign w:val="bottom"/>
            <w:gridSpan w:val="15"/>
          </w:tcPr>
          <w:p>
            <w:pPr>
              <w:spacing w:after="0"/>
              <w:rPr>
                <w:rFonts w:ascii="Arial" w:cs="Arial" w:eastAsia="Arial" w:hAnsi="Arial"/>
                <w:sz w:val="18"/>
                <w:szCs w:val="18"/>
                <w:color w:val="0000FF"/>
              </w:rPr>
            </w:pPr>
            <w:hyperlink w:anchor="page43">
              <w:r>
                <w:rPr>
                  <w:rFonts w:ascii="Arial" w:cs="Arial" w:eastAsia="Arial" w:hAnsi="Arial"/>
                  <w:sz w:val="18"/>
                  <w:szCs w:val="18"/>
                  <w:color w:val="0000FF"/>
                </w:rPr>
                <w:t>Controls and Procedures</w:t>
              </w:r>
            </w:hyperlink>
          </w:p>
        </w:tc>
        <w:tc>
          <w:tcPr>
            <w:tcW w:w="12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04"/>
        </w:trPr>
        <w:tc>
          <w:tcPr>
            <w:tcW w:w="1760" w:type="dxa"/>
            <w:vAlign w:val="bottom"/>
            <w:tcBorders>
              <w:top w:val="single" w:sz="8" w:color="0000FF"/>
            </w:tcBorders>
            <w:gridSpan w:val="6"/>
          </w:tcPr>
          <w:p>
            <w:pPr>
              <w:spacing w:after="0"/>
              <w:rPr>
                <w:rFonts w:ascii="Arial" w:cs="Arial" w:eastAsia="Arial" w:hAnsi="Arial"/>
                <w:sz w:val="18"/>
                <w:szCs w:val="18"/>
                <w:b w:val="1"/>
                <w:bCs w:val="1"/>
                <w:color w:val="0000FF"/>
              </w:rPr>
            </w:pPr>
            <w:hyperlink w:anchor="page43">
              <w:r>
                <w:rPr>
                  <w:rFonts w:ascii="Arial" w:cs="Arial" w:eastAsia="Arial" w:hAnsi="Arial"/>
                  <w:sz w:val="18"/>
                  <w:szCs w:val="18"/>
                  <w:b w:val="1"/>
                  <w:bCs w:val="1"/>
                  <w:color w:val="0000FF"/>
                </w:rPr>
                <w:t>Other Information</w:t>
              </w:r>
            </w:hyperlink>
          </w:p>
        </w:tc>
        <w:tc>
          <w:tcPr>
            <w:tcW w:w="7380" w:type="dxa"/>
            <w:vAlign w:val="bottom"/>
            <w:gridSpan w:val="9"/>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4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88"/>
              </w:rPr>
            </w:pPr>
            <w:hyperlink w:anchor="page43">
              <w:r>
                <w:rPr>
                  <w:rFonts w:ascii="Arial" w:cs="Arial" w:eastAsia="Arial" w:hAnsi="Arial"/>
                  <w:sz w:val="18"/>
                  <w:szCs w:val="18"/>
                  <w:color w:val="0000FF"/>
                  <w:w w:val="88"/>
                </w:rPr>
                <w:t>Legal Proceedings</w:t>
              </w:r>
            </w:hyperlink>
          </w:p>
        </w:tc>
        <w:tc>
          <w:tcPr>
            <w:tcW w:w="160" w:type="dxa"/>
            <w:vAlign w:val="bottom"/>
            <w:tcBorders>
              <w:top w:val="single" w:sz="8" w:color="0000FF"/>
            </w:tcBorders>
          </w:tcPr>
          <w:p>
            <w:pPr>
              <w:spacing w:after="0"/>
              <w:rPr>
                <w:sz w:val="24"/>
                <w:szCs w:val="24"/>
                <w:color w:val="auto"/>
              </w:rPr>
            </w:pPr>
          </w:p>
        </w:tc>
        <w:tc>
          <w:tcPr>
            <w:tcW w:w="7640" w:type="dxa"/>
            <w:vAlign w:val="bottom"/>
            <w:gridSpan w:val="11"/>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3">
              <w:r>
                <w:rPr>
                  <w:rFonts w:ascii="Arial" w:cs="Arial" w:eastAsia="Arial" w:hAnsi="Arial"/>
                  <w:sz w:val="18"/>
                  <w:szCs w:val="18"/>
                  <w:color w:val="auto"/>
                </w:rPr>
                <w:t>41</w:t>
              </w:r>
            </w:hyperlink>
          </w:p>
        </w:tc>
        <w:tc>
          <w:tcPr>
            <w:tcW w:w="0" w:type="dxa"/>
            <w:vAlign w:val="bottom"/>
          </w:tcPr>
          <w:p>
            <w:pPr>
              <w:spacing w:after="0"/>
              <w:rPr>
                <w:sz w:val="1"/>
                <w:szCs w:val="1"/>
                <w:color w:val="auto"/>
              </w:rPr>
            </w:pPr>
          </w:p>
        </w:tc>
      </w:tr>
      <w:tr>
        <w:trPr>
          <w:trHeight w:val="304"/>
        </w:trPr>
        <w:tc>
          <w:tcPr>
            <w:tcW w:w="9140" w:type="dxa"/>
            <w:vAlign w:val="bottom"/>
            <w:gridSpan w:val="15"/>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Risk Factors</w:t>
              </w:r>
            </w:hyperlink>
          </w:p>
        </w:tc>
        <w:tc>
          <w:tcPr>
            <w:tcW w:w="12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42</w:t>
              </w:r>
            </w:hyperlink>
          </w:p>
        </w:tc>
        <w:tc>
          <w:tcPr>
            <w:tcW w:w="0" w:type="dxa"/>
            <w:vAlign w:val="bottom"/>
          </w:tcPr>
          <w:p>
            <w:pPr>
              <w:spacing w:after="0"/>
              <w:rPr>
                <w:sz w:val="1"/>
                <w:szCs w:val="1"/>
                <w:color w:val="auto"/>
              </w:rPr>
            </w:pPr>
          </w:p>
        </w:tc>
      </w:tr>
      <w:tr>
        <w:trPr>
          <w:trHeight w:val="304"/>
        </w:trPr>
        <w:tc>
          <w:tcPr>
            <w:tcW w:w="900" w:type="dxa"/>
            <w:vAlign w:val="bottom"/>
            <w:tcBorders>
              <w:top w:val="single" w:sz="8" w:color="0000FF"/>
            </w:tcBorders>
            <w:gridSpan w:val="2"/>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Exhibits</w:t>
              </w:r>
            </w:hyperlink>
          </w:p>
        </w:tc>
        <w:tc>
          <w:tcPr>
            <w:tcW w:w="8240" w:type="dxa"/>
            <w:vAlign w:val="bottom"/>
            <w:gridSpan w:val="13"/>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c>
          <w:tcPr>
            <w:tcW w:w="0" w:type="dxa"/>
            <w:vAlign w:val="bottom"/>
          </w:tcPr>
          <w:p>
            <w:pPr>
              <w:spacing w:after="0"/>
              <w:rPr>
                <w:sz w:val="1"/>
                <w:szCs w:val="1"/>
                <w:color w:val="auto"/>
              </w:rPr>
            </w:pPr>
          </w:p>
        </w:tc>
      </w:tr>
      <w:tr>
        <w:trPr>
          <w:trHeight w:val="304"/>
        </w:trPr>
        <w:tc>
          <w:tcPr>
            <w:tcW w:w="66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jc w:val="right"/>
              <w:spacing w:after="0"/>
              <w:rPr>
                <w:rFonts w:ascii="Arial" w:cs="Arial" w:eastAsia="Arial" w:hAnsi="Arial"/>
                <w:sz w:val="18"/>
                <w:szCs w:val="18"/>
                <w:color w:val="auto"/>
              </w:rPr>
            </w:pPr>
            <w:hyperlink w:anchor="page45">
              <w:r>
                <w:rPr>
                  <w:rFonts w:ascii="Arial" w:cs="Arial" w:eastAsia="Arial" w:hAnsi="Arial"/>
                  <w:sz w:val="18"/>
                  <w:szCs w:val="18"/>
                  <w:color w:val="auto"/>
                </w:rPr>
                <w:t>44</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973455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780" w:space="220"/>
            <w:col w:w="10380"/>
          </w:cols>
          <w:pgMar w:left="240" w:top="125" w:right="279" w:bottom="1440"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data)</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220" w:type="dxa"/>
            <w:vAlign w:val="bottom"/>
          </w:tcPr>
          <w:p>
            <w:pPr>
              <w:spacing w:after="0"/>
              <w:rPr>
                <w:sz w:val="14"/>
                <w:szCs w:val="14"/>
                <w:color w:val="auto"/>
              </w:rPr>
            </w:pPr>
          </w:p>
        </w:tc>
        <w:tc>
          <w:tcPr>
            <w:tcW w:w="1240" w:type="dxa"/>
            <w:vAlign w:val="bottom"/>
          </w:tcPr>
          <w:p>
            <w:pPr>
              <w:jc w:val="right"/>
              <w:ind w:right="211"/>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8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8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(unaudited)</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7,647</w:t>
            </w:r>
          </w:p>
        </w:tc>
        <w:tc>
          <w:tcPr>
            <w:tcW w:w="0" w:type="dxa"/>
            <w:vAlign w:val="bottom"/>
          </w:tcPr>
          <w:p>
            <w:pPr>
              <w:spacing w:after="0"/>
              <w:rPr>
                <w:sz w:val="1"/>
                <w:szCs w:val="1"/>
                <w:color w:val="auto"/>
              </w:rPr>
            </w:pPr>
          </w:p>
        </w:tc>
      </w:tr>
      <w:tr>
        <w:trPr>
          <w:trHeight w:val="270"/>
        </w:trPr>
        <w:tc>
          <w:tcPr>
            <w:tcW w:w="8380" w:type="dxa"/>
            <w:vAlign w:val="bottom"/>
          </w:tcPr>
          <w:p>
            <w:pPr>
              <w:ind w:left="360"/>
              <w:spacing w:after="0"/>
              <w:rPr>
                <w:sz w:val="20"/>
                <w:szCs w:val="20"/>
                <w:color w:val="auto"/>
              </w:rPr>
            </w:pPr>
            <w:r>
              <w:rPr>
                <w:rFonts w:ascii="Arial" w:cs="Arial" w:eastAsia="Arial" w:hAnsi="Arial"/>
                <w:sz w:val="18"/>
                <w:szCs w:val="18"/>
                <w:color w:val="auto"/>
                <w:w w:val="94"/>
              </w:rPr>
              <w:t>Accounts receivable, less allowances of $9,345 at September 30, 2019 and $7,855 at December 31, 2018</w:t>
            </w:r>
          </w:p>
        </w:tc>
        <w:tc>
          <w:tcPr>
            <w:tcW w:w="200" w:type="dxa"/>
            <w:vAlign w:val="bottom"/>
          </w:tcPr>
          <w:p>
            <w:pPr>
              <w:spacing w:after="0"/>
              <w:rPr>
                <w:sz w:val="23"/>
                <w:szCs w:val="23"/>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161,935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125,292</w:t>
            </w: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229,947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173,601</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9,842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10,822</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receivable</w:t>
            </w:r>
          </w:p>
        </w:tc>
        <w:tc>
          <w:tcPr>
            <w:tcW w:w="2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1,442</w:t>
            </w:r>
          </w:p>
        </w:tc>
        <w:tc>
          <w:tcPr>
            <w:tcW w:w="0" w:type="dxa"/>
            <w:vAlign w:val="bottom"/>
          </w:tcPr>
          <w:p>
            <w:pPr>
              <w:spacing w:after="0"/>
              <w:rPr>
                <w:sz w:val="1"/>
                <w:szCs w:val="1"/>
                <w:color w:val="auto"/>
              </w:rPr>
            </w:pPr>
          </w:p>
        </w:tc>
      </w:tr>
      <w:tr>
        <w:trPr>
          <w:trHeight w:val="237"/>
        </w:trPr>
        <w:tc>
          <w:tcPr>
            <w:tcW w:w="838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406,485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318,804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28,229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25,762</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108,323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20,347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22,582</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316,343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338,847</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43"/>
        </w:trPr>
        <w:tc>
          <w:tcPr>
            <w:tcW w:w="838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3,925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1,844</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883,732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708,572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3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Current maturity of term loan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4,264</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67,784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38,167</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58,252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45,456</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4,420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10,741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145,461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84,876</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DEFERRED RENT &amp; OTHER LONG-TERM LIABILITIES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10,987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23,339</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14,947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15,141</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113,506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INCOME TAXES PAYABLE, LONG-TERM</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949</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REVOLVING CREDIT FACILITY</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91,212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42,080</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TERM LOAN</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258,745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262,694</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6"/>
        </w:trPr>
        <w:tc>
          <w:tcPr>
            <w:tcW w:w="838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1"/>
              </w:rPr>
              <w:t>Preferred stock, $1.00 par value, shares authorized: 100 shares of Series A and 2,000,000 shares of Series B;</w:t>
            </w:r>
          </w:p>
        </w:tc>
        <w:tc>
          <w:tcPr>
            <w:tcW w:w="200" w:type="dxa"/>
            <w:vAlign w:val="bottom"/>
            <w:shd w:val="clear" w:color="auto" w:fill="CCEEFF"/>
          </w:tcPr>
          <w:p>
            <w:pPr>
              <w:spacing w:after="0"/>
              <w:rPr>
                <w:sz w:val="15"/>
                <w:szCs w:val="15"/>
                <w:color w:val="auto"/>
              </w:rPr>
            </w:pPr>
          </w:p>
        </w:tc>
        <w:tc>
          <w:tcPr>
            <w:tcW w:w="136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ind w:right="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3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none issued and outstanding</w:t>
            </w:r>
          </w:p>
        </w:tc>
        <w:tc>
          <w:tcPr>
            <w:tcW w:w="200" w:type="dxa"/>
            <w:vAlign w:val="bottom"/>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380" w:type="dxa"/>
            <w:vAlign w:val="bottom"/>
          </w:tcPr>
          <w:p>
            <w:pPr>
              <w:ind w:left="520"/>
              <w:spacing w:after="0" w:line="176" w:lineRule="exact"/>
              <w:rPr>
                <w:sz w:val="20"/>
                <w:szCs w:val="20"/>
                <w:color w:val="auto"/>
              </w:rPr>
            </w:pPr>
            <w:r>
              <w:rPr>
                <w:rFonts w:ascii="Arial" w:cs="Arial" w:eastAsia="Arial" w:hAnsi="Arial"/>
                <w:sz w:val="18"/>
                <w:szCs w:val="18"/>
                <w:color w:val="auto"/>
                <w:w w:val="92"/>
              </w:rPr>
              <w:t>Common stock, $0.01 par value, shares authorized: 50,000,000 at September 30, 2019 and December 31,</w:t>
            </w: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380" w:type="dxa"/>
            <w:vAlign w:val="bottom"/>
          </w:tcPr>
          <w:p>
            <w:pPr>
              <w:ind w:left="520"/>
              <w:spacing w:after="0" w:line="176" w:lineRule="exact"/>
              <w:rPr>
                <w:sz w:val="20"/>
                <w:szCs w:val="20"/>
                <w:color w:val="auto"/>
              </w:rPr>
            </w:pPr>
            <w:r>
              <w:rPr>
                <w:rFonts w:ascii="Arial" w:cs="Arial" w:eastAsia="Arial" w:hAnsi="Arial"/>
                <w:sz w:val="18"/>
                <w:szCs w:val="18"/>
                <w:color w:val="auto"/>
                <w:w w:val="92"/>
              </w:rPr>
              <w:t>2018; shares issued and outstanding: 21,256,793 at September 30, 2019 and 20,764,143 at December 31,</w:t>
            </w:r>
          </w:p>
        </w:tc>
        <w:tc>
          <w:tcPr>
            <w:tcW w:w="200" w:type="dxa"/>
            <w:vAlign w:val="bottom"/>
          </w:tcPr>
          <w:p>
            <w:pPr>
              <w:spacing w:after="0"/>
              <w:rPr>
                <w:sz w:val="15"/>
                <w:szCs w:val="15"/>
                <w:color w:val="auto"/>
              </w:rPr>
            </w:pPr>
          </w:p>
        </w:tc>
        <w:tc>
          <w:tcPr>
            <w:tcW w:w="1240" w:type="dxa"/>
            <w:vAlign w:val="bottom"/>
            <w:vMerge w:val="restart"/>
          </w:tcPr>
          <w:p>
            <w:pPr>
              <w:jc w:val="right"/>
              <w:ind w:right="52"/>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vMerge w:val="restart"/>
          </w:tcPr>
          <w:p>
            <w:pPr>
              <w:jc w:val="right"/>
              <w:ind w:right="7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30"/>
        </w:trPr>
        <w:tc>
          <w:tcPr>
            <w:tcW w:w="8380" w:type="dxa"/>
            <w:vAlign w:val="bottom"/>
          </w:tcPr>
          <w:p>
            <w:pPr>
              <w:ind w:left="52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3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261,959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258,637</w:t>
            </w:r>
          </w:p>
        </w:tc>
        <w:tc>
          <w:tcPr>
            <w:tcW w:w="0" w:type="dxa"/>
            <w:vAlign w:val="bottom"/>
          </w:tcPr>
          <w:p>
            <w:pPr>
              <w:spacing w:after="0"/>
              <w:rPr>
                <w:sz w:val="1"/>
                <w:szCs w:val="1"/>
                <w:color w:val="auto"/>
              </w:rPr>
            </w:pPr>
          </w:p>
        </w:tc>
      </w:tr>
      <w:tr>
        <w:trPr>
          <w:trHeight w:val="243"/>
        </w:trPr>
        <w:tc>
          <w:tcPr>
            <w:tcW w:w="838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22,634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55,264</w:t>
            </w:r>
          </w:p>
        </w:tc>
        <w:tc>
          <w:tcPr>
            <w:tcW w:w="0" w:type="dxa"/>
            <w:vAlign w:val="bottom"/>
          </w:tcPr>
          <w:p>
            <w:pPr>
              <w:spacing w:after="0"/>
              <w:rPr>
                <w:sz w:val="1"/>
                <w:szCs w:val="1"/>
                <w:color w:val="auto"/>
              </w:rPr>
            </w:pPr>
          </w:p>
        </w:tc>
      </w:tr>
      <w:tr>
        <w:trPr>
          <w:trHeight w:val="27"/>
        </w:trPr>
        <w:tc>
          <w:tcPr>
            <w:tcW w:w="8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(36,881)</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(34,616)</w:t>
            </w:r>
          </w:p>
        </w:tc>
        <w:tc>
          <w:tcPr>
            <w:tcW w:w="0" w:type="dxa"/>
            <w:vAlign w:val="bottom"/>
          </w:tcPr>
          <w:p>
            <w:pPr>
              <w:spacing w:after="0"/>
              <w:rPr>
                <w:sz w:val="1"/>
                <w:szCs w:val="1"/>
                <w:color w:val="auto"/>
              </w:rPr>
            </w:pPr>
          </w:p>
        </w:tc>
      </w:tr>
      <w:tr>
        <w:trPr>
          <w:trHeight w:val="237"/>
        </w:trPr>
        <w:tc>
          <w:tcPr>
            <w:tcW w:w="8380" w:type="dxa"/>
            <w:vAlign w:val="bottom"/>
          </w:tcPr>
          <w:p>
            <w:pPr>
              <w:ind w:left="660"/>
              <w:spacing w:after="0"/>
              <w:rPr>
                <w:sz w:val="20"/>
                <w:szCs w:val="20"/>
                <w:color w:val="auto"/>
              </w:rPr>
            </w:pPr>
            <w:r>
              <w:rPr>
                <w:rFonts w:ascii="Arial" w:cs="Arial" w:eastAsia="Arial" w:hAnsi="Arial"/>
                <w:sz w:val="18"/>
                <w:szCs w:val="18"/>
                <w:color w:val="auto"/>
              </w:rPr>
              <w:t>TOTAL STOCKHOLDERS’ EQUITY</w:t>
            </w:r>
          </w:p>
        </w:tc>
        <w:tc>
          <w:tcPr>
            <w:tcW w:w="200" w:type="dxa"/>
            <w:vAlign w:val="bottom"/>
          </w:tcPr>
          <w:p>
            <w:pPr>
              <w:spacing w:after="0"/>
              <w:rPr>
                <w:sz w:val="20"/>
                <w:szCs w:val="20"/>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247,925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jc w:val="right"/>
              <w:ind w:right="71"/>
              <w:spacing w:after="0"/>
              <w:rPr>
                <w:sz w:val="20"/>
                <w:szCs w:val="20"/>
                <w:color w:val="auto"/>
              </w:rPr>
            </w:pPr>
            <w:r>
              <w:rPr>
                <w:rFonts w:ascii="Arial" w:cs="Arial" w:eastAsia="Arial" w:hAnsi="Arial"/>
                <w:sz w:val="18"/>
                <w:szCs w:val="18"/>
                <w:color w:val="auto"/>
              </w:rPr>
              <w:t>279,493</w:t>
            </w:r>
          </w:p>
        </w:tc>
        <w:tc>
          <w:tcPr>
            <w:tcW w:w="0" w:type="dxa"/>
            <w:vAlign w:val="bottom"/>
          </w:tcPr>
          <w:p>
            <w:pPr>
              <w:spacing w:after="0"/>
              <w:rPr>
                <w:sz w:val="1"/>
                <w:szCs w:val="1"/>
                <w:color w:val="auto"/>
              </w:rPr>
            </w:pPr>
          </w:p>
        </w:tc>
      </w:tr>
      <w:tr>
        <w:trPr>
          <w:trHeight w:val="27"/>
        </w:trPr>
        <w:tc>
          <w:tcPr>
            <w:tcW w:w="83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380" w:type="dxa"/>
            <w:vAlign w:val="bottom"/>
            <w:tcBorders>
              <w:bottom w:val="single" w:sz="8" w:color="CCEEFF"/>
            </w:tcBorders>
            <w:shd w:val="clear" w:color="auto" w:fill="CCEEFF"/>
          </w:tcPr>
          <w:p>
            <w:pPr>
              <w:ind w:left="1100"/>
              <w:spacing w:after="0"/>
              <w:rPr>
                <w:sz w:val="20"/>
                <w:szCs w:val="20"/>
                <w:color w:val="auto"/>
              </w:rPr>
            </w:pPr>
            <w:r>
              <w:rPr>
                <w:rFonts w:ascii="Arial" w:cs="Arial" w:eastAsia="Arial" w:hAnsi="Arial"/>
                <w:sz w:val="18"/>
                <w:szCs w:val="18"/>
                <w:b w:val="1"/>
                <w:bCs w:val="1"/>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883,732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708,572</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5"/>
          </w:tcPr>
          <w:p>
            <w:pPr>
              <w:ind w:left="50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2"/>
        </w:trPr>
        <w:tc>
          <w:tcPr>
            <w:tcW w:w="5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w w:val="83"/>
              </w:rPr>
              <w:t>2018</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215,502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209,448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507,964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476,268</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142,561</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135,663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336,683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305,318</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72,941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73,785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171,281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170,950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Distribution expenses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18,537</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16,612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49,938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49,376</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37,389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42,113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118,379</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122,330</w:t>
            </w:r>
          </w:p>
        </w:tc>
      </w:tr>
      <w:tr>
        <w:trPr>
          <w:trHeight w:val="243"/>
        </w:trPr>
        <w:tc>
          <w:tcPr>
            <w:tcW w:w="532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340" w:type="dxa"/>
            <w:vAlign w:val="bottom"/>
          </w:tcPr>
          <w:p>
            <w:pPr>
              <w:spacing w:after="0"/>
              <w:rPr>
                <w:sz w:val="21"/>
                <w:szCs w:val="21"/>
                <w:color w:val="auto"/>
              </w:rPr>
            </w:pPr>
          </w:p>
        </w:tc>
        <w:tc>
          <w:tcPr>
            <w:tcW w:w="1080" w:type="dxa"/>
            <w:vAlign w:val="bottom"/>
          </w:tcPr>
          <w:p>
            <w:pPr>
              <w:jc w:val="right"/>
              <w:ind w:right="53"/>
              <w:spacing w:after="0"/>
              <w:rPr>
                <w:sz w:val="20"/>
                <w:szCs w:val="20"/>
                <w:color w:val="auto"/>
              </w:rPr>
            </w:pPr>
            <w:r>
              <w:rPr>
                <w:rFonts w:ascii="Arial" w:cs="Arial" w:eastAsia="Arial" w:hAnsi="Arial"/>
                <w:sz w:val="18"/>
                <w:szCs w:val="18"/>
                <w:color w:val="auto"/>
              </w:rPr>
              <w:t>338</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60" w:type="dxa"/>
            <w:vAlign w:val="bottom"/>
          </w:tcPr>
          <w:p>
            <w:pPr>
              <w:jc w:val="right"/>
              <w:ind w:right="71"/>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73"/>
              <w:spacing w:after="0"/>
              <w:rPr>
                <w:sz w:val="20"/>
                <w:szCs w:val="20"/>
                <w:color w:val="auto"/>
              </w:rPr>
            </w:pPr>
            <w:r>
              <w:rPr>
                <w:rFonts w:ascii="Arial" w:cs="Arial" w:eastAsia="Arial" w:hAnsi="Arial"/>
                <w:sz w:val="18"/>
                <w:szCs w:val="18"/>
                <w:color w:val="auto"/>
              </w:rPr>
              <w:t>1,119</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1,353</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goodwill</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9,748</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9,748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2,205</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3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6,929</w:t>
            </w:r>
          </w:p>
        </w:tc>
        <w:tc>
          <w:tcPr>
            <w:tcW w:w="120" w:type="dxa"/>
            <w:vAlign w:val="bottom"/>
          </w:tcPr>
          <w:p>
            <w:pPr>
              <w:spacing w:after="0"/>
              <w:rPr>
                <w:sz w:val="22"/>
                <w:szCs w:val="22"/>
                <w:color w:val="auto"/>
              </w:rPr>
            </w:pPr>
          </w:p>
        </w:tc>
        <w:tc>
          <w:tcPr>
            <w:tcW w:w="480" w:type="dxa"/>
            <w:vAlign w:val="bottom"/>
            <w:tcBorders>
              <w:top w:val="single" w:sz="8" w:color="auto"/>
            </w:tcBorders>
          </w:tcPr>
          <w:p>
            <w:pPr>
              <w:spacing w:after="0"/>
              <w:rPr>
                <w:sz w:val="22"/>
                <w:szCs w:val="22"/>
                <w:color w:val="auto"/>
              </w:rPr>
            </w:pPr>
          </w:p>
        </w:tc>
        <w:tc>
          <w:tcPr>
            <w:tcW w:w="96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12,303</w:t>
            </w:r>
          </w:p>
        </w:tc>
        <w:tc>
          <w:tcPr>
            <w:tcW w:w="100" w:type="dxa"/>
            <w:vAlign w:val="bottom"/>
          </w:tcPr>
          <w:p>
            <w:pPr>
              <w:spacing w:after="0"/>
              <w:rPr>
                <w:sz w:val="22"/>
                <w:szCs w:val="22"/>
                <w:color w:val="auto"/>
              </w:rPr>
            </w:pPr>
          </w:p>
        </w:tc>
        <w:tc>
          <w:tcPr>
            <w:tcW w:w="360" w:type="dxa"/>
            <w:vAlign w:val="bottom"/>
            <w:tcBorders>
              <w:top w:val="single" w:sz="8" w:color="auto"/>
            </w:tcBorders>
          </w:tcPr>
          <w:p>
            <w:pPr>
              <w:spacing w:after="0"/>
              <w:rPr>
                <w:sz w:val="22"/>
                <w:szCs w:val="22"/>
                <w:color w:val="auto"/>
              </w:rPr>
            </w:pPr>
          </w:p>
        </w:tc>
        <w:tc>
          <w:tcPr>
            <w:tcW w:w="11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(7,903)</w:t>
            </w:r>
          </w:p>
        </w:tc>
        <w:tc>
          <w:tcPr>
            <w:tcW w:w="100" w:type="dxa"/>
            <w:vAlign w:val="bottom"/>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(4,314)</w:t>
            </w: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(5,172)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(5,634)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(14,788)</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(12,413)</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Loss on early retirement of debt</w:t>
            </w:r>
          </w:p>
        </w:tc>
        <w:tc>
          <w:tcPr>
            <w:tcW w:w="34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3"/>
                <w:szCs w:val="23"/>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(66)</w:t>
            </w:r>
          </w:p>
        </w:tc>
      </w:tr>
      <w:tr>
        <w:trPr>
          <w:trHeight w:val="264"/>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 and equity in (losses) earnings</w:t>
            </w:r>
          </w:p>
        </w:tc>
        <w:tc>
          <w:tcPr>
            <w:tcW w:w="34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1,757</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6,669</w:t>
            </w:r>
          </w:p>
        </w:tc>
        <w:tc>
          <w:tcPr>
            <w:tcW w:w="100" w:type="dxa"/>
            <w:vAlign w:val="bottom"/>
            <w:tcBorders>
              <w:top w:val="single" w:sz="8" w:color="CCEEFF"/>
            </w:tcBorders>
            <w:shd w:val="clear" w:color="auto" w:fill="CCEEFF"/>
          </w:tcPr>
          <w:p>
            <w:pPr>
              <w:spacing w:after="0"/>
              <w:rPr>
                <w:sz w:val="22"/>
                <w:szCs w:val="22"/>
                <w:color w:val="auto"/>
              </w:rPr>
            </w:pPr>
          </w:p>
        </w:tc>
        <w:tc>
          <w:tcPr>
            <w:tcW w:w="360" w:type="dxa"/>
            <w:vAlign w:val="bottom"/>
            <w:tcBorders>
              <w:top w:val="single" w:sz="8" w:color="auto"/>
            </w:tcBorders>
            <w:shd w:val="clear" w:color="auto" w:fill="CCEEFF"/>
          </w:tcPr>
          <w:p>
            <w:pPr>
              <w:spacing w:after="0"/>
              <w:rPr>
                <w:sz w:val="22"/>
                <w:szCs w:val="22"/>
                <w:color w:val="auto"/>
              </w:rPr>
            </w:pPr>
          </w:p>
        </w:tc>
        <w:tc>
          <w:tcPr>
            <w:tcW w:w="110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(22,691)</w:t>
            </w:r>
          </w:p>
        </w:tc>
        <w:tc>
          <w:tcPr>
            <w:tcW w:w="100" w:type="dxa"/>
            <w:vAlign w:val="bottom"/>
            <w:tcBorders>
              <w:top w:val="single" w:sz="8" w:color="CCEEFF"/>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(16,793)</w:t>
            </w:r>
          </w:p>
        </w:tc>
      </w:tr>
      <w:tr>
        <w:trPr>
          <w:trHeight w:val="270"/>
        </w:trPr>
        <w:tc>
          <w:tcPr>
            <w:tcW w:w="5320" w:type="dxa"/>
            <w:vAlign w:val="bottom"/>
          </w:tcPr>
          <w:p>
            <w:pPr>
              <w:ind w:left="20"/>
              <w:spacing w:after="0"/>
              <w:rPr>
                <w:sz w:val="20"/>
                <w:szCs w:val="20"/>
                <w:color w:val="auto"/>
              </w:rPr>
            </w:pPr>
            <w:r>
              <w:rPr>
                <w:rFonts w:ascii="Arial" w:cs="Arial" w:eastAsia="Arial" w:hAnsi="Arial"/>
                <w:sz w:val="18"/>
                <w:szCs w:val="18"/>
                <w:color w:val="auto"/>
              </w:rPr>
              <w:t>Income tax (provision) benefit</w:t>
            </w:r>
          </w:p>
        </w:tc>
        <w:tc>
          <w:tcPr>
            <w:tcW w:w="340" w:type="dxa"/>
            <w:vAlign w:val="bottom"/>
          </w:tcPr>
          <w:p>
            <w:pPr>
              <w:spacing w:after="0"/>
              <w:rPr>
                <w:sz w:val="23"/>
                <w:szCs w:val="23"/>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(15,066)</w:t>
            </w: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(906)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(6,813)</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60" w:type="dxa"/>
            <w:vAlign w:val="bottom"/>
          </w:tcPr>
          <w:p>
            <w:pPr>
              <w:jc w:val="right"/>
              <w:ind w:right="51"/>
              <w:spacing w:after="0"/>
              <w:rPr>
                <w:sz w:val="20"/>
                <w:szCs w:val="20"/>
                <w:color w:val="auto"/>
              </w:rPr>
            </w:pPr>
            <w:r>
              <w:rPr>
                <w:rFonts w:ascii="Arial" w:cs="Arial" w:eastAsia="Arial" w:hAnsi="Arial"/>
                <w:sz w:val="18"/>
                <w:szCs w:val="18"/>
                <w:color w:val="auto"/>
              </w:rPr>
              <w:t>4,669</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(losses) earnings, net of taxes</w:t>
            </w:r>
          </w:p>
        </w:tc>
        <w:tc>
          <w:tcPr>
            <w:tcW w:w="3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(210)</w:t>
            </w:r>
          </w:p>
        </w:tc>
        <w:tc>
          <w:tcPr>
            <w:tcW w:w="120" w:type="dxa"/>
            <w:vAlign w:val="bottom"/>
            <w:shd w:val="clear" w:color="auto" w:fill="CCEEFF"/>
          </w:tcPr>
          <w:p>
            <w:pPr>
              <w:spacing w:after="0"/>
              <w:rPr>
                <w:sz w:val="23"/>
                <w:szCs w:val="23"/>
                <w:color w:val="auto"/>
              </w:rPr>
            </w:pPr>
          </w:p>
        </w:tc>
        <w:tc>
          <w:tcPr>
            <w:tcW w:w="4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185</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(395)</w:t>
            </w:r>
          </w:p>
        </w:tc>
        <w:tc>
          <w:tcPr>
            <w:tcW w:w="100" w:type="dxa"/>
            <w:vAlign w:val="bottom"/>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8"/>
                <w:szCs w:val="18"/>
                <w:color w:val="auto"/>
              </w:rPr>
              <w:t>417</w:t>
            </w:r>
          </w:p>
        </w:tc>
      </w:tr>
      <w:tr>
        <w:trPr>
          <w:trHeight w:val="26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(13,519)</w:t>
            </w:r>
          </w:p>
        </w:tc>
        <w:tc>
          <w:tcPr>
            <w:tcW w:w="120" w:type="dxa"/>
            <w:vAlign w:val="bottom"/>
          </w:tcPr>
          <w:p>
            <w:pPr>
              <w:spacing w:after="0"/>
              <w:rPr>
                <w:sz w:val="22"/>
                <w:szCs w:val="22"/>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5,948</w:t>
            </w:r>
          </w:p>
        </w:tc>
        <w:tc>
          <w:tcPr>
            <w:tcW w:w="100" w:type="dxa"/>
            <w:vAlign w:val="bottom"/>
          </w:tcPr>
          <w:p>
            <w:pPr>
              <w:spacing w:after="0"/>
              <w:rPr>
                <w:sz w:val="22"/>
                <w:szCs w:val="22"/>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(29,899)</w:t>
            </w:r>
          </w:p>
        </w:tc>
        <w:tc>
          <w:tcPr>
            <w:tcW w:w="100" w:type="dxa"/>
            <w:vAlign w:val="bottom"/>
          </w:tcPr>
          <w:p>
            <w:pPr>
              <w:spacing w:after="0"/>
              <w:rPr>
                <w:sz w:val="22"/>
                <w:szCs w:val="22"/>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(11,707)</w:t>
            </w:r>
          </w:p>
        </w:tc>
      </w:tr>
      <w:tr>
        <w:trPr>
          <w:trHeight w:val="20"/>
        </w:trPr>
        <w:tc>
          <w:tcPr>
            <w:tcW w:w="53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(LOSS) INCOME PER COMMON SHARE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(0.66)</w:t>
            </w: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(0.61)</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44"/>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DILUTED (LOSS) INCOME PER COMMON SHARE</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(0.66)</w:t>
            </w:r>
          </w:p>
        </w:tc>
        <w:tc>
          <w:tcPr>
            <w:tcW w:w="120" w:type="dxa"/>
            <w:vAlign w:val="bottom"/>
          </w:tcPr>
          <w:p>
            <w:pPr>
              <w:spacing w:after="0"/>
              <w:rPr>
                <w:sz w:val="21"/>
                <w:szCs w:val="21"/>
                <w:color w:val="auto"/>
              </w:rPr>
            </w:pP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0.29</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(0.61)</w:t>
            </w:r>
          </w:p>
        </w:tc>
      </w:tr>
      <w:tr>
        <w:trPr>
          <w:trHeight w:val="21"/>
        </w:trPr>
        <w:tc>
          <w:tcPr>
            <w:tcW w:w="5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(LOSS)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60" w:type="dxa"/>
            <w:vAlign w:val="bottom"/>
            <w:gridSpan w:val="3"/>
          </w:tcPr>
          <w:p>
            <w:pPr>
              <w:jc w:val="right"/>
              <w:ind w:right="196"/>
              <w:spacing w:after="0"/>
              <w:rPr>
                <w:sz w:val="20"/>
                <w:szCs w:val="20"/>
                <w:color w:val="auto"/>
              </w:rPr>
            </w:pPr>
            <w:r>
              <w:rPr>
                <w:rFonts w:ascii="Arial" w:cs="Arial" w:eastAsia="Arial" w:hAnsi="Arial"/>
                <w:sz w:val="14"/>
                <w:szCs w:val="14"/>
                <w:b w:val="1"/>
                <w:bCs w:val="1"/>
                <w:color w:val="auto"/>
              </w:rPr>
              <w:t>Three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4"/>
                <w:szCs w:val="14"/>
                <w:color w:val="auto"/>
              </w:rPr>
            </w:pPr>
          </w:p>
        </w:tc>
      </w:tr>
      <w:tr>
        <w:trPr>
          <w:trHeight w:val="192"/>
        </w:trPr>
        <w:tc>
          <w:tcPr>
            <w:tcW w:w="53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396"/>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r>
      <w:tr>
        <w:trPr>
          <w:trHeight w:val="196"/>
        </w:trPr>
        <w:tc>
          <w:tcPr>
            <w:tcW w:w="532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w w:val="83"/>
              </w:rPr>
              <w:t>2018</w:t>
            </w:r>
          </w:p>
        </w:tc>
      </w:tr>
      <w:tr>
        <w:trPr>
          <w:trHeight w:val="27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income</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(13,519)</w:t>
            </w:r>
          </w:p>
        </w:tc>
        <w:tc>
          <w:tcPr>
            <w:tcW w:w="10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84"/>
              </w:rPr>
              <w:t>5,948</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(29,899)</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(11,707)</w:t>
            </w:r>
          </w:p>
        </w:tc>
      </w:tr>
      <w:tr>
        <w:trPr>
          <w:trHeight w:val="230"/>
        </w:trPr>
        <w:tc>
          <w:tcPr>
            <w:tcW w:w="5320" w:type="dxa"/>
            <w:vAlign w:val="bottom"/>
          </w:tcPr>
          <w:p>
            <w:pPr>
              <w:ind w:left="20"/>
              <w:spacing w:after="0"/>
              <w:rPr>
                <w:sz w:val="20"/>
                <w:szCs w:val="20"/>
                <w:color w:val="auto"/>
              </w:rPr>
            </w:pPr>
            <w:r>
              <w:rPr>
                <w:rFonts w:ascii="Arial" w:cs="Arial" w:eastAsia="Arial" w:hAnsi="Arial"/>
                <w:sz w:val="18"/>
                <w:szCs w:val="18"/>
                <w:color w:val="auto"/>
              </w:rPr>
              <w:t>Other comprehensive loss, net of taxes:</w:t>
            </w: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5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Translation adjustment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(2,385)</w:t>
            </w: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(4,032)</w:t>
            </w:r>
          </w:p>
        </w:tc>
        <w:tc>
          <w:tcPr>
            <w:tcW w:w="1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(1,985)</w:t>
            </w:r>
          </w:p>
        </w:tc>
      </w:tr>
      <w:tr>
        <w:trPr>
          <w:trHeight w:val="243"/>
        </w:trPr>
        <w:tc>
          <w:tcPr>
            <w:tcW w:w="5320" w:type="dxa"/>
            <w:vAlign w:val="bottom"/>
          </w:tcPr>
          <w:p>
            <w:pPr>
              <w:ind w:left="340"/>
              <w:spacing w:after="0"/>
              <w:rPr>
                <w:sz w:val="20"/>
                <w:szCs w:val="20"/>
                <w:color w:val="auto"/>
              </w:rPr>
            </w:pPr>
            <w:r>
              <w:rPr>
                <w:rFonts w:ascii="Arial" w:cs="Arial" w:eastAsia="Arial" w:hAnsi="Arial"/>
                <w:sz w:val="18"/>
                <w:szCs w:val="18"/>
                <w:color w:val="auto"/>
              </w:rPr>
              <w:t>Net change in cash flow hedges</w:t>
            </w:r>
          </w:p>
        </w:tc>
        <w:tc>
          <w:tcPr>
            <w:tcW w:w="360" w:type="dxa"/>
            <w:vAlign w:val="bottom"/>
          </w:tcPr>
          <w:p>
            <w:pPr>
              <w:spacing w:after="0"/>
              <w:rPr>
                <w:sz w:val="21"/>
                <w:szCs w:val="21"/>
                <w:color w:val="auto"/>
              </w:rPr>
            </w:pPr>
          </w:p>
        </w:tc>
        <w:tc>
          <w:tcPr>
            <w:tcW w:w="1100" w:type="dxa"/>
            <w:vAlign w:val="bottom"/>
          </w:tcPr>
          <w:p>
            <w:pPr>
              <w:jc w:val="right"/>
              <w:ind w:right="76"/>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56"/>
              <w:spacing w:after="0"/>
              <w:rPr>
                <w:sz w:val="20"/>
                <w:szCs w:val="20"/>
                <w:color w:val="auto"/>
              </w:rPr>
            </w:pPr>
            <w:r>
              <w:rPr>
                <w:rFonts w:ascii="Arial" w:cs="Arial" w:eastAsia="Arial" w:hAnsi="Arial"/>
                <w:sz w:val="18"/>
                <w:szCs w:val="18"/>
                <w:color w:val="auto"/>
              </w:rPr>
              <w:t>1,729</w:t>
            </w:r>
          </w:p>
        </w:tc>
        <w:tc>
          <w:tcPr>
            <w:tcW w:w="1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(658)</w:t>
            </w:r>
          </w:p>
        </w:tc>
      </w:tr>
      <w:tr>
        <w:trPr>
          <w:trHeight w:val="27"/>
        </w:trPr>
        <w:tc>
          <w:tcPr>
            <w:tcW w:w="5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Effect of retirement benefit obligations</w:t>
            </w: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54</w:t>
            </w:r>
          </w:p>
        </w:tc>
      </w:tr>
      <w:tr>
        <w:trPr>
          <w:trHeight w:val="264"/>
        </w:trPr>
        <w:tc>
          <w:tcPr>
            <w:tcW w:w="5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taxes</w:t>
            </w:r>
          </w:p>
        </w:tc>
        <w:tc>
          <w:tcPr>
            <w:tcW w:w="36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(2,221)</w:t>
            </w:r>
          </w:p>
        </w:tc>
        <w:tc>
          <w:tcPr>
            <w:tcW w:w="10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spacing w:after="0"/>
              <w:rPr>
                <w:sz w:val="22"/>
                <w:szCs w:val="22"/>
                <w:color w:val="auto"/>
              </w:rPr>
            </w:pP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(2,265)</w:t>
            </w:r>
          </w:p>
        </w:tc>
        <w:tc>
          <w:tcPr>
            <w:tcW w:w="120" w:type="dxa"/>
            <w:vAlign w:val="bottom"/>
            <w:tcBorders>
              <w:bottom w:val="single" w:sz="8" w:color="CCEEFF"/>
            </w:tcBorders>
          </w:tcPr>
          <w:p>
            <w:pPr>
              <w:spacing w:after="0"/>
              <w:rPr>
                <w:sz w:val="22"/>
                <w:szCs w:val="22"/>
                <w:color w:val="auto"/>
              </w:rPr>
            </w:pPr>
          </w:p>
        </w:tc>
        <w:tc>
          <w:tcPr>
            <w:tcW w:w="580" w:type="dxa"/>
            <w:vAlign w:val="bottom"/>
            <w:tcBorders>
              <w:top w:val="single" w:sz="8" w:color="auto"/>
              <w:bottom w:val="single" w:sz="8" w:color="auto"/>
            </w:tcBorders>
          </w:tcPr>
          <w:p>
            <w:pPr>
              <w:spacing w:after="0"/>
              <w:rPr>
                <w:sz w:val="22"/>
                <w:szCs w:val="22"/>
                <w:color w:val="auto"/>
              </w:rPr>
            </w:pP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(2,589)</w:t>
            </w:r>
          </w:p>
        </w:tc>
      </w:tr>
      <w:tr>
        <w:trPr>
          <w:trHeight w:val="289"/>
        </w:trPr>
        <w:tc>
          <w:tcPr>
            <w:tcW w:w="5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 income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(15,740)</w:t>
            </w:r>
          </w:p>
        </w:tc>
        <w:tc>
          <w:tcPr>
            <w:tcW w:w="10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84"/>
              </w:rPr>
              <w:t>5,710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(32,164)</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(14,296)</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320" w:type="dxa"/>
            <w:vAlign w:val="bottom"/>
            <w:gridSpan w:val="5"/>
          </w:tcPr>
          <w:p>
            <w:pPr>
              <w:ind w:left="70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4"/>
                <w:szCs w:val="14"/>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Paid-in</w:t>
            </w:r>
          </w:p>
        </w:tc>
        <w:tc>
          <w:tcPr>
            <w:tcW w:w="180" w:type="dxa"/>
            <w:vAlign w:val="bottom"/>
          </w:tcPr>
          <w:p>
            <w:pPr>
              <w:spacing w:after="0"/>
              <w:rPr>
                <w:sz w:val="14"/>
                <w:szCs w:val="14"/>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60" w:type="dxa"/>
            <w:vAlign w:val="bottom"/>
          </w:tcPr>
          <w:p>
            <w:pPr>
              <w:spacing w:after="0"/>
              <w:rPr>
                <w:sz w:val="14"/>
                <w:szCs w:val="14"/>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Nine Months Ended September 30, 2018</w:t>
            </w:r>
          </w:p>
        </w:tc>
        <w:tc>
          <w:tcPr>
            <w:tcW w:w="64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77"/>
              <w:spacing w:after="0"/>
              <w:rPr>
                <w:sz w:val="20"/>
                <w:szCs w:val="20"/>
                <w:color w:val="auto"/>
              </w:rPr>
            </w:pPr>
            <w:r>
              <w:rPr>
                <w:rFonts w:ascii="Arial" w:cs="Arial" w:eastAsia="Arial" w:hAnsi="Arial"/>
                <w:sz w:val="13"/>
                <w:szCs w:val="13"/>
                <w:b w:val="1"/>
                <w:bCs w:val="1"/>
                <w:color w:val="auto"/>
              </w:rPr>
              <w:t>capital</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comprehensive loss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2017</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14,903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149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178,909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60,546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(29,325)</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210,279</w:t>
            </w:r>
          </w:p>
        </w:tc>
        <w:tc>
          <w:tcPr>
            <w:tcW w:w="0" w:type="dxa"/>
            <w:vAlign w:val="bottom"/>
          </w:tcPr>
          <w:p>
            <w:pPr>
              <w:spacing w:after="0"/>
              <w:rPr>
                <w:sz w:val="1"/>
                <w:szCs w:val="1"/>
                <w:color w:val="auto"/>
              </w:rPr>
            </w:pPr>
          </w:p>
        </w:tc>
      </w:tr>
      <w:tr>
        <w:trPr>
          <w:trHeight w:val="168"/>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Comprehensive loss: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(11,598)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(11,598)</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20"/>
              <w:spacing w:after="0"/>
              <w:rPr>
                <w:sz w:val="20"/>
                <w:szCs w:val="20"/>
                <w:color w:val="auto"/>
              </w:rPr>
            </w:pPr>
            <w:r>
              <w:rPr>
                <w:rFonts w:ascii="Arial" w:cs="Arial" w:eastAsia="Arial" w:hAnsi="Arial"/>
                <w:sz w:val="13"/>
                <w:szCs w:val="13"/>
                <w:color w:val="auto"/>
              </w:rPr>
              <w:t>Translation adjustment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80" w:type="dxa"/>
            <w:vAlign w:val="bottom"/>
          </w:tcPr>
          <w:p>
            <w:pPr>
              <w:jc w:val="right"/>
              <w:ind w:right="77"/>
              <w:spacing w:after="0"/>
              <w:rPr>
                <w:sz w:val="20"/>
                <w:szCs w:val="20"/>
                <w:color w:val="auto"/>
              </w:rPr>
            </w:pPr>
            <w:r>
              <w:rPr>
                <w:rFonts w:ascii="Arial" w:cs="Arial" w:eastAsia="Arial" w:hAnsi="Arial"/>
                <w:sz w:val="13"/>
                <w:szCs w:val="13"/>
                <w:color w:val="auto"/>
              </w:rPr>
              <w:t>3,380</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3,380</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Derivative fair value adjustment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Effect of retirement benefit obligations</w:t>
            </w:r>
          </w:p>
        </w:tc>
        <w:tc>
          <w:tcPr>
            <w:tcW w:w="11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color w:val="auto"/>
              </w:rPr>
              <w:t>18</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Total comprehensive loss</w:t>
            </w: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(8,214)</w:t>
            </w:r>
          </w:p>
        </w:tc>
        <w:tc>
          <w:tcPr>
            <w:tcW w:w="0" w:type="dxa"/>
            <w:vAlign w:val="bottom"/>
          </w:tcPr>
          <w:p>
            <w:pPr>
              <w:spacing w:after="0"/>
              <w:rPr>
                <w:sz w:val="1"/>
                <w:szCs w:val="1"/>
                <w:color w:val="auto"/>
              </w:rPr>
            </w:pPr>
          </w:p>
        </w:tc>
      </w:tr>
      <w:tr>
        <w:trPr>
          <w:trHeight w:val="102"/>
        </w:trPr>
        <w:tc>
          <w:tcPr>
            <w:tcW w:w="4220" w:type="dxa"/>
            <w:vAlign w:val="bottom"/>
            <w:gridSpan w:val="2"/>
          </w:tcPr>
          <w:p>
            <w:pPr>
              <w:ind w:left="20"/>
              <w:spacing w:after="0" w:line="102" w:lineRule="exact"/>
              <w:rPr>
                <w:sz w:val="20"/>
                <w:szCs w:val="20"/>
                <w:color w:val="auto"/>
              </w:rPr>
            </w:pPr>
            <w:r>
              <w:rPr>
                <w:rFonts w:ascii="Arial" w:cs="Arial" w:eastAsia="Arial" w:hAnsi="Arial"/>
                <w:sz w:val="11"/>
                <w:szCs w:val="11"/>
                <w:color w:val="auto"/>
              </w:rPr>
              <w:t>Issuance of 5,593,116 shares of common stock for acquisition of</w:t>
            </w:r>
          </w:p>
        </w:tc>
        <w:tc>
          <w:tcPr>
            <w:tcW w:w="1040" w:type="dxa"/>
            <w:vAlign w:val="bottom"/>
            <w:vMerge w:val="restart"/>
          </w:tcPr>
          <w:p>
            <w:pPr>
              <w:jc w:val="right"/>
              <w:ind w:right="77"/>
              <w:spacing w:after="0"/>
              <w:rPr>
                <w:sz w:val="20"/>
                <w:szCs w:val="20"/>
                <w:color w:val="auto"/>
              </w:rPr>
            </w:pPr>
            <w:r>
              <w:rPr>
                <w:rFonts w:ascii="Arial" w:cs="Arial" w:eastAsia="Arial" w:hAnsi="Arial"/>
                <w:sz w:val="13"/>
                <w:szCs w:val="13"/>
                <w:color w:val="auto"/>
              </w:rPr>
              <w:t>5,593</w:t>
            </w: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vMerge w:val="restart"/>
          </w:tcPr>
          <w:p>
            <w:pPr>
              <w:jc w:val="right"/>
              <w:ind w:right="77"/>
              <w:spacing w:after="0"/>
              <w:rPr>
                <w:sz w:val="20"/>
                <w:szCs w:val="20"/>
                <w:color w:val="auto"/>
              </w:rPr>
            </w:pPr>
            <w:r>
              <w:rPr>
                <w:rFonts w:ascii="Arial" w:cs="Arial" w:eastAsia="Arial" w:hAnsi="Arial"/>
                <w:sz w:val="13"/>
                <w:szCs w:val="13"/>
                <w:color w:val="auto"/>
              </w:rPr>
              <w:t>56</w:t>
            </w: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vMerge w:val="restart"/>
          </w:tcPr>
          <w:p>
            <w:pPr>
              <w:jc w:val="right"/>
              <w:ind w:right="77"/>
              <w:spacing w:after="0"/>
              <w:rPr>
                <w:sz w:val="20"/>
                <w:szCs w:val="20"/>
                <w:color w:val="auto"/>
              </w:rPr>
            </w:pPr>
            <w:r>
              <w:rPr>
                <w:rFonts w:ascii="Arial" w:cs="Arial" w:eastAsia="Arial" w:hAnsi="Arial"/>
                <w:sz w:val="13"/>
                <w:szCs w:val="13"/>
                <w:color w:val="auto"/>
              </w:rPr>
              <w:t>75,920</w:t>
            </w: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8"/>
                <w:szCs w:val="8"/>
                <w:color w:val="auto"/>
              </w:rPr>
            </w:pPr>
          </w:p>
        </w:tc>
        <w:tc>
          <w:tcPr>
            <w:tcW w:w="15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8"/>
                <w:szCs w:val="8"/>
                <w:color w:val="auto"/>
              </w:rPr>
            </w:pPr>
          </w:p>
        </w:tc>
        <w:tc>
          <w:tcPr>
            <w:tcW w:w="660" w:type="dxa"/>
            <w:vAlign w:val="bottom"/>
            <w:vMerge w:val="restart"/>
          </w:tcPr>
          <w:p>
            <w:pPr>
              <w:jc w:val="right"/>
              <w:ind w:right="77"/>
              <w:spacing w:after="0"/>
              <w:rPr>
                <w:sz w:val="20"/>
                <w:szCs w:val="20"/>
                <w:color w:val="auto"/>
              </w:rPr>
            </w:pPr>
            <w:r>
              <w:rPr>
                <w:rFonts w:ascii="Arial" w:cs="Arial" w:eastAsia="Arial" w:hAnsi="Arial"/>
                <w:sz w:val="13"/>
                <w:szCs w:val="13"/>
                <w:color w:val="auto"/>
              </w:rPr>
              <w:t>75,976</w:t>
            </w:r>
          </w:p>
        </w:tc>
        <w:tc>
          <w:tcPr>
            <w:tcW w:w="0" w:type="dxa"/>
            <w:vAlign w:val="bottom"/>
          </w:tcPr>
          <w:p>
            <w:pPr>
              <w:spacing w:after="0"/>
              <w:rPr>
                <w:sz w:val="1"/>
                <w:szCs w:val="1"/>
                <w:color w:val="auto"/>
              </w:rPr>
            </w:pPr>
          </w:p>
        </w:tc>
      </w:tr>
      <w:tr>
        <w:trPr>
          <w:trHeight w:val="168"/>
        </w:trPr>
        <w:tc>
          <w:tcPr>
            <w:tcW w:w="4220" w:type="dxa"/>
            <w:vAlign w:val="bottom"/>
            <w:gridSpan w:val="2"/>
          </w:tcPr>
          <w:p>
            <w:pPr>
              <w:ind w:left="180"/>
              <w:spacing w:after="0"/>
              <w:rPr>
                <w:sz w:val="20"/>
                <w:szCs w:val="20"/>
                <w:color w:val="auto"/>
              </w:rPr>
            </w:pPr>
            <w:r>
              <w:rPr>
                <w:rFonts w:ascii="Arial" w:cs="Arial" w:eastAsia="Arial" w:hAnsi="Arial"/>
                <w:sz w:val="13"/>
                <w:szCs w:val="13"/>
                <w:color w:val="auto"/>
              </w:rPr>
              <w:t>Filament, net of equity issuance costs</w:t>
            </w:r>
          </w:p>
        </w:tc>
        <w:tc>
          <w:tcPr>
            <w:tcW w:w="10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Restricted shares issued to directors</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126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compensation expense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838</w:t>
            </w:r>
          </w:p>
        </w:tc>
        <w:tc>
          <w:tcPr>
            <w:tcW w:w="0" w:type="dxa"/>
            <w:vAlign w:val="bottom"/>
          </w:tcPr>
          <w:p>
            <w:pPr>
              <w:spacing w:after="0"/>
              <w:rPr>
                <w:sz w:val="1"/>
                <w:szCs w:val="1"/>
                <w:color w:val="auto"/>
              </w:rPr>
            </w:pPr>
          </w:p>
        </w:tc>
      </w:tr>
      <w:tr>
        <w:trPr>
          <w:trHeight w:val="148"/>
        </w:trPr>
        <w:tc>
          <w:tcPr>
            <w:tcW w:w="4220" w:type="dxa"/>
            <w:vAlign w:val="bottom"/>
            <w:gridSpan w:val="2"/>
          </w:tcPr>
          <w:p>
            <w:pPr>
              <w:ind w:left="20"/>
              <w:spacing w:after="0" w:line="148" w:lineRule="exact"/>
              <w:rPr>
                <w:sz w:val="20"/>
                <w:szCs w:val="20"/>
                <w:color w:val="auto"/>
              </w:rPr>
            </w:pPr>
            <w:r>
              <w:rPr>
                <w:rFonts w:ascii="Arial" w:cs="Arial" w:eastAsia="Arial" w:hAnsi="Arial"/>
                <w:sz w:val="13"/>
                <w:szCs w:val="13"/>
                <w:color w:val="auto"/>
              </w:rPr>
              <w:t>Shares effectively repurchased for required employee withholding</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taxes</w:t>
            </w:r>
          </w:p>
        </w:tc>
        <w:tc>
          <w:tcPr>
            <w:tcW w:w="1040" w:type="dxa"/>
            <w:vAlign w:val="bottom"/>
          </w:tcPr>
          <w:p>
            <w:pPr>
              <w:jc w:val="right"/>
              <w:ind w:right="3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(258)</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(1)</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(880)</w:t>
            </w:r>
          </w:p>
        </w:tc>
        <w:tc>
          <w:tcPr>
            <w:tcW w:w="0" w:type="dxa"/>
            <w:vAlign w:val="bottom"/>
          </w:tcPr>
          <w:p>
            <w:pPr>
              <w:spacing w:after="0"/>
              <w:rPr>
                <w:sz w:val="1"/>
                <w:szCs w:val="1"/>
                <w:color w:val="auto"/>
              </w:rPr>
            </w:pPr>
          </w:p>
        </w:tc>
      </w:tr>
      <w:tr>
        <w:trPr>
          <w:trHeight w:val="175"/>
        </w:trPr>
        <w:tc>
          <w:tcPr>
            <w:tcW w:w="422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MARCH 31, 2018</w:t>
            </w:r>
          </w:p>
        </w:tc>
        <w:tc>
          <w:tcPr>
            <w:tcW w:w="10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20,606</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206</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255,408</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48,068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3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(25,941)</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277,741</w:t>
            </w:r>
          </w:p>
        </w:tc>
        <w:tc>
          <w:tcPr>
            <w:tcW w:w="0" w:type="dxa"/>
            <w:vAlign w:val="bottom"/>
          </w:tcPr>
          <w:p>
            <w:pPr>
              <w:spacing w:after="0"/>
              <w:rPr>
                <w:sz w:val="1"/>
                <w:szCs w:val="1"/>
                <w:color w:val="auto"/>
              </w:rPr>
            </w:pPr>
          </w:p>
        </w:tc>
      </w:tr>
      <w:tr>
        <w:trPr>
          <w:trHeight w:val="184"/>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220" w:type="dxa"/>
            <w:vAlign w:val="bottom"/>
            <w:gridSpan w:val="2"/>
          </w:tcPr>
          <w:p>
            <w:pPr>
              <w:ind w:left="220"/>
              <w:spacing w:after="0"/>
              <w:rPr>
                <w:sz w:val="20"/>
                <w:szCs w:val="20"/>
                <w:color w:val="auto"/>
              </w:rPr>
            </w:pPr>
            <w:r>
              <w:rPr>
                <w:rFonts w:ascii="Arial" w:cs="Arial" w:eastAsia="Arial" w:hAnsi="Arial"/>
                <w:sz w:val="13"/>
                <w:szCs w:val="13"/>
                <w:color w:val="auto"/>
              </w:rPr>
              <w:t>Net loss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(6,057)</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(6,057)</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Translation adjustment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(5,489)</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(5,489)</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20"/>
              <w:spacing w:after="0"/>
              <w:rPr>
                <w:sz w:val="20"/>
                <w:szCs w:val="20"/>
                <w:color w:val="auto"/>
              </w:rPr>
            </w:pPr>
            <w:r>
              <w:rPr>
                <w:rFonts w:ascii="Arial" w:cs="Arial" w:eastAsia="Arial" w:hAnsi="Arial"/>
                <w:sz w:val="13"/>
                <w:szCs w:val="13"/>
                <w:color w:val="auto"/>
              </w:rPr>
              <w:t>Derivative fair value adjustment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80" w:type="dxa"/>
            <w:vAlign w:val="bottom"/>
          </w:tcPr>
          <w:p>
            <w:pPr>
              <w:jc w:val="right"/>
              <w:ind w:right="37"/>
              <w:spacing w:after="0"/>
              <w:rPr>
                <w:sz w:val="20"/>
                <w:szCs w:val="20"/>
                <w:color w:val="auto"/>
              </w:rPr>
            </w:pPr>
            <w:r>
              <w:rPr>
                <w:rFonts w:ascii="Arial" w:cs="Arial" w:eastAsia="Arial" w:hAnsi="Arial"/>
                <w:sz w:val="13"/>
                <w:szCs w:val="13"/>
                <w:color w:val="auto"/>
              </w:rPr>
              <w:t>(263)</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(263)</w:t>
            </w:r>
          </w:p>
        </w:tc>
        <w:tc>
          <w:tcPr>
            <w:tcW w:w="0" w:type="dxa"/>
            <w:vAlign w:val="bottom"/>
          </w:tcPr>
          <w:p>
            <w:pPr>
              <w:spacing w:after="0"/>
              <w:rPr>
                <w:sz w:val="1"/>
                <w:szCs w:val="1"/>
                <w:color w:val="auto"/>
              </w:rPr>
            </w:pPr>
          </w:p>
        </w:tc>
      </w:tr>
      <w:tr>
        <w:trPr>
          <w:trHeight w:val="191"/>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Effect of retirement benefit obligations</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2"/>
          </w:tcPr>
          <w:p>
            <w:pPr>
              <w:ind w:left="480"/>
              <w:spacing w:after="0"/>
              <w:rPr>
                <w:sz w:val="20"/>
                <w:szCs w:val="20"/>
                <w:color w:val="auto"/>
              </w:rPr>
            </w:pPr>
            <w:r>
              <w:rPr>
                <w:rFonts w:ascii="Arial" w:cs="Arial" w:eastAsia="Arial" w:hAnsi="Arial"/>
                <w:sz w:val="13"/>
                <w:szCs w:val="13"/>
                <w:color w:val="auto"/>
              </w:rPr>
              <w:t>Total comprehensive loss</w:t>
            </w:r>
          </w:p>
        </w:tc>
        <w:tc>
          <w:tcPr>
            <w:tcW w:w="10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8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(11,792)</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Filament net equity issuance costs adjustment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Restricted shares issued to directors</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54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Stock compensation expense</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921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921</w:t>
            </w:r>
          </w:p>
        </w:tc>
        <w:tc>
          <w:tcPr>
            <w:tcW w:w="0" w:type="dxa"/>
            <w:vAlign w:val="bottom"/>
          </w:tcPr>
          <w:p>
            <w:pPr>
              <w:spacing w:after="0"/>
              <w:rPr>
                <w:sz w:val="1"/>
                <w:szCs w:val="1"/>
                <w:color w:val="auto"/>
              </w:rPr>
            </w:pPr>
          </w:p>
        </w:tc>
      </w:tr>
      <w:tr>
        <w:trPr>
          <w:trHeight w:val="15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effectively repurchased for required employee withholding</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taxes</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(140)</w:t>
            </w:r>
          </w:p>
        </w:tc>
        <w:tc>
          <w:tcPr>
            <w:tcW w:w="0" w:type="dxa"/>
            <w:vAlign w:val="bottom"/>
          </w:tcPr>
          <w:p>
            <w:pPr>
              <w:spacing w:after="0"/>
              <w:rPr>
                <w:sz w:val="1"/>
                <w:szCs w:val="1"/>
                <w:color w:val="auto"/>
              </w:rPr>
            </w:pP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Dividends (1)</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(885)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89"/>
        </w:trPr>
        <w:tc>
          <w:tcPr>
            <w:tcW w:w="42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2018</w:t>
            </w:r>
          </w:p>
        </w:tc>
        <w:tc>
          <w:tcPr>
            <w:tcW w:w="10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20,741</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207</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256,182</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41,126</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3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(31,676)</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265,839</w:t>
            </w:r>
          </w:p>
        </w:tc>
        <w:tc>
          <w:tcPr>
            <w:tcW w:w="0" w:type="dxa"/>
            <w:vAlign w:val="bottom"/>
          </w:tcPr>
          <w:p>
            <w:pPr>
              <w:spacing w:after="0"/>
              <w:rPr>
                <w:sz w:val="1"/>
                <w:szCs w:val="1"/>
                <w:color w:val="auto"/>
              </w:rPr>
            </w:pPr>
          </w:p>
        </w:tc>
      </w:tr>
      <w:tr>
        <w:trPr>
          <w:trHeight w:val="168"/>
        </w:trPr>
        <w:tc>
          <w:tcPr>
            <w:tcW w:w="4220" w:type="dxa"/>
            <w:vAlign w:val="bottom"/>
            <w:gridSpan w:val="2"/>
          </w:tcPr>
          <w:p>
            <w:pPr>
              <w:ind w:left="220"/>
              <w:spacing w:after="0"/>
              <w:rPr>
                <w:sz w:val="20"/>
                <w:szCs w:val="20"/>
                <w:color w:val="auto"/>
              </w:rPr>
            </w:pPr>
            <w:r>
              <w:rPr>
                <w:rFonts w:ascii="Arial" w:cs="Arial" w:eastAsia="Arial" w:hAnsi="Arial"/>
                <w:sz w:val="13"/>
                <w:szCs w:val="13"/>
                <w:color w:val="auto"/>
              </w:rPr>
              <w:t>Comprehensive income:</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income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5,948</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5,948</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20"/>
              <w:spacing w:after="0"/>
              <w:rPr>
                <w:sz w:val="20"/>
                <w:szCs w:val="20"/>
                <w:color w:val="auto"/>
              </w:rPr>
            </w:pPr>
            <w:r>
              <w:rPr>
                <w:rFonts w:ascii="Arial" w:cs="Arial" w:eastAsia="Arial" w:hAnsi="Arial"/>
                <w:sz w:val="13"/>
                <w:szCs w:val="13"/>
                <w:color w:val="auto"/>
              </w:rPr>
              <w:t>Translation adjustment</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380" w:type="dxa"/>
            <w:vAlign w:val="bottom"/>
          </w:tcPr>
          <w:p>
            <w:pPr>
              <w:jc w:val="right"/>
              <w:ind w:right="77"/>
              <w:spacing w:after="0"/>
              <w:rPr>
                <w:sz w:val="20"/>
                <w:szCs w:val="20"/>
                <w:color w:val="auto"/>
              </w:rPr>
            </w:pPr>
            <w:r>
              <w:rPr>
                <w:rFonts w:ascii="Arial" w:cs="Arial" w:eastAsia="Arial" w:hAnsi="Arial"/>
                <w:sz w:val="13"/>
                <w:szCs w:val="13"/>
                <w:color w:val="auto"/>
              </w:rPr>
              <w:t>124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124</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Derivative fair value adjustment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3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(381)</w:t>
            </w:r>
          </w:p>
        </w:tc>
        <w:tc>
          <w:tcPr>
            <w:tcW w:w="0" w:type="dxa"/>
            <w:vAlign w:val="bottom"/>
          </w:tcPr>
          <w:p>
            <w:pPr>
              <w:spacing w:after="0"/>
              <w:rPr>
                <w:sz w:val="1"/>
                <w:szCs w:val="1"/>
                <w:color w:val="auto"/>
              </w:rPr>
            </w:pPr>
          </w:p>
        </w:tc>
      </w:tr>
      <w:tr>
        <w:trPr>
          <w:trHeight w:val="183"/>
        </w:trPr>
        <w:tc>
          <w:tcPr>
            <w:tcW w:w="4220" w:type="dxa"/>
            <w:vAlign w:val="bottom"/>
            <w:tcBorders>
              <w:bottom w:val="single" w:sz="8" w:color="CCEEFF"/>
            </w:tcBorders>
            <w:gridSpan w:val="2"/>
          </w:tcPr>
          <w:p>
            <w:pPr>
              <w:ind w:left="240"/>
              <w:spacing w:after="0"/>
              <w:rPr>
                <w:sz w:val="20"/>
                <w:szCs w:val="20"/>
                <w:color w:val="auto"/>
              </w:rPr>
            </w:pPr>
            <w:r>
              <w:rPr>
                <w:rFonts w:ascii="Arial" w:cs="Arial" w:eastAsia="Arial" w:hAnsi="Arial"/>
                <w:sz w:val="13"/>
                <w:szCs w:val="13"/>
                <w:color w:val="auto"/>
              </w:rPr>
              <w:t>Effect of retirement benefit obligations</w:t>
            </w:r>
          </w:p>
        </w:tc>
        <w:tc>
          <w:tcPr>
            <w:tcW w:w="114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6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5"/>
                <w:szCs w:val="15"/>
                <w:color w:val="auto"/>
              </w:rPr>
            </w:pPr>
          </w:p>
        </w:tc>
        <w:tc>
          <w:tcPr>
            <w:tcW w:w="138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color w:val="auto"/>
              </w:rPr>
              <w:t>19</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83"/>
        </w:trPr>
        <w:tc>
          <w:tcPr>
            <w:tcW w:w="4220" w:type="dxa"/>
            <w:vAlign w:val="bottom"/>
            <w:gridSpan w:val="2"/>
            <w:shd w:val="clear" w:color="auto" w:fill="CCEEFF"/>
          </w:tcPr>
          <w:p>
            <w:pPr>
              <w:ind w:left="460"/>
              <w:spacing w:after="0"/>
              <w:rPr>
                <w:sz w:val="20"/>
                <w:szCs w:val="20"/>
                <w:color w:val="auto"/>
              </w:rPr>
            </w:pPr>
            <w:r>
              <w:rPr>
                <w:rFonts w:ascii="Arial" w:cs="Arial" w:eastAsia="Arial" w:hAnsi="Arial"/>
                <w:sz w:val="13"/>
                <w:szCs w:val="13"/>
                <w:color w:val="auto"/>
              </w:rPr>
              <w:t>Total comprehensive income</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5,710</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40" w:type="dxa"/>
            <w:vAlign w:val="bottom"/>
          </w:tcPr>
          <w:p>
            <w:pPr>
              <w:jc w:val="right"/>
              <w:ind w:right="77"/>
              <w:spacing w:after="0"/>
              <w:rPr>
                <w:sz w:val="20"/>
                <w:szCs w:val="20"/>
                <w:color w:val="auto"/>
              </w:rPr>
            </w:pPr>
            <w:r>
              <w:rPr>
                <w:rFonts w:ascii="Arial" w:cs="Arial" w:eastAsia="Arial" w:hAnsi="Arial"/>
                <w:sz w:val="13"/>
                <w:szCs w:val="13"/>
                <w:color w:val="auto"/>
              </w:rPr>
              <w:t>25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97"/>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compensation expense</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1,268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1,268</w:t>
            </w:r>
          </w:p>
        </w:tc>
        <w:tc>
          <w:tcPr>
            <w:tcW w:w="0" w:type="dxa"/>
            <w:vAlign w:val="bottom"/>
          </w:tcPr>
          <w:p>
            <w:pPr>
              <w:spacing w:after="0"/>
              <w:rPr>
                <w:sz w:val="1"/>
                <w:szCs w:val="1"/>
                <w:color w:val="auto"/>
              </w:rPr>
            </w:pPr>
          </w:p>
        </w:tc>
      </w:tr>
      <w:tr>
        <w:trPr>
          <w:trHeight w:val="181"/>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Net exercise of stock options</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ind w:right="77"/>
              <w:spacing w:after="0"/>
              <w:rPr>
                <w:sz w:val="20"/>
                <w:szCs w:val="20"/>
                <w:color w:val="auto"/>
              </w:rPr>
            </w:pPr>
            <w:r>
              <w:rPr>
                <w:rFonts w:ascii="Arial" w:cs="Arial" w:eastAsia="Arial" w:hAnsi="Arial"/>
                <w:sz w:val="13"/>
                <w:szCs w:val="13"/>
                <w:color w:val="auto"/>
              </w:rPr>
              <w:t>142</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77"/>
              <w:spacing w:after="0"/>
              <w:rPr>
                <w:sz w:val="20"/>
                <w:szCs w:val="20"/>
                <w:color w:val="auto"/>
              </w:rPr>
            </w:pPr>
            <w:r>
              <w:rPr>
                <w:rFonts w:ascii="Arial" w:cs="Arial" w:eastAsia="Arial" w:hAnsi="Arial"/>
                <w:sz w:val="13"/>
                <w:szCs w:val="13"/>
                <w:color w:val="auto"/>
              </w:rPr>
              <w:t>142</w:t>
            </w:r>
          </w:p>
        </w:tc>
        <w:tc>
          <w:tcPr>
            <w:tcW w:w="0" w:type="dxa"/>
            <w:vAlign w:val="bottom"/>
          </w:tcPr>
          <w:p>
            <w:pPr>
              <w:spacing w:after="0"/>
              <w:rPr>
                <w:sz w:val="1"/>
                <w:szCs w:val="1"/>
                <w:color w:val="auto"/>
              </w:rPr>
            </w:pPr>
          </w:p>
        </w:tc>
      </w:tr>
      <w:tr>
        <w:trPr>
          <w:trHeight w:val="15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Shares effectively repurchased for required employee withholding</w:t>
            </w: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taxes</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3"/>
                <w:szCs w:val="13"/>
                <w:color w:val="auto"/>
              </w:rPr>
              <w:t>Dividends (1)</w:t>
            </w:r>
          </w:p>
        </w:tc>
        <w:tc>
          <w:tcPr>
            <w:tcW w:w="11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860" w:type="dxa"/>
            <w:vAlign w:val="bottom"/>
          </w:tcPr>
          <w:p>
            <w:pPr>
              <w:jc w:val="right"/>
              <w:ind w:right="37"/>
              <w:spacing w:after="0"/>
              <w:rPr>
                <w:sz w:val="20"/>
                <w:szCs w:val="20"/>
                <w:color w:val="auto"/>
              </w:rPr>
            </w:pPr>
            <w:r>
              <w:rPr>
                <w:rFonts w:ascii="Arial" w:cs="Arial" w:eastAsia="Arial" w:hAnsi="Arial"/>
                <w:sz w:val="13"/>
                <w:szCs w:val="13"/>
                <w:color w:val="auto"/>
              </w:rPr>
              <w:t>(905)</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(905)</w:t>
            </w:r>
          </w:p>
        </w:tc>
        <w:tc>
          <w:tcPr>
            <w:tcW w:w="0" w:type="dxa"/>
            <w:vAlign w:val="bottom"/>
          </w:tcPr>
          <w:p>
            <w:pPr>
              <w:spacing w:after="0"/>
              <w:rPr>
                <w:sz w:val="1"/>
                <w:szCs w:val="1"/>
                <w:color w:val="auto"/>
              </w:rPr>
            </w:pPr>
          </w:p>
        </w:tc>
      </w:tr>
      <w:tr>
        <w:trPr>
          <w:trHeight w:val="214"/>
        </w:trPr>
        <w:tc>
          <w:tcPr>
            <w:tcW w:w="42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SEPTEMBER 30, 2018</w:t>
            </w:r>
          </w:p>
        </w:tc>
        <w:tc>
          <w:tcPr>
            <w:tcW w:w="10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20,762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257,547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46,169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13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(31,914)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272,010</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4"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4"/>
          <w:szCs w:val="14"/>
          <w:color w:val="auto"/>
        </w:rPr>
        <w:t>Cash dividends declared per share of common stock were $0.1275 and $0.1275 in the nine months ended September 30, 2018 and 2019, respectively.</w:t>
      </w:r>
    </w:p>
    <w:p>
      <w:pPr>
        <w:spacing w:after="0" w:line="200" w:lineRule="exact"/>
        <w:rPr>
          <w:rFonts w:ascii="Arial" w:cs="Arial" w:eastAsia="Arial" w:hAnsi="Arial"/>
          <w:sz w:val="18"/>
          <w:szCs w:val="18"/>
          <w:color w:val="auto"/>
        </w:rPr>
      </w:pPr>
    </w:p>
    <w:p>
      <w:pPr>
        <w:spacing w:after="0" w:line="351" w:lineRule="exact"/>
        <w:rPr>
          <w:rFonts w:ascii="Arial" w:cs="Arial" w:eastAsia="Arial" w:hAnsi="Arial"/>
          <w:sz w:val="18"/>
          <w:szCs w:val="18"/>
          <w:color w:val="auto"/>
        </w:rPr>
      </w:pPr>
    </w:p>
    <w:p>
      <w:pPr>
        <w:ind w:left="5660" w:hanging="96"/>
        <w:spacing w:after="0"/>
        <w:tabs>
          <w:tab w:leader="none" w:pos="5660" w:val="left"/>
        </w:tabs>
        <w:numPr>
          <w:ilvl w:val="1"/>
          <w:numId w:val="3"/>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3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5"/>
          </w:tcPr>
          <w:p>
            <w:pPr>
              <w:ind w:left="740"/>
              <w:spacing w:after="0"/>
              <w:rPr>
                <w:sz w:val="20"/>
                <w:szCs w:val="20"/>
                <w:color w:val="auto"/>
              </w:rPr>
            </w:pPr>
            <w:r>
              <w:rPr>
                <w:rFonts w:ascii="Arial" w:cs="Arial" w:eastAsia="Arial" w:hAnsi="Arial"/>
                <w:sz w:val="13"/>
                <w:szCs w:val="13"/>
                <w:b w:val="1"/>
                <w:bCs w:val="1"/>
                <w:color w:val="auto"/>
              </w:rPr>
              <w:t>Common stock</w:t>
            </w:r>
          </w:p>
        </w:tc>
        <w:tc>
          <w:tcPr>
            <w:tcW w:w="20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Paid-in</w:t>
            </w:r>
          </w:p>
        </w:tc>
        <w:tc>
          <w:tcPr>
            <w:tcW w:w="200" w:type="dxa"/>
            <w:vAlign w:val="bottom"/>
          </w:tcPr>
          <w:p>
            <w:pPr>
              <w:spacing w:after="0"/>
              <w:rPr>
                <w:sz w:val="14"/>
                <w:szCs w:val="14"/>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Retained</w:t>
            </w:r>
          </w:p>
        </w:tc>
        <w:tc>
          <w:tcPr>
            <w:tcW w:w="18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Accumulated other</w:t>
            </w: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3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4"/>
        </w:trPr>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Nine Months Ended September 30, 2019</w:t>
            </w:r>
          </w:p>
        </w:tc>
        <w:tc>
          <w:tcPr>
            <w:tcW w:w="3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Shares</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Amount</w:t>
            </w: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earnings</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comprehensive loss</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2018</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20,764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208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258,637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55,264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(34,616)</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279,493</w:t>
            </w:r>
          </w:p>
        </w:tc>
        <w:tc>
          <w:tcPr>
            <w:tcW w:w="0" w:type="dxa"/>
            <w:vAlign w:val="bottom"/>
          </w:tcPr>
          <w:p>
            <w:pPr>
              <w:spacing w:after="0"/>
              <w:rPr>
                <w:sz w:val="1"/>
                <w:szCs w:val="1"/>
                <w:color w:val="auto"/>
              </w:rPr>
            </w:pPr>
          </w:p>
        </w:tc>
      </w:tr>
      <w:tr>
        <w:trPr>
          <w:trHeight w:val="168"/>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Comprehensive loss: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(4,867)</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Translation adjustment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1,306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1,306</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change in cash flow hedges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596</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596</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Effect of retirement benefit obligations</w:t>
            </w:r>
          </w:p>
        </w:tc>
        <w:tc>
          <w:tcPr>
            <w:tcW w:w="11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3"/>
        </w:trPr>
        <w:tc>
          <w:tcPr>
            <w:tcW w:w="40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Total comprehensive loss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(2,952)</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169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 compensation expense</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Net exercise of stock options</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19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7"/>
              </w:rPr>
              <w:t>Shares effectively repurchased for required employee withholding taxes</w:t>
            </w: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83"/>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Dividends (1)</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(898)</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(898)</w:t>
            </w:r>
          </w:p>
        </w:tc>
        <w:tc>
          <w:tcPr>
            <w:tcW w:w="0" w:type="dxa"/>
            <w:vAlign w:val="bottom"/>
          </w:tcPr>
          <w:p>
            <w:pPr>
              <w:spacing w:after="0"/>
              <w:rPr>
                <w:sz w:val="1"/>
                <w:szCs w:val="1"/>
                <w:color w:val="auto"/>
              </w:rPr>
            </w:pPr>
          </w:p>
        </w:tc>
      </w:tr>
      <w:tr>
        <w:trPr>
          <w:trHeight w:val="189"/>
        </w:trPr>
        <w:tc>
          <w:tcPr>
            <w:tcW w:w="40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2019</w:t>
            </w:r>
          </w:p>
        </w:tc>
        <w:tc>
          <w:tcPr>
            <w:tcW w:w="10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20,927</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209</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259,304</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49,499</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40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(32,701)</w:t>
            </w: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276,311</w:t>
            </w:r>
          </w:p>
        </w:tc>
        <w:tc>
          <w:tcPr>
            <w:tcW w:w="0" w:type="dxa"/>
            <w:vAlign w:val="bottom"/>
          </w:tcPr>
          <w:p>
            <w:pPr>
              <w:spacing w:after="0"/>
              <w:rPr>
                <w:sz w:val="1"/>
                <w:szCs w:val="1"/>
                <w:color w:val="auto"/>
              </w:rPr>
            </w:pPr>
          </w:p>
        </w:tc>
      </w:tr>
      <w:tr>
        <w:trPr>
          <w:trHeight w:val="168"/>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Comprehensive loss:</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loss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(11,513)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(11,513)</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Translation adjustment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0" w:type="dxa"/>
            <w:vAlign w:val="bottom"/>
          </w:tcPr>
          <w:p>
            <w:pPr>
              <w:jc w:val="right"/>
              <w:ind w:right="57"/>
              <w:spacing w:after="0"/>
              <w:rPr>
                <w:sz w:val="20"/>
                <w:szCs w:val="20"/>
                <w:color w:val="auto"/>
              </w:rPr>
            </w:pPr>
            <w:r>
              <w:rPr>
                <w:rFonts w:ascii="Arial" w:cs="Arial" w:eastAsia="Arial" w:hAnsi="Arial"/>
                <w:sz w:val="13"/>
                <w:szCs w:val="13"/>
                <w:color w:val="auto"/>
              </w:rPr>
              <w:t>(2,953)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(2,953)</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Net change in cash flow hedges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982</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gridSpan w:val="2"/>
          </w:tcPr>
          <w:p>
            <w:pPr>
              <w:ind w:left="220"/>
              <w:spacing w:after="0"/>
              <w:rPr>
                <w:sz w:val="20"/>
                <w:szCs w:val="20"/>
                <w:color w:val="auto"/>
              </w:rPr>
            </w:pPr>
            <w:r>
              <w:rPr>
                <w:rFonts w:ascii="Arial" w:cs="Arial" w:eastAsia="Arial" w:hAnsi="Arial"/>
                <w:sz w:val="13"/>
                <w:szCs w:val="13"/>
                <w:color w:val="auto"/>
              </w:rPr>
              <w:t>Effect of retirement benefit obligations</w:t>
            </w:r>
          </w:p>
        </w:tc>
        <w:tc>
          <w:tcPr>
            <w:tcW w:w="11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5"/>
                <w:szCs w:val="15"/>
                <w:color w:val="auto"/>
              </w:rPr>
            </w:pPr>
          </w:p>
        </w:tc>
        <w:tc>
          <w:tcPr>
            <w:tcW w:w="1000" w:type="dxa"/>
            <w:vAlign w:val="bottom"/>
            <w:tcBorders>
              <w:bottom w:val="single" w:sz="8" w:color="CCEEFF"/>
            </w:tcBorders>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jc w:val="right"/>
              <w:ind w:right="77"/>
              <w:spacing w:after="0"/>
              <w:rPr>
                <w:sz w:val="20"/>
                <w:szCs w:val="20"/>
                <w:color w:val="auto"/>
              </w:rPr>
            </w:pPr>
            <w:r>
              <w:rPr>
                <w:rFonts w:ascii="Arial" w:cs="Arial" w:eastAsia="Arial" w:hAnsi="Arial"/>
                <w:sz w:val="13"/>
                <w:szCs w:val="13"/>
                <w:color w:val="auto"/>
              </w:rPr>
              <w:t>12</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83"/>
        </w:trPr>
        <w:tc>
          <w:tcPr>
            <w:tcW w:w="40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Total comprehensive loss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(13,472)</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Restricted shares issued to directors</w:t>
            </w:r>
          </w:p>
        </w:tc>
        <w:tc>
          <w:tcPr>
            <w:tcW w:w="1080" w:type="dxa"/>
            <w:vAlign w:val="bottom"/>
          </w:tcPr>
          <w:p>
            <w:pPr>
              <w:jc w:val="right"/>
              <w:ind w:right="77"/>
              <w:spacing w:after="0"/>
              <w:rPr>
                <w:sz w:val="20"/>
                <w:szCs w:val="20"/>
                <w:color w:val="auto"/>
              </w:rPr>
            </w:pPr>
            <w:r>
              <w:rPr>
                <w:rFonts w:ascii="Arial" w:cs="Arial" w:eastAsia="Arial" w:hAnsi="Arial"/>
                <w:sz w:val="13"/>
                <w:szCs w:val="13"/>
                <w:color w:val="auto"/>
              </w:rPr>
              <w:t>61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250</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Stock compensation expense</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1,186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1,186</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exercise of stock options</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133</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w w:val="97"/>
              </w:rPr>
              <w:t>Shares effectively repurchased for required employee withholding taxes</w:t>
            </w: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57"/>
              <w:spacing w:after="0"/>
              <w:rPr>
                <w:sz w:val="20"/>
                <w:szCs w:val="20"/>
                <w:color w:val="auto"/>
              </w:rPr>
            </w:pPr>
            <w:r>
              <w:rPr>
                <w:rFonts w:ascii="Arial" w:cs="Arial" w:eastAsia="Arial" w:hAnsi="Arial"/>
                <w:sz w:val="13"/>
                <w:szCs w:val="13"/>
                <w:color w:val="auto"/>
              </w:rPr>
              <w:t>(158)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(158)</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(896)</w:t>
            </w:r>
          </w:p>
        </w:tc>
        <w:tc>
          <w:tcPr>
            <w:tcW w:w="0" w:type="dxa"/>
            <w:vAlign w:val="bottom"/>
          </w:tcPr>
          <w:p>
            <w:pPr>
              <w:spacing w:after="0"/>
              <w:rPr>
                <w:sz w:val="1"/>
                <w:szCs w:val="1"/>
                <w:color w:val="auto"/>
              </w:rPr>
            </w:pPr>
          </w:p>
        </w:tc>
      </w:tr>
      <w:tr>
        <w:trPr>
          <w:trHeight w:val="175"/>
        </w:trPr>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JUNE 30, 2019</w:t>
            </w:r>
          </w:p>
        </w:tc>
        <w:tc>
          <w:tcPr>
            <w:tcW w:w="10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21,255</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260,461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37,090</w:t>
            </w: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rPr>
              <w:t>(34,660)</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color w:val="auto"/>
              </w:rPr>
              <w:t>263,104</w:t>
            </w:r>
          </w:p>
        </w:tc>
        <w:tc>
          <w:tcPr>
            <w:tcW w:w="0" w:type="dxa"/>
            <w:vAlign w:val="bottom"/>
          </w:tcPr>
          <w:p>
            <w:pPr>
              <w:spacing w:after="0"/>
              <w:rPr>
                <w:sz w:val="1"/>
                <w:szCs w:val="1"/>
                <w:color w:val="auto"/>
              </w:rPr>
            </w:pPr>
          </w:p>
        </w:tc>
      </w:tr>
      <w:tr>
        <w:trPr>
          <w:trHeight w:val="184"/>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Comprehensive loss:</w:t>
            </w:r>
          </w:p>
        </w:tc>
        <w:tc>
          <w:tcPr>
            <w:tcW w:w="10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Net loss</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(13,519)</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(13,519)</w:t>
            </w:r>
          </w:p>
        </w:tc>
        <w:tc>
          <w:tcPr>
            <w:tcW w:w="0" w:type="dxa"/>
            <w:vAlign w:val="bottom"/>
          </w:tcPr>
          <w:p>
            <w:pPr>
              <w:spacing w:after="0"/>
              <w:rPr>
                <w:sz w:val="1"/>
                <w:szCs w:val="1"/>
                <w:color w:val="auto"/>
              </w:rPr>
            </w:pPr>
          </w:p>
        </w:tc>
      </w:tr>
      <w:tr>
        <w:trPr>
          <w:trHeight w:val="197"/>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Translation adjustment</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(2,385)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(2,385)</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20"/>
              <w:spacing w:after="0"/>
              <w:rPr>
                <w:sz w:val="20"/>
                <w:szCs w:val="20"/>
                <w:color w:val="auto"/>
              </w:rPr>
            </w:pPr>
            <w:r>
              <w:rPr>
                <w:rFonts w:ascii="Arial" w:cs="Arial" w:eastAsia="Arial" w:hAnsi="Arial"/>
                <w:sz w:val="13"/>
                <w:szCs w:val="13"/>
                <w:color w:val="auto"/>
              </w:rPr>
              <w:t>Derivative fair value adjustment</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400" w:type="dxa"/>
            <w:vAlign w:val="bottom"/>
          </w:tcPr>
          <w:p>
            <w:pPr>
              <w:jc w:val="right"/>
              <w:ind w:right="77"/>
              <w:spacing w:after="0"/>
              <w:rPr>
                <w:sz w:val="20"/>
                <w:szCs w:val="20"/>
                <w:color w:val="auto"/>
              </w:rPr>
            </w:pPr>
            <w:r>
              <w:rPr>
                <w:rFonts w:ascii="Arial" w:cs="Arial" w:eastAsia="Arial" w:hAnsi="Arial"/>
                <w:sz w:val="13"/>
                <w:szCs w:val="13"/>
                <w:color w:val="auto"/>
              </w:rPr>
              <w:t>151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Effect of retirement benefit obligations</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83"/>
        </w:trPr>
        <w:tc>
          <w:tcPr>
            <w:tcW w:w="4060" w:type="dxa"/>
            <w:vAlign w:val="bottom"/>
            <w:tcBorders>
              <w:bottom w:val="single" w:sz="8" w:color="CCEEFF"/>
            </w:tcBorders>
            <w:gridSpan w:val="2"/>
          </w:tcPr>
          <w:p>
            <w:pPr>
              <w:ind w:left="480"/>
              <w:spacing w:after="0"/>
              <w:rPr>
                <w:sz w:val="20"/>
                <w:szCs w:val="20"/>
                <w:color w:val="auto"/>
              </w:rPr>
            </w:pPr>
            <w:r>
              <w:rPr>
                <w:rFonts w:ascii="Arial" w:cs="Arial" w:eastAsia="Arial" w:hAnsi="Arial"/>
                <w:sz w:val="13"/>
                <w:szCs w:val="13"/>
                <w:color w:val="auto"/>
              </w:rPr>
              <w:t>Total comprehensive loss</w:t>
            </w:r>
          </w:p>
        </w:tc>
        <w:tc>
          <w:tcPr>
            <w:tcW w:w="10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(15,740)</w:t>
            </w:r>
          </w:p>
        </w:tc>
        <w:tc>
          <w:tcPr>
            <w:tcW w:w="0" w:type="dxa"/>
            <w:vAlign w:val="bottom"/>
          </w:tcPr>
          <w:p>
            <w:pPr>
              <w:spacing w:after="0"/>
              <w:rPr>
                <w:sz w:val="1"/>
                <w:szCs w:val="1"/>
                <w:color w:val="auto"/>
              </w:rPr>
            </w:pPr>
          </w:p>
        </w:tc>
      </w:tr>
      <w:tr>
        <w:trPr>
          <w:trHeight w:val="189"/>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issuance of restricted shares to employees</w:t>
            </w:r>
          </w:p>
        </w:tc>
        <w:tc>
          <w:tcPr>
            <w:tcW w:w="10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4060" w:type="dxa"/>
            <w:vAlign w:val="bottom"/>
            <w:gridSpan w:val="2"/>
          </w:tcPr>
          <w:p>
            <w:pPr>
              <w:ind w:left="20"/>
              <w:spacing w:after="0"/>
              <w:rPr>
                <w:sz w:val="20"/>
                <w:szCs w:val="20"/>
                <w:color w:val="auto"/>
              </w:rPr>
            </w:pPr>
            <w:r>
              <w:rPr>
                <w:rFonts w:ascii="Arial" w:cs="Arial" w:eastAsia="Arial" w:hAnsi="Arial"/>
                <w:sz w:val="13"/>
                <w:szCs w:val="13"/>
                <w:color w:val="auto"/>
              </w:rPr>
              <w:t>Stock compensation expense</w:t>
            </w:r>
          </w:p>
        </w:tc>
        <w:tc>
          <w:tcPr>
            <w:tcW w:w="11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80" w:type="dxa"/>
            <w:vAlign w:val="bottom"/>
          </w:tcPr>
          <w:p>
            <w:pPr>
              <w:jc w:val="right"/>
              <w:ind w:right="77"/>
              <w:spacing w:after="0"/>
              <w:rPr>
                <w:sz w:val="20"/>
                <w:szCs w:val="20"/>
                <w:color w:val="auto"/>
              </w:rPr>
            </w:pPr>
            <w:r>
              <w:rPr>
                <w:rFonts w:ascii="Arial" w:cs="Arial" w:eastAsia="Arial" w:hAnsi="Arial"/>
                <w:sz w:val="13"/>
                <w:szCs w:val="13"/>
                <w:color w:val="auto"/>
              </w:rPr>
              <w:t>1,498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1,498</w:t>
            </w:r>
          </w:p>
        </w:tc>
        <w:tc>
          <w:tcPr>
            <w:tcW w:w="0" w:type="dxa"/>
            <w:vAlign w:val="bottom"/>
          </w:tcPr>
          <w:p>
            <w:pPr>
              <w:spacing w:after="0"/>
              <w:rPr>
                <w:sz w:val="1"/>
                <w:szCs w:val="1"/>
                <w:color w:val="auto"/>
              </w:rPr>
            </w:pPr>
          </w:p>
        </w:tc>
      </w:tr>
      <w:tr>
        <w:trPr>
          <w:trHeight w:val="191"/>
        </w:trPr>
        <w:tc>
          <w:tcPr>
            <w:tcW w:w="40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(1)</w:t>
            </w: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(937)</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(937)</w:t>
            </w:r>
          </w:p>
        </w:tc>
        <w:tc>
          <w:tcPr>
            <w:tcW w:w="0" w:type="dxa"/>
            <w:vAlign w:val="bottom"/>
          </w:tcPr>
          <w:p>
            <w:pPr>
              <w:spacing w:after="0"/>
              <w:rPr>
                <w:sz w:val="1"/>
                <w:szCs w:val="1"/>
                <w:color w:val="auto"/>
              </w:rPr>
            </w:pPr>
          </w:p>
        </w:tc>
      </w:tr>
      <w:tr>
        <w:trPr>
          <w:trHeight w:val="189"/>
        </w:trPr>
        <w:tc>
          <w:tcPr>
            <w:tcW w:w="4060" w:type="dxa"/>
            <w:vAlign w:val="bottom"/>
            <w:gridSpan w:val="2"/>
          </w:tcPr>
          <w:p>
            <w:pPr>
              <w:ind w:left="20"/>
              <w:spacing w:after="0"/>
              <w:rPr>
                <w:sz w:val="20"/>
                <w:szCs w:val="20"/>
                <w:color w:val="auto"/>
              </w:rPr>
            </w:pPr>
            <w:r>
              <w:rPr>
                <w:rFonts w:ascii="Arial" w:cs="Arial" w:eastAsia="Arial" w:hAnsi="Arial"/>
                <w:sz w:val="13"/>
                <w:szCs w:val="13"/>
                <w:b w:val="1"/>
                <w:bCs w:val="1"/>
                <w:color w:val="auto"/>
              </w:rPr>
              <w:t>BALANCE AT SEPTEMBER 30, 2019</w:t>
            </w:r>
          </w:p>
        </w:tc>
        <w:tc>
          <w:tcPr>
            <w:tcW w:w="10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21,256</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213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261,959</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8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22,634</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14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rPr>
              <w:t>(36,881)</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247,925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Cash dividends declared per share of common stock were $0.1275 and $0.1275 in the nine months ended September 30, 2018 and 2019, respectively.</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5" w:right="29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49"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September 30,</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400" w:type="dxa"/>
            <w:vAlign w:val="bottom"/>
            <w:tcBorders>
              <w:top w:val="single" w:sz="8" w:color="CCEEFF"/>
              <w:bottom w:val="single" w:sz="8" w:color="CCEEFF"/>
            </w:tcBorders>
            <w:shd w:val="clear" w:color="auto" w:fill="CCEEFF"/>
          </w:tcPr>
          <w:p>
            <w:pPr>
              <w:spacing w:after="0"/>
              <w:rPr>
                <w:sz w:val="23"/>
                <w:szCs w:val="23"/>
                <w:color w:val="auto"/>
              </w:rPr>
            </w:pPr>
          </w:p>
        </w:tc>
        <w:tc>
          <w:tcPr>
            <w:tcW w:w="32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shd w:val="clear" w:color="auto" w:fill="CCEEFF"/>
          </w:tcPr>
          <w:p>
            <w:pPr>
              <w:spacing w:after="0"/>
              <w:rPr>
                <w:sz w:val="23"/>
                <w:szCs w:val="23"/>
                <w:color w:val="auto"/>
              </w:rPr>
            </w:pPr>
          </w:p>
        </w:tc>
        <w:tc>
          <w:tcPr>
            <w:tcW w:w="340" w:type="dxa"/>
            <w:vAlign w:val="bottom"/>
            <w:tcBorders>
              <w:top w:val="single" w:sz="8" w:color="auto"/>
              <w:bottom w:val="single" w:sz="8" w:color="CCEEFF"/>
            </w:tcBorders>
            <w:shd w:val="clear" w:color="auto" w:fill="CCEEFF"/>
          </w:tcPr>
          <w:p>
            <w:pPr>
              <w:spacing w:after="0"/>
              <w:rPr>
                <w:sz w:val="23"/>
                <w:szCs w:val="23"/>
                <w:color w:val="auto"/>
              </w:rPr>
            </w:pPr>
          </w:p>
        </w:tc>
        <w:tc>
          <w:tcPr>
            <w:tcW w:w="1120" w:type="dxa"/>
            <w:vAlign w:val="bottom"/>
            <w:tcBorders>
              <w:top w:val="single" w:sz="8" w:color="auto"/>
              <w:bottom w:val="single" w:sz="8" w:color="CCEEFF"/>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2018</w:t>
            </w:r>
          </w:p>
        </w:tc>
      </w:tr>
      <w:tr>
        <w:trPr>
          <w:trHeight w:val="217"/>
        </w:trPr>
        <w:tc>
          <w:tcPr>
            <w:tcW w:w="8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32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CCEEFF"/>
            </w:tcBorders>
            <w:shd w:val="clear" w:color="auto" w:fill="CCEEFF"/>
          </w:tcPr>
          <w:p>
            <w:pPr>
              <w:spacing w:after="0"/>
              <w:rPr>
                <w:sz w:val="18"/>
                <w:szCs w:val="18"/>
                <w:color w:val="auto"/>
              </w:rPr>
            </w:pPr>
          </w:p>
        </w:tc>
        <w:tc>
          <w:tcPr>
            <w:tcW w:w="1120" w:type="dxa"/>
            <w:vAlign w:val="bottom"/>
            <w:tcBorders>
              <w:top w:val="single" w:sz="8" w:color="auto"/>
              <w:bottom w:val="single" w:sz="8" w:color="CCEEFF"/>
            </w:tcBorders>
            <w:shd w:val="clear" w:color="auto" w:fill="CCEEFF"/>
          </w:tcPr>
          <w:p>
            <w:pPr>
              <w:spacing w:after="0"/>
              <w:rPr>
                <w:sz w:val="18"/>
                <w:szCs w:val="18"/>
                <w:color w:val="auto"/>
              </w:rPr>
            </w:pPr>
          </w:p>
        </w:tc>
      </w:tr>
      <w:tr>
        <w:trPr>
          <w:trHeight w:val="254"/>
        </w:trPr>
        <w:tc>
          <w:tcPr>
            <w:tcW w:w="8400" w:type="dxa"/>
            <w:vAlign w:val="bottom"/>
          </w:tcPr>
          <w:p>
            <w:pPr>
              <w:ind w:left="360"/>
              <w:spacing w:after="0"/>
              <w:rPr>
                <w:sz w:val="20"/>
                <w:szCs w:val="20"/>
                <w:color w:val="auto"/>
              </w:rPr>
            </w:pPr>
            <w:r>
              <w:rPr>
                <w:rFonts w:ascii="Arial" w:cs="Arial" w:eastAsia="Arial" w:hAnsi="Arial"/>
                <w:sz w:val="16"/>
                <w:szCs w:val="16"/>
                <w:color w:val="auto"/>
              </w:rPr>
              <w:t>Net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(29,899)</w:t>
            </w:r>
          </w:p>
        </w:tc>
        <w:tc>
          <w:tcPr>
            <w:tcW w:w="10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(11,707)</w:t>
            </w:r>
          </w:p>
        </w:tc>
      </w:tr>
      <w:tr>
        <w:trPr>
          <w:trHeight w:val="219"/>
        </w:trPr>
        <w:tc>
          <w:tcPr>
            <w:tcW w:w="8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Depreciation and amortization</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18,771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16,807</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Impairment of goodwill</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9,748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2,205</w:t>
            </w: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Amortization of financing costs</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1,103</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Deferred rent</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357</w:t>
            </w: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Non-cash lease expense</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1,050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Stock compensation expense</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3,605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3,027</w:t>
            </w:r>
          </w:p>
        </w:tc>
      </w:tr>
      <w:tr>
        <w:trPr>
          <w:trHeight w:val="254"/>
        </w:trPr>
        <w:tc>
          <w:tcPr>
            <w:tcW w:w="8400" w:type="dxa"/>
            <w:vAlign w:val="bottom"/>
          </w:tcPr>
          <w:p>
            <w:pPr>
              <w:ind w:left="680"/>
              <w:spacing w:after="0"/>
              <w:rPr>
                <w:sz w:val="20"/>
                <w:szCs w:val="20"/>
                <w:color w:val="auto"/>
              </w:rPr>
            </w:pPr>
            <w:r>
              <w:rPr>
                <w:rFonts w:ascii="Arial" w:cs="Arial" w:eastAsia="Arial" w:hAnsi="Arial"/>
                <w:sz w:val="16"/>
                <w:szCs w:val="16"/>
                <w:color w:val="auto"/>
              </w:rPr>
              <w:t>Undistributed equity in losses (earnings), net of taxes</w:t>
            </w:r>
          </w:p>
        </w:tc>
        <w:tc>
          <w:tcPr>
            <w:tcW w:w="320" w:type="dxa"/>
            <w:vAlign w:val="bottom"/>
          </w:tcPr>
          <w:p>
            <w:pPr>
              <w:spacing w:after="0"/>
              <w:rPr>
                <w:sz w:val="22"/>
                <w:szCs w:val="22"/>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395</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(417)</w:t>
            </w:r>
          </w:p>
        </w:tc>
      </w:tr>
      <w:tr>
        <w:trPr>
          <w:trHeight w:val="260"/>
        </w:trPr>
        <w:tc>
          <w:tcPr>
            <w:tcW w:w="84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Loss on early retirement of debt</w:t>
            </w:r>
          </w:p>
        </w:tc>
        <w:tc>
          <w:tcPr>
            <w:tcW w:w="32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SKU Rationalization</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8,500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Changes in operating assets and liabilities (excluding the effects of business acquisitions):</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(37,343)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(13,245)</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4"/>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Inventory</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(66,195)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(51,392)</w:t>
            </w:r>
          </w:p>
        </w:tc>
      </w:tr>
      <w:tr>
        <w:trPr>
          <w:trHeight w:val="257"/>
        </w:trPr>
        <w:tc>
          <w:tcPr>
            <w:tcW w:w="84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Prepaid expenses, other current assets and other assets</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905</w:t>
            </w:r>
          </w:p>
        </w:tc>
      </w:tr>
      <w:tr>
        <w:trPr>
          <w:trHeight w:val="270"/>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Accounts payable, accrued expenses and other liabilities</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43,465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29,059</w:t>
            </w:r>
          </w:p>
        </w:tc>
      </w:tr>
      <w:tr>
        <w:trPr>
          <w:trHeight w:val="224"/>
        </w:trPr>
        <w:tc>
          <w:tcPr>
            <w:tcW w:w="8400" w:type="dxa"/>
            <w:vAlign w:val="bottom"/>
          </w:tcPr>
          <w:p>
            <w:pPr>
              <w:ind w:left="660"/>
              <w:spacing w:after="0"/>
              <w:rPr>
                <w:sz w:val="20"/>
                <w:szCs w:val="20"/>
                <w:color w:val="auto"/>
              </w:rPr>
            </w:pPr>
            <w:r>
              <w:rPr>
                <w:rFonts w:ascii="Arial" w:cs="Arial" w:eastAsia="Arial" w:hAnsi="Arial"/>
                <w:sz w:val="16"/>
                <w:szCs w:val="16"/>
                <w:color w:val="auto"/>
              </w:rPr>
              <w:t>Income taxes receivable</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1,442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(2,952)</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rPr>
              <w:t>Income taxes payable</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(4,245)</w:t>
            </w:r>
          </w:p>
        </w:tc>
      </w:tr>
      <w:tr>
        <w:trPr>
          <w:trHeight w:val="247"/>
        </w:trPr>
        <w:tc>
          <w:tcPr>
            <w:tcW w:w="8400" w:type="dxa"/>
            <w:vAlign w:val="bottom"/>
            <w:tcBorders>
              <w:bottom w:val="single" w:sz="8" w:color="CCEEFF"/>
            </w:tcBorders>
          </w:tcPr>
          <w:p>
            <w:pPr>
              <w:ind w:left="1160"/>
              <w:spacing w:after="0"/>
              <w:rPr>
                <w:sz w:val="20"/>
                <w:szCs w:val="20"/>
                <w:color w:val="auto"/>
              </w:rPr>
            </w:pPr>
            <w:r>
              <w:rPr>
                <w:rFonts w:ascii="Arial" w:cs="Arial" w:eastAsia="Arial" w:hAnsi="Arial"/>
                <w:sz w:val="16"/>
                <w:szCs w:val="16"/>
                <w:b w:val="1"/>
                <w:bCs w:val="1"/>
                <w:color w:val="auto"/>
              </w:rPr>
              <w:t>NET CASH USED IN OPERATING ACTIVITIES</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(39,959)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(30,429)</w:t>
            </w:r>
          </w:p>
        </w:tc>
      </w:tr>
      <w:tr>
        <w:trPr>
          <w:trHeight w:val="22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(7,618)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(5,420)</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Filament acquisition, net of cash acquired</w:t>
            </w:r>
          </w:p>
        </w:tc>
        <w:tc>
          <w:tcPr>
            <w:tcW w:w="3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(217,521)</w:t>
            </w:r>
          </w:p>
        </w:tc>
      </w:tr>
      <w:tr>
        <w:trPr>
          <w:trHeight w:val="247"/>
        </w:trPr>
        <w:tc>
          <w:tcPr>
            <w:tcW w:w="8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USED IN INVESTING ACTIVITIES</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(7,618)</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(222,941)</w:t>
            </w:r>
          </w:p>
        </w:tc>
      </w:tr>
      <w:tr>
        <w:trPr>
          <w:trHeight w:val="22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Proceeds from revolving credit facility</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258,647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203,237</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revolving credit facility</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(208,737)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(210,271)</w:t>
            </w: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Proceeds from term loan</w:t>
            </w:r>
          </w:p>
        </w:tc>
        <w:tc>
          <w:tcPr>
            <w:tcW w:w="3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275,000</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Repayments of term loan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(2,063)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(1,375)</w:t>
            </w: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Proceeds from short term loan</w:t>
            </w:r>
          </w:p>
        </w:tc>
        <w:tc>
          <w:tcPr>
            <w:tcW w:w="3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216</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on short term loan</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(206)</w:t>
            </w: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Payment of financing costs</w:t>
            </w:r>
          </w:p>
        </w:tc>
        <w:tc>
          <w:tcPr>
            <w:tcW w:w="32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(11,171)</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 of equity issuance costs</w:t>
            </w: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(936)</w:t>
            </w: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Payments for capital leases</w:t>
            </w: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(67)</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Payments of tax withholding for stock based compensation</w:t>
            </w: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(442)</w:t>
            </w:r>
          </w:p>
        </w:tc>
      </w:tr>
      <w:tr>
        <w:trPr>
          <w:trHeight w:val="224"/>
        </w:trPr>
        <w:tc>
          <w:tcPr>
            <w:tcW w:w="8400" w:type="dxa"/>
            <w:vAlign w:val="bottom"/>
          </w:tcPr>
          <w:p>
            <w:pPr>
              <w:ind w:left="340"/>
              <w:spacing w:after="0"/>
              <w:rPr>
                <w:sz w:val="20"/>
                <w:szCs w:val="20"/>
                <w:color w:val="auto"/>
              </w:rPr>
            </w:pPr>
            <w:r>
              <w:rPr>
                <w:rFonts w:ascii="Arial" w:cs="Arial" w:eastAsia="Arial" w:hAnsi="Arial"/>
                <w:sz w:val="16"/>
                <w:szCs w:val="16"/>
                <w:color w:val="auto"/>
              </w:rPr>
              <w:t>Proceeds from the exercise of stock options</w:t>
            </w:r>
          </w:p>
        </w:tc>
        <w:tc>
          <w:tcPr>
            <w:tcW w:w="32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79"/>
              <w:spacing w:after="0"/>
              <w:rPr>
                <w:sz w:val="20"/>
                <w:szCs w:val="20"/>
                <w:color w:val="auto"/>
              </w:rPr>
            </w:pPr>
            <w:r>
              <w:rPr>
                <w:rFonts w:ascii="Arial" w:cs="Arial" w:eastAsia="Arial" w:hAnsi="Arial"/>
                <w:sz w:val="16"/>
                <w:szCs w:val="16"/>
                <w:color w:val="auto"/>
              </w:rPr>
              <w:t>143</w:t>
            </w:r>
          </w:p>
        </w:tc>
      </w:tr>
      <w:tr>
        <w:trPr>
          <w:trHeight w:val="3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7"/>
        </w:trPr>
        <w:tc>
          <w:tcPr>
            <w:tcW w:w="84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Cash dividends paid</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(2,405)</w:t>
            </w:r>
          </w:p>
        </w:tc>
      </w:tr>
      <w:tr>
        <w:trPr>
          <w:trHeight w:val="247"/>
        </w:trPr>
        <w:tc>
          <w:tcPr>
            <w:tcW w:w="8400" w:type="dxa"/>
            <w:vAlign w:val="bottom"/>
            <w:tcBorders>
              <w:bottom w:val="single" w:sz="8" w:color="CCEEFF"/>
            </w:tcBorders>
          </w:tcPr>
          <w:p>
            <w:pPr>
              <w:ind w:left="1120"/>
              <w:spacing w:after="0"/>
              <w:rPr>
                <w:sz w:val="20"/>
                <w:szCs w:val="20"/>
                <w:color w:val="auto"/>
              </w:rPr>
            </w:pPr>
            <w:r>
              <w:rPr>
                <w:rFonts w:ascii="Arial" w:cs="Arial" w:eastAsia="Arial" w:hAnsi="Arial"/>
                <w:sz w:val="16"/>
                <w:szCs w:val="16"/>
                <w:b w:val="1"/>
                <w:bCs w:val="1"/>
                <w:color w:val="auto"/>
              </w:rPr>
              <w:t>NET CASH PROVIDED BY FINANCING ACTIVITIES</w:t>
            </w:r>
          </w:p>
        </w:tc>
        <w:tc>
          <w:tcPr>
            <w:tcW w:w="32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44,879</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251,723</w:t>
            </w:r>
          </w:p>
        </w:tc>
      </w:tr>
      <w:tr>
        <w:trPr>
          <w:trHeight w:val="253"/>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foreign exchange on cash</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w:t>
            </w:r>
          </w:p>
        </w:tc>
      </w:tr>
      <w:tr>
        <w:trPr>
          <w:trHeight w:val="247"/>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DECREASE IN CASH AND CASH EQUIVALENTS</w:t>
            </w:r>
          </w:p>
        </w:tc>
        <w:tc>
          <w:tcPr>
            <w:tcW w:w="3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(2,886)</w:t>
            </w:r>
          </w:p>
        </w:tc>
        <w:tc>
          <w:tcPr>
            <w:tcW w:w="10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(1,837)</w:t>
            </w:r>
          </w:p>
        </w:tc>
      </w:tr>
      <w:tr>
        <w:trPr>
          <w:trHeight w:val="260"/>
        </w:trPr>
        <w:tc>
          <w:tcPr>
            <w:tcW w:w="8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7,647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7,600</w:t>
            </w:r>
          </w:p>
        </w:tc>
      </w:tr>
      <w:tr>
        <w:trPr>
          <w:trHeight w:val="247"/>
        </w:trPr>
        <w:tc>
          <w:tcPr>
            <w:tcW w:w="840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4,761</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5,763</w:t>
            </w:r>
          </w:p>
        </w:tc>
      </w:tr>
      <w:tr>
        <w:trPr>
          <w:trHeight w:val="24"/>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00"/>
          </w:cols>
          <w:pgMar w:left="240" w:top="125" w:right="25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type w:val="continuous"/>
        </w:sectPr>
      </w:pPr>
    </w:p>
    <w:bookmarkStart w:id="9" w:name="page10"/>
    <w:bookmarkEnd w:id="9"/>
    <w:p>
      <w:pPr>
        <w:spacing w:after="0" w:line="30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LIFETIME BRANDS,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2019</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p>
      <w:pPr>
        <w:ind w:right="4200"/>
        <w:spacing w:after="0" w:line="378" w:lineRule="auto"/>
        <w:rPr>
          <w:sz w:val="20"/>
          <w:szCs w:val="20"/>
          <w:color w:val="auto"/>
        </w:rPr>
      </w:pPr>
      <w:r>
        <w:rPr>
          <w:rFonts w:ascii="Arial" w:cs="Arial" w:eastAsia="Arial" w:hAnsi="Arial"/>
          <w:sz w:val="18"/>
          <w:szCs w:val="18"/>
          <w:b w:val="1"/>
          <w:bCs w:val="1"/>
          <w:color w:val="auto"/>
        </w:rPr>
        <w:t>NOTE A — BASIS OF PRESENTATION AND SUMMARY OF ACCOUNTING POLICIES Organization and business</w:t>
      </w:r>
    </w:p>
    <w:p>
      <w:pPr>
        <w:ind w:right="140"/>
        <w:spacing w:after="0" w:line="259" w:lineRule="auto"/>
        <w:rPr>
          <w:sz w:val="20"/>
          <w:szCs w:val="20"/>
          <w:color w:val="auto"/>
        </w:rPr>
      </w:pPr>
      <w:r>
        <w:rPr>
          <w:rFonts w:ascii="Arial" w:cs="Arial" w:eastAsia="Arial" w:hAnsi="Arial"/>
          <w:sz w:val="18"/>
          <w:szCs w:val="18"/>
          <w:color w:val="auto"/>
        </w:rPr>
        <w:t>Lifetime Brands, Inc. (the “Company”) designs, sources and sells branded kitchenware, tableware and other products used in the home and markets its products under a number of brand names and trademarks, which are either owned or licensed by the Company, or through retailers’ private labels. The Company markets and sells its products principally on a wholesale basis to retailers. The Company also markets and sells a limited selection of its products directly to consumers through third parties and its own internet websites.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U.S. generally accepted accounting principles (“U.S. GAAP”) for interim financial information and with the instructions to Form 10-Q and Article 10 of Regulation S-X. Accordingly, they do not include all of the information and footnotes required by U.S. GAAP for complete financial statements. In the opinion of management, all adjustments, which consist only of normal recurring accruals, considered necessary for a fair presentation have been included. These condensed consolidated financial statements should be read in conjunction with the consolidated financial statements and footnotes thereto included in the Company’s Annual Report on Form 10-K for the fiscal year ended December 31, 2018 (the “2018 Annual Report on Form 10-K”).</w:t>
      </w:r>
    </w:p>
    <w:p>
      <w:pPr>
        <w:spacing w:after="0" w:line="17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Operating results for the three and nine months ended September 30, 2019 are not necessarily indicative of the results that may be expected for the year ending December 31, 2019.</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Company’s business and working capital needs are highly seasonal, with a majority of sales occurring in the third and fourth quarters. In 2018 and 2017, net sales for the third and fourth quarters accounted for 62 % and 60 % of total annual net sales, respectively. In anticipation of the pre-holiday shipping season, inventory levels increase primarily in the June through October time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w:t>
      </w:r>
    </w:p>
    <w:p>
      <w:pPr>
        <w:spacing w:after="0" w:line="181"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offers various sales incentives and promotional programs to its customers in the normal course of business. These incentives and promotions typically include arrangements such as cooperative advertising, buydowns, volume rebates and discounts. These arrangements and returns are reflected as reductions of revenue at the time of sale. See Note B – Revenue for additional information.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121"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Cost of sales consists primarily of costs associated with the production and procurement of products, inbound freight costs, purchasing costs, royalties, tooling, and other product procurement related charges.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January 1, 2019, depreciation associated with certain tooling used to produce products was classified as selling, general and administrative expenses. The amount recorded in cost of sales for the three and nine months ended September 30, 2019 was $0.4 million and $1.1 million, respectively. The impact on the comparative periods presented is immaterial and therefore, the comparative periods have not been adjusted to reflect this change in accounting policy.</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440" w:right="319" w:bottom="1440" w:gutter="0" w:footer="0" w:header="0"/>
        </w:sectPr>
      </w:pPr>
    </w:p>
    <w:bookmarkStart w:id="10" w:name="page11"/>
    <w:bookmarkEnd w:id="1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w:t>
      </w:r>
    </w:p>
    <w:p>
      <w:pPr>
        <w:spacing w:after="0" w:line="18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During the nine months ended September 30,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Distribution expenses consist primarily of warehousing expenses and freight-out expenses.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121"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The Company periodically reviews the collectability of its accounts receivable and establishes allowances for estimated losses that could result from the inability of its customers to make required payments. A considerable amount of judgment is required to assess the ultimate potential realization of these receivables including assessing the initial and on-going creditworthiness of the Company’s customers.</w:t>
      </w:r>
    </w:p>
    <w:p>
      <w:pPr>
        <w:spacing w:after="0" w:line="18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The Company also maintains an allowance for anticipated customer deductions. The allowances for deductions are primarily based on contracts with customers. However, in certain cases, the Company does not have a formal contract and, therefore, customer deductions are non-contractual. To evaluate the reasonableness of non-contractual customer deductions, the Company analyzes currently available information and historical trends of deductions.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 purchase agreement</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has an uncommitted Receivables Purchase Agreement with HSBC Bank USA, National Association (“HSBC”) as Purchaser (the “Receivables Purchase Agreement”). The sale of accounts receivable, under the Receivables Purchase Agreement with HSBC, is excluded from the Company’s condensed consolidated balance sheets at the time of sale and the related sale expense is included in selling, general and administrative expenses in the Company’s unaudited condensed consolidated statements of operations. Pursuant to this agreement, the Company sold to HSBC $32.5 million and $81.7 million of receivables during the three and nine months ended September 30, 2019, respectively, and $20.7 million and $59.4 million of receivables during the three and nine months ended September 30, 2018, respectively. Charges of $0.2 million and $0.4 million related to the sale of the receivables are included in selling, general and administrative expenses in the unaudited condensed consolidated statements of operations for the three and nine months ended September 30, 2019, respectively. Charges of $0.1 million and $0.3 million related to the sale of receivables are included in selling, general and administrative expenses in the unaudited condensed consolidated statements of operations for the three and nine months ended September 30, 2018, respectively. At September 30, 2019 and September 30, 2018, $17.8 million and $13.6 million, respectively, of receivables sold were outstanding and due to HSBC Bank USA from customers.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Inventory consists principally of finished goods sourced from third-party suppliers. Inventory also includes finished goods, work in process and raw materials related to the Company’s manufacture of sterling silver products. Inventory is priced using the lower of cost (first-in, first-out basis) or net realizable value. The Company estimates the selling price of its inventory on a product by product basis based on the current selling environment. If the estimated selling price is lower than the inventory’s cost, the Company reduces the value of the inventory to its net realizable value. Net realizable value is the estimated selling price in the ordinary course of business, less reasonably predictable costs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inventory were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192"/>
        </w:trPr>
        <w:tc>
          <w:tcPr>
            <w:tcW w:w="86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221,863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165,969</w:t>
            </w:r>
          </w:p>
        </w:tc>
        <w:tc>
          <w:tcPr>
            <w:tcW w:w="0" w:type="dxa"/>
            <w:vAlign w:val="bottom"/>
          </w:tcPr>
          <w:p>
            <w:pPr>
              <w:spacing w:after="0"/>
              <w:rPr>
                <w:sz w:val="1"/>
                <w:szCs w:val="1"/>
                <w:color w:val="auto"/>
              </w:rPr>
            </w:pPr>
          </w:p>
        </w:tc>
      </w:tr>
      <w:tr>
        <w:trPr>
          <w:trHeight w:val="243"/>
        </w:trPr>
        <w:tc>
          <w:tcPr>
            <w:tcW w:w="86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375</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7,257</w:t>
            </w:r>
          </w:p>
        </w:tc>
        <w:tc>
          <w:tcPr>
            <w:tcW w:w="0" w:type="dxa"/>
            <w:vAlign w:val="bottom"/>
          </w:tcPr>
          <w:p>
            <w:pPr>
              <w:spacing w:after="0"/>
              <w:rPr>
                <w:sz w:val="1"/>
                <w:szCs w:val="1"/>
                <w:color w:val="auto"/>
              </w:rPr>
            </w:pPr>
          </w:p>
        </w:tc>
      </w:tr>
      <w:tr>
        <w:trPr>
          <w:trHeight w:val="237"/>
        </w:trPr>
        <w:tc>
          <w:tcPr>
            <w:tcW w:w="864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76"/>
              <w:spacing w:after="0"/>
              <w:rPr>
                <w:sz w:val="20"/>
                <w:szCs w:val="20"/>
                <w:color w:val="auto"/>
              </w:rPr>
            </w:pPr>
            <w:r>
              <w:rPr>
                <w:rFonts w:ascii="Arial" w:cs="Arial" w:eastAsia="Arial" w:hAnsi="Arial"/>
                <w:sz w:val="18"/>
                <w:szCs w:val="18"/>
                <w:color w:val="auto"/>
              </w:rPr>
              <w:t>229,947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6"/>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173,601</w:t>
            </w:r>
          </w:p>
        </w:tc>
        <w:tc>
          <w:tcPr>
            <w:tcW w:w="0" w:type="dxa"/>
            <w:vAlign w:val="bottom"/>
          </w:tcPr>
          <w:p>
            <w:pPr>
              <w:spacing w:after="0"/>
              <w:rPr>
                <w:sz w:val="1"/>
                <w:szCs w:val="1"/>
                <w:color w:val="auto"/>
              </w:rPr>
            </w:pPr>
          </w:p>
        </w:tc>
      </w:tr>
      <w:tr>
        <w:trPr>
          <w:trHeight w:val="27"/>
        </w:trPr>
        <w:tc>
          <w:tcPr>
            <w:tcW w:w="86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 determined that the carrying amounts of cash and cash equivalents, accounts receivable and accounts payable are reasonable estimates of their fair values because of their short-term nature. The Company determined that the carrying amounts of borrowings outstanding under its revolving credit facility, and term loan approximate fair value since such borrowings bear interest at variable market rates.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The Company accounts for derivative instruments in accordance with Accounting Standard Codification (“ASC”) Topic No.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Topic No. 815 requires that all derivative instruments be recognized on the balance sheet at fair value as either an asset or liability. Changes in the fair value of derivatives that qualify as hedges and have been designated as part of a hedging relationship for accounting purposes have no net impact on earnings until the hedged item is recognized in earnings. The change in the fair value of hedges that qualify and are designated as part of a hedging relationship are included in accumulated other comprehensive loss and subsequently recognized in the Company’s unaudited condensed consolidated statements of operations to mirror the location of the hedged items impacting earnings. Changes in the fair value of derivatives that do not qualify as hedging instruments for accounting purposes are recorded in the Company’s unaudited condensed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intangible assets and long-lived assets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 xml:space="preserve">Goodwill and intangible assets deemed to have indefinite lives are not amortized but, instead, are subject to an annual impairment assessment. Additionally, if events or conditions were to indicate the carrying value of a reporting unit may not be recoverable, the Company would evaluate goodwill and other intangible assets for impairment at that time. As it relates to the goodwill assessment, the Company first assesses qualitative factors to determine whether it is more likely than not that the fair value of a reporting unit is less than its carrying amount as a basis for determining whether it is necessary to perform the goodwill impairment testing described in Accounting Standards Update (“ASU”) Topic No.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If, after assessing qualitative factors, the Company determines that it is not more likely than not that the fair value of a reporting unit is less than its carrying amount, then performing the impairment test is unnecessary and the Company’s goodwill is considered to be unimpaired. However, if based on the Company’s qualitative assessment, it concludes that it is more likely than not that the fair value of the reporting unit is less than its carrying amount, or if the Company elects to bypass the qualitative assessment, the Company will proceed with performing the quantitative impairment test. The quantitative impairment test compares the carrying value of each reporting unit that has goodwill with the estimated fair value of the respective reporting unit. Should the carrying value of a reporting unit be in excess of the estimated fair value of that reporting unit, an impairment charge will be recorded to reduce the reporting unit to fair value. The Company also evaluates qualitative factors to determine whether or not its indefinite lived intangibles have been impaired and then performs quantitative tests if required. These tests can include the relief from royalty model or other valuation models.</w:t>
      </w:r>
    </w:p>
    <w:p>
      <w:pPr>
        <w:spacing w:after="0" w:line="188"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Long-lived assets, including intangible assets deemed to have finite lives, are reviewed for impairment whenever events or changes in circumstances indicate that the carrying amount of an asset may not be recoverable. Impairment indicators include, among other conditions, cash flow deficits, historic or anticipated declines in revenue or operating profit or material adverse changes in the business climate that indicate that the carrying amount of an asset may be impaired. When impairment indicators are present, the recoverability of the asset is measured by comparing the carrying value of the asset to the estimated undiscounted future cash flows expected to be generated by the asset. If the asset is considered to be impaired, the impairment to be recognized is measured by the amount by which the carrying amount of the asset exceeds the fair value of the asset.</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third quarter of 2019, the Company’s qualitative assessment of goodwill indicated triggering events in its European kitchenware business, which resulted in a $9.7 million non-cash impairment charge. There were no indicators of impairment in the U.S. reporting unit.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See Note F – Intangible assets to the unaudited condensed consolidated financial statements included in this Quarterly Report for additional information.</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not material to the Company’s condensed consolidated balance sheets.</w:t>
      </w:r>
    </w:p>
    <w:p>
      <w:pPr>
        <w:spacing w:after="0" w:line="18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 accrued rent payments, lease incentives, and initial direct costs incurred. Certain leases may include options to extend or terminate the lease. Lease expense for minimum lease payments is recognized on a straight-line basis over the lease term.</w:t>
      </w:r>
    </w:p>
    <w:p>
      <w:pPr>
        <w:spacing w:after="0" w:line="17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healthcare</w:t>
      </w:r>
    </w:p>
    <w:p>
      <w:pPr>
        <w:spacing w:after="0" w:line="12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self-insures certain portions of its health insurance plans. The Company maintains an accrual for unpaid claims and estimated claims incurred but not yet reported (“IBNR”). Although management believes that it uses the best information available to estimate claims IBNR, actual claims may vary significantly from estimated claims.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expenses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Costs associated with restructuring activities are recorded at fair value when a liability has been incurred. A liability has been incurred at the point of closure for any remaining operating lease obligations and at the communication date for severance.</w:t>
      </w:r>
    </w:p>
    <w:p>
      <w:pPr>
        <w:spacing w:after="0" w:line="17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nine months ended September 30, 2019, the Company incurred $0.4 million of Filament restructuring charges, primarily related to severance. During the three and nine months ended September 30, 2018, the Company incurred $0.6 million and $1.4 million, respectively, of Filament restructuring charges, primarily related to severance, of which $0.8 million was accrued at September 30, 2018.</w:t>
      </w:r>
    </w:p>
    <w:p>
      <w:pPr>
        <w:spacing w:after="0" w:line="18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and nine months ended September 30, 2019, the Company incurred $0.3 million and $0.7 million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$0.7 million of additional restructuring and integration charges in 2019. At September 30, 2019, $0.1 million of restructuring charges related to the European restructuring plan were accrued.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pronouncements</w:t>
      </w:r>
    </w:p>
    <w:p>
      <w:pPr>
        <w:spacing w:after="0" w:line="121"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 xml:space="preserve">Effective January 1, 2019, the Company adopted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(“ASC 842”)</w:t>
      </w:r>
      <w:r>
        <w:rPr>
          <w:rFonts w:ascii="Arial" w:cs="Arial" w:eastAsia="Arial" w:hAnsi="Arial"/>
          <w:sz w:val="18"/>
          <w:szCs w:val="18"/>
          <w:i w:val="1"/>
          <w:iCs w:val="1"/>
          <w:color w:val="auto"/>
        </w:rPr>
        <w:t>,</w:t>
      </w:r>
      <w:r>
        <w:rPr>
          <w:rFonts w:ascii="Arial" w:cs="Arial" w:eastAsia="Arial" w:hAnsi="Arial"/>
          <w:sz w:val="18"/>
          <w:szCs w:val="18"/>
          <w:color w:val="auto"/>
        </w:rPr>
        <w:t xml:space="preserve"> which requires a lessee, in most leases, to initially recognize a lease liability for the obligation to make lease payments and an ROU asset for the right to use the underlying asset for the lease term. The Company adopted this standard using the cumulative-effect adjustment method and elected certain practical expedients allowed under the standard. Upon adoption, the Company recognized ROU assets and a lease liability of $90.9 million and $104.4 million, respectively. See Note D – Leases for additional information on the Company’s adoption of this standard.</w:t>
      </w:r>
    </w:p>
    <w:p>
      <w:pPr>
        <w:spacing w:after="0" w:line="188"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Effective January 1, 2019, the Company adopted ASU 2018-02, </w:t>
      </w:r>
      <w:r>
        <w:rPr>
          <w:rFonts w:ascii="Arial" w:cs="Arial" w:eastAsia="Arial" w:hAnsi="Arial"/>
          <w:sz w:val="16"/>
          <w:szCs w:val="16"/>
          <w:i w:val="1"/>
          <w:iCs w:val="1"/>
          <w:color w:val="auto"/>
        </w:rPr>
        <w:t>Income Statement- Reporting Comprehensive Income: Reclassification of Certain Tax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from Accumulated Other Comprehensive Income</w:t>
      </w:r>
      <w:r>
        <w:rPr>
          <w:rFonts w:ascii="Arial" w:cs="Arial" w:eastAsia="Arial" w:hAnsi="Arial"/>
          <w:sz w:val="16"/>
          <w:szCs w:val="16"/>
          <w:color w:val="auto"/>
        </w:rPr>
        <w:t>, which addresses the effect on items within accumulated other comprehensive income (loss) of the change in</w:t>
      </w:r>
      <w:r>
        <w:rPr>
          <w:rFonts w:ascii="Arial" w:cs="Arial" w:eastAsia="Arial" w:hAnsi="Arial"/>
          <w:sz w:val="16"/>
          <w:szCs w:val="16"/>
          <w:i w:val="1"/>
          <w:iCs w:val="1"/>
          <w:color w:val="auto"/>
        </w:rPr>
        <w:t xml:space="preserve"> </w:t>
      </w:r>
      <w:r>
        <w:rPr>
          <w:rFonts w:ascii="Arial" w:cs="Arial" w:eastAsia="Arial" w:hAnsi="Arial"/>
          <w:sz w:val="16"/>
          <w:szCs w:val="16"/>
          <w:color w:val="auto"/>
        </w:rPr>
        <w:t>the U.S. federal corporate tax rate due to the enactment of the Tax Cuts and Jobs Act (the “Tax Act”) on December 22, 2017. Upon adoption, the Company did not elect to reclassify the stranded income tax effects of the Tax Act from accumulated other comprehensive (loss) income to retained earnings.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—REVENUE</w:t>
      </w:r>
    </w:p>
    <w:p>
      <w:pPr>
        <w:spacing w:after="0" w:line="33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Company sells products wholesale, to retailers and distributors, and retail, directly to the consumer. Wholesale sales and retail sales are recognized at the point in time the customer obtains control of the products in an amount that reflects the consideration the Company expects to be entitled to in exchange for those products. To indicate the transfer of control, the Company must have a present right to payment, legal title must have passed to the customer, the customer must have the significant risks and rewards of ownership, and where acceptance is not a formality, the customer must have accepted the product or service. The Company’s principal terms of sale are Free On Board (“FOB”) Shipping Point, or equivalent, and, as such, the Company primarily transfers control and records revenue for product sales upon shipment. Sales arrangements with delivery terms that are not FOB Shipping Point are not recognized upon shipment and the transfer of control for revenue recognition is evaluated based on the associated shipping terms and customer obligations. Shipping and handling fees that are billed to customers in sales transactions are included in net sales and amounted to $1.0 million and $2.3 million for the three and nine months ended September 30, 2019, respectively, and $0.9 million and $2.2 million for the three and nine months ended September 30, 2018, respectively. Net sales exclude taxes that are collected from customers and remitted to the taxing authorities.</w:t>
      </w:r>
    </w:p>
    <w:p>
      <w:pPr>
        <w:spacing w:after="0" w:line="16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offers various sales incentives and promotional programs to its wholesale customers from time to time in the normal course of business. These incentives and promotions typically include arrangements such as cooperative advertising, buydowns, volume rebates and discounts. These arrangements represent forms of variable consideration and an estimate of sales returns are reflected as reductions in net sales in the Company’s condensed consolidated statements of operations. These estimates are based on historical experience and other known factors or as the most likely amount in a range of possible outcomes. On a quarterly basis, variable consideration is assessed on a portfolio approach in estimating the extent to which the components of variable consideration are constrained.</w:t>
      </w:r>
    </w:p>
    <w:p>
      <w:pPr>
        <w:spacing w:after="0" w:line="193"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Payment terms with customers vary by customer, but generally range from 30 to 90 days or at the point of sale for the Company’s retail direct sales. The Company incurs certain direct incremental costs to obtain contracts with customers, such as sales-related commissions, where the recognition period for the related revenue is less than one year. These costs are expensed as incurred and recorded within selling, general and administrative expenses in the condensed consolidated statements of operations. Incidental items that are immaterial in the context of the contract are expensed as incurred.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the Company’s net sales disaggregated by segment, product category and geographic region for the three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2019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8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6"/>
                <w:szCs w:val="16"/>
                <w:color w:val="auto"/>
              </w:rPr>
            </w:pPr>
          </w:p>
        </w:tc>
        <w:tc>
          <w:tcPr>
            <w:tcW w:w="1580" w:type="dxa"/>
            <w:vAlign w:val="bottom"/>
          </w:tcPr>
          <w:p>
            <w:pPr>
              <w:jc w:val="right"/>
              <w:ind w:right="193"/>
              <w:spacing w:after="0"/>
              <w:rPr>
                <w:sz w:val="20"/>
                <w:szCs w:val="20"/>
                <w:color w:val="auto"/>
              </w:rPr>
            </w:pPr>
            <w:r>
              <w:rPr>
                <w:rFonts w:ascii="Arial" w:cs="Arial" w:eastAsia="Arial" w:hAnsi="Arial"/>
                <w:sz w:val="14"/>
                <w:szCs w:val="14"/>
                <w:b w:val="1"/>
                <w:bCs w:val="1"/>
                <w:color w:val="auto"/>
                <w:w w:val="97"/>
              </w:rPr>
              <w:t>September 30, 2019</w:t>
            </w:r>
          </w:p>
        </w:tc>
      </w:tr>
      <w:tr>
        <w:trPr>
          <w:trHeight w:val="236"/>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U.S. Segment</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Kitchenware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99,257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234,149</w:t>
            </w: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Tableware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57,332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112,543</w:t>
            </w: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Home Solutions</w:t>
            </w:r>
          </w:p>
        </w:tc>
        <w:tc>
          <w:tcPr>
            <w:tcW w:w="16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38,610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98,637</w:t>
            </w: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U.S. Segment</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195,199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445,329</w:t>
            </w:r>
          </w:p>
        </w:tc>
      </w:tr>
      <w:tr>
        <w:trPr>
          <w:trHeight w:val="223"/>
        </w:trPr>
        <w:tc>
          <w:tcPr>
            <w:tcW w:w="774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160" w:type="dxa"/>
            <w:vAlign w:val="bottom"/>
            <w:tcBorders>
              <w:top w:val="single" w:sz="8" w:color="auto"/>
            </w:tcBorders>
          </w:tcPr>
          <w:p>
            <w:pPr>
              <w:spacing w:after="0"/>
              <w:rPr>
                <w:sz w:val="19"/>
                <w:szCs w:val="19"/>
                <w:color w:val="auto"/>
              </w:rPr>
            </w:pPr>
          </w:p>
        </w:tc>
        <w:tc>
          <w:tcPr>
            <w:tcW w:w="1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Kitchenware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16,406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42,918</w:t>
            </w:r>
          </w:p>
        </w:tc>
      </w:tr>
      <w:tr>
        <w:trPr>
          <w:trHeight w:val="243"/>
        </w:trPr>
        <w:tc>
          <w:tcPr>
            <w:tcW w:w="7740" w:type="dxa"/>
            <w:vAlign w:val="bottom"/>
          </w:tcPr>
          <w:p>
            <w:pPr>
              <w:ind w:left="340"/>
              <w:spacing w:after="0"/>
              <w:rPr>
                <w:sz w:val="20"/>
                <w:szCs w:val="20"/>
                <w:color w:val="auto"/>
              </w:rPr>
            </w:pPr>
            <w:r>
              <w:rPr>
                <w:rFonts w:ascii="Arial" w:cs="Arial" w:eastAsia="Arial" w:hAnsi="Arial"/>
                <w:sz w:val="18"/>
                <w:szCs w:val="18"/>
                <w:color w:val="auto"/>
              </w:rPr>
              <w:t>Tableware</w:t>
            </w:r>
          </w:p>
        </w:tc>
        <w:tc>
          <w:tcPr>
            <w:tcW w:w="16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3,897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19,717</w:t>
            </w: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74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International Segment</w:t>
            </w:r>
          </w:p>
        </w:tc>
        <w:tc>
          <w:tcPr>
            <w:tcW w:w="16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20,303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62,635</w:t>
            </w:r>
          </w:p>
        </w:tc>
      </w:tr>
      <w:tr>
        <w:trPr>
          <w:trHeight w:val="237"/>
        </w:trPr>
        <w:tc>
          <w:tcPr>
            <w:tcW w:w="7740" w:type="dxa"/>
            <w:vAlign w:val="bottom"/>
          </w:tcPr>
          <w:p>
            <w:pPr>
              <w:ind w:left="98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215,502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507,964</w:t>
            </w:r>
          </w:p>
        </w:tc>
      </w:tr>
      <w:tr>
        <w:trPr>
          <w:trHeight w:val="27"/>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7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179,565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417,657</w:t>
            </w: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160" w:type="dxa"/>
            <w:vAlign w:val="bottom"/>
          </w:tcPr>
          <w:p>
            <w:pPr>
              <w:spacing w:after="0"/>
              <w:rPr>
                <w:sz w:val="21"/>
                <w:szCs w:val="21"/>
                <w:color w:val="auto"/>
              </w:rPr>
            </w:pPr>
          </w:p>
        </w:tc>
        <w:tc>
          <w:tcPr>
            <w:tcW w:w="1620" w:type="dxa"/>
            <w:vAlign w:val="bottom"/>
          </w:tcPr>
          <w:p>
            <w:pPr>
              <w:jc w:val="right"/>
              <w:ind w:right="73"/>
              <w:spacing w:after="0"/>
              <w:rPr>
                <w:sz w:val="20"/>
                <w:szCs w:val="20"/>
                <w:color w:val="auto"/>
              </w:rPr>
            </w:pPr>
            <w:r>
              <w:rPr>
                <w:rFonts w:ascii="Arial" w:cs="Arial" w:eastAsia="Arial" w:hAnsi="Arial"/>
                <w:sz w:val="18"/>
                <w:szCs w:val="18"/>
                <w:color w:val="auto"/>
              </w:rPr>
              <w:t>13,985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jc w:val="right"/>
              <w:ind w:right="53"/>
              <w:spacing w:after="0"/>
              <w:rPr>
                <w:sz w:val="20"/>
                <w:szCs w:val="20"/>
                <w:color w:val="auto"/>
              </w:rPr>
            </w:pPr>
            <w:r>
              <w:rPr>
                <w:rFonts w:ascii="Arial" w:cs="Arial" w:eastAsia="Arial" w:hAnsi="Arial"/>
                <w:sz w:val="18"/>
                <w:szCs w:val="18"/>
                <w:color w:val="auto"/>
              </w:rPr>
              <w:t>44,697</w:t>
            </w: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21,952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45,610</w:t>
            </w:r>
          </w:p>
        </w:tc>
      </w:tr>
      <w:tr>
        <w:trPr>
          <w:trHeight w:val="237"/>
        </w:trPr>
        <w:tc>
          <w:tcPr>
            <w:tcW w:w="7740" w:type="dxa"/>
            <w:vAlign w:val="bottom"/>
          </w:tcPr>
          <w:p>
            <w:pPr>
              <w:ind w:left="1100"/>
              <w:spacing w:after="0"/>
              <w:rPr>
                <w:sz w:val="20"/>
                <w:szCs w:val="20"/>
                <w:color w:val="auto"/>
              </w:rPr>
            </w:pPr>
            <w:r>
              <w:rPr>
                <w:rFonts w:ascii="Arial" w:cs="Arial" w:eastAsia="Arial" w:hAnsi="Arial"/>
                <w:sz w:val="18"/>
                <w:szCs w:val="18"/>
                <w:color w:val="auto"/>
              </w:rPr>
              <w:t>Total net sales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215,502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507,964</w:t>
            </w:r>
          </w:p>
        </w:tc>
      </w:tr>
      <w:tr>
        <w:trPr>
          <w:trHeight w:val="27"/>
        </w:trPr>
        <w:tc>
          <w:tcPr>
            <w:tcW w:w="77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1"/>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—ACQUISITION</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December 22, 2017, the Company entered into an agreement providing for the acquisition of Filament by the Company. The acquisition was completed on March 2, 2018. The aggregate consideration for Filament, after taking into account certain adjustments, was $294.4 million, consisting of $217.5 million of cash consideration and 5,593,116 newly issued shares of the Company’s common stock, with a value equal to $76.9 million based on the market value of the Company’s common stock as of March 2, 2018.</w:t>
      </w:r>
    </w:p>
    <w:p>
      <w:pPr>
        <w:spacing w:after="0" w:line="187" w:lineRule="exact"/>
        <w:rPr>
          <w:sz w:val="20"/>
          <w:szCs w:val="20"/>
          <w:color w:val="auto"/>
        </w:rPr>
      </w:pPr>
    </w:p>
    <w:p>
      <w:pPr>
        <w:ind w:right="640"/>
        <w:spacing w:after="0" w:line="274" w:lineRule="auto"/>
        <w:rPr>
          <w:sz w:val="20"/>
          <w:szCs w:val="20"/>
          <w:color w:val="auto"/>
        </w:rPr>
      </w:pPr>
      <w:r>
        <w:rPr>
          <w:rFonts w:ascii="Arial" w:cs="Arial" w:eastAsia="Arial" w:hAnsi="Arial"/>
          <w:sz w:val="18"/>
          <w:szCs w:val="18"/>
          <w:color w:val="auto"/>
        </w:rPr>
        <w:t>The purchase price was allocated based on the Company’s final estimate of the fair value of the assets acquired and liabilities assumed,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26,224</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29,044</w:t>
            </w:r>
          </w:p>
        </w:tc>
      </w:tr>
      <w:tr>
        <w:trPr>
          <w:trHeight w:val="27"/>
        </w:trPr>
        <w:tc>
          <w:tcPr>
            <w:tcW w:w="9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5,620</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(23,018)</w:t>
            </w:r>
          </w:p>
        </w:tc>
      </w:tr>
      <w:tr>
        <w:trPr>
          <w:trHeight w:val="27"/>
        </w:trPr>
        <w:tc>
          <w:tcPr>
            <w:tcW w:w="9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w:t>
            </w:r>
          </w:p>
        </w:tc>
        <w:tc>
          <w:tcPr>
            <w:tcW w:w="5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(13,881)</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Goodwill and other intangibles</w:t>
            </w:r>
          </w:p>
        </w:tc>
        <w:tc>
          <w:tcPr>
            <w:tcW w:w="580" w:type="dxa"/>
            <w:vAlign w:val="bottom"/>
          </w:tcPr>
          <w:p>
            <w:pPr>
              <w:spacing w:after="0"/>
              <w:rPr>
                <w:sz w:val="21"/>
                <w:szCs w:val="21"/>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270,427</w:t>
            </w:r>
          </w:p>
        </w:tc>
      </w:tr>
      <w:tr>
        <w:trPr>
          <w:trHeight w:val="27"/>
        </w:trPr>
        <w:tc>
          <w:tcPr>
            <w:tcW w:w="96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89"/>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allocated value</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294,416</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Goodwill results from such factors as an assembled workforce. The total amount of goodwill is not expected to be deductible for tax purposes. The goodwill and other intangible assets are primarily included in the U.S. segment. Customer relationships are amortized on a straight-line basis over their estimated useful lives (see Note F – Intangible Assets).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three and nine months ended September 30, 2018 included the operations of Filament for the period from March 2, 2018, the date of acquisition, to September 30, 2018. The unaudited condensed consolidated statements of operations for the three months ended September 30, 2018 include $38.6 million of net sales contributed by Filament. The condensed consolidated statements of operations for the nine months ended September 30, 2018, include $77.2 million of net sales contributed by Filament.</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Unaudited Pro forma Results</w:t>
      </w:r>
    </w:p>
    <w:p>
      <w:pPr>
        <w:spacing w:after="0" w:line="117"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following table presents the Company’s pro forma consolidated net sales, income (loss) before income taxes and equity in earnings (losses) and net income (loss) for the three and nine months ended September 30, 2018. The unaudited pro forma results include the historical statements of operations information of the Company and of Filament, giving effect to the Filament acquisition and related financing as if they had occurred at the beginning of the periods presented.</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jc w:val="right"/>
              <w:ind w:right="118"/>
              <w:spacing w:after="0"/>
              <w:rPr>
                <w:sz w:val="20"/>
                <w:szCs w:val="20"/>
                <w:color w:val="auto"/>
              </w:rPr>
            </w:pPr>
            <w:r>
              <w:rPr>
                <w:rFonts w:ascii="Arial" w:cs="Arial" w:eastAsia="Arial" w:hAnsi="Arial"/>
                <w:sz w:val="14"/>
                <w:szCs w:val="14"/>
                <w:color w:val="auto"/>
                <w:w w:val="97"/>
              </w:rPr>
              <w:t>Three Months Ended</w:t>
            </w:r>
          </w:p>
        </w:tc>
        <w:tc>
          <w:tcPr>
            <w:tcW w:w="280" w:type="dxa"/>
            <w:vAlign w:val="bottom"/>
          </w:tcPr>
          <w:p>
            <w:pPr>
              <w:spacing w:after="0"/>
              <w:rPr>
                <w:sz w:val="14"/>
                <w:szCs w:val="14"/>
                <w:color w:val="auto"/>
              </w:rPr>
            </w:pPr>
          </w:p>
        </w:tc>
        <w:tc>
          <w:tcPr>
            <w:tcW w:w="1560" w:type="dxa"/>
            <w:vAlign w:val="bottom"/>
          </w:tcPr>
          <w:p>
            <w:pPr>
              <w:jc w:val="right"/>
              <w:ind w:right="216"/>
              <w:spacing w:after="0"/>
              <w:rPr>
                <w:sz w:val="20"/>
                <w:szCs w:val="20"/>
                <w:color w:val="auto"/>
              </w:rPr>
            </w:pPr>
            <w:r>
              <w:rPr>
                <w:rFonts w:ascii="Arial" w:cs="Arial" w:eastAsia="Arial" w:hAnsi="Arial"/>
                <w:sz w:val="14"/>
                <w:szCs w:val="14"/>
                <w:color w:val="auto"/>
              </w:rPr>
              <w:t>Nine Months Ended</w:t>
            </w:r>
          </w:p>
        </w:tc>
      </w:tr>
      <w:tr>
        <w:trPr>
          <w:trHeight w:val="188"/>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color w:val="auto"/>
                <w:w w:val="97"/>
              </w:rPr>
              <w:t>September 30, 2018</w:t>
            </w: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color w:val="auto"/>
                <w:w w:val="97"/>
              </w:rPr>
              <w:t>September 30, 2018</w:t>
            </w:r>
          </w:p>
        </w:tc>
      </w:tr>
      <w:tr>
        <w:trPr>
          <w:trHeight w:val="196"/>
        </w:trPr>
        <w:tc>
          <w:tcPr>
            <w:tcW w:w="7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gridSpan w:val="3"/>
          </w:tcPr>
          <w:p>
            <w:pPr>
              <w:jc w:val="right"/>
              <w:ind w:right="636"/>
              <w:spacing w:after="0"/>
              <w:rPr>
                <w:sz w:val="20"/>
                <w:szCs w:val="20"/>
                <w:color w:val="auto"/>
              </w:rPr>
            </w:pPr>
            <w:r>
              <w:rPr>
                <w:rFonts w:ascii="Arial" w:cs="Arial" w:eastAsia="Arial" w:hAnsi="Arial"/>
                <w:sz w:val="14"/>
                <w:szCs w:val="14"/>
                <w:color w:val="auto"/>
              </w:rPr>
              <w:t>(in thousands, except per share data)</w:t>
            </w:r>
          </w:p>
        </w:tc>
      </w:tr>
      <w:tr>
        <w:trPr>
          <w:trHeight w:val="25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209,448</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502,079</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Income (loss) before income taxes and equity in earnings (losses)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6,956</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(15,416)</w:t>
            </w:r>
          </w:p>
        </w:tc>
      </w:tr>
      <w:tr>
        <w:trPr>
          <w:trHeight w:val="27"/>
        </w:trPr>
        <w:tc>
          <w:tcPr>
            <w:tcW w:w="7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6,145</w:t>
            </w:r>
          </w:p>
        </w:tc>
        <w:tc>
          <w:tcPr>
            <w:tcW w:w="28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(10,671)</w:t>
            </w: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Basic and diluted income (loss) per common share</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0.30</w:t>
            </w:r>
          </w:p>
        </w:tc>
        <w:tc>
          <w:tcPr>
            <w:tcW w:w="28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(0.52)</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unaudited pro forma results do not include any revenue or cost reductions that may be achieved through the business combination or the impact of non-recurring items directly related to the business combination.</w:t>
      </w:r>
    </w:p>
    <w:p>
      <w:pPr>
        <w:spacing w:after="0" w:line="17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unaudited pro forma results are not necessarily indicative of the operating results that would have occurred if the Filament acquisition had been completed as of the date for which the pro forma financial information is presented. In addition, the unaudited pro forma results do not purport to project the future condensed consolidated operating results of the combined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 LEASES</w:t>
      </w:r>
    </w:p>
    <w:p>
      <w:pPr>
        <w:spacing w:after="0" w:line="12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The Company adopted ASC 842 as of January 1, 2019, using the cumulative effective adjustment method wherein the Company applied the new leases standard at the adoption date. Accordingly, all periods prior to January 1, 2019 are presented in accordance with the previous ASC Topic 840 – </w:t>
      </w:r>
      <w:r>
        <w:rPr>
          <w:rFonts w:ascii="Arial" w:cs="Arial" w:eastAsia="Arial" w:hAnsi="Arial"/>
          <w:sz w:val="18"/>
          <w:szCs w:val="18"/>
          <w:i w:val="1"/>
          <w:iCs w:val="1"/>
          <w:color w:val="auto"/>
        </w:rPr>
        <w:t>Leases</w:t>
      </w:r>
      <w:r>
        <w:rPr>
          <w:rFonts w:ascii="Arial" w:cs="Arial" w:eastAsia="Arial" w:hAnsi="Arial"/>
          <w:sz w:val="18"/>
          <w:szCs w:val="18"/>
          <w:color w:val="auto"/>
        </w:rPr>
        <w:t>, and no retrospective adjustments were made to the comparative periods presented. Adoption of ASC 842 resulted in an increase to total assets and liabilities due to the recording of operating lease ROU assets and operating lease liabilities of approximately $90.9 million and $104.4 million, respectively, as of January 1, 2019. Finance leases are not material to the Company and were not impacted by the adoption of ASC 842, as finance lease liabilities and the corresponding assets were already recorded in the balance sheet under the previous guidance, ASC 840. The adoption did not materially impact the Company’s condensed consolidated statements of operations or cash flows.</w:t>
      </w:r>
    </w:p>
    <w:p>
      <w:pPr>
        <w:spacing w:after="0" w:line="18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Company has operating leases for corporate offices, distribution facilities, manufacturing plants, and certain vehicles. Leases with an initial term of 12 months or less are not recorded on the condensed consolidated balance sheet. The Company has elected the practical expedient to account for each separate lease component of a contract and its associated non-lease components as a single lease component, thus causing all fixed payments to be capitalized. The Company also elected the package of practical expedients permitted within the new standard, which among other things, allows the Company to carry forward historical lease classification. Variable lease payment amounts that cannot be determined at the commencement of the lease, such as increases in lease payments based on changes in index rates or usage, are not included in the ROU assets or liabilities. These are expensed as incurred and recorded as variable lease expense.</w:t>
      </w:r>
    </w:p>
    <w:p>
      <w:pPr>
        <w:spacing w:after="0" w:line="189"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ROU assets represent the Company’s right to use an underlying asset during the lease term and lease liabilities represent the Company’s obligation to make lease payments arising from the lease. ROU assets and liabilities are recognized at the commencement date based on the net present value of fixed lease payments over the lease term. The Company’s lease term includes options to extend or terminate the lease when it is reasonably certain that the Company will exercise that option. ROU assets also include any advance lease payments. As most of the Company’s operating leases do not provide an implicit rate, the Company uses its incremental borrowing rate based on the information available at commencement date in determining the present value of lease payments.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costs for the three and nine months ended September 30, 2019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580" w:type="dxa"/>
            <w:vAlign w:val="bottom"/>
          </w:tcPr>
          <w:p>
            <w:pPr>
              <w:jc w:val="right"/>
              <w:ind w:right="179"/>
              <w:spacing w:after="0"/>
              <w:rPr>
                <w:sz w:val="20"/>
                <w:szCs w:val="20"/>
                <w:color w:val="auto"/>
              </w:rPr>
            </w:pPr>
            <w:r>
              <w:rPr>
                <w:rFonts w:ascii="Arial" w:cs="Arial" w:eastAsia="Arial" w:hAnsi="Arial"/>
                <w:sz w:val="14"/>
                <w:szCs w:val="14"/>
                <w:b w:val="1"/>
                <w:bCs w:val="1"/>
                <w:color w:val="auto"/>
                <w:w w:val="99"/>
              </w:rPr>
              <w:t>Nine Months Ended</w:t>
            </w:r>
          </w:p>
        </w:tc>
      </w:tr>
      <w:tr>
        <w:trPr>
          <w:trHeight w:val="192"/>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200" w:type="dxa"/>
            <w:vAlign w:val="bottom"/>
          </w:tcPr>
          <w:p>
            <w:pPr>
              <w:spacing w:after="0"/>
              <w:rPr>
                <w:sz w:val="16"/>
                <w:szCs w:val="16"/>
                <w:color w:val="auto"/>
              </w:rPr>
            </w:pPr>
          </w:p>
        </w:tc>
        <w:tc>
          <w:tcPr>
            <w:tcW w:w="1580" w:type="dxa"/>
            <w:vAlign w:val="bottom"/>
          </w:tcPr>
          <w:p>
            <w:pPr>
              <w:jc w:val="right"/>
              <w:ind w:right="199"/>
              <w:spacing w:after="0"/>
              <w:rPr>
                <w:sz w:val="20"/>
                <w:szCs w:val="20"/>
                <w:color w:val="auto"/>
              </w:rPr>
            </w:pPr>
            <w:r>
              <w:rPr>
                <w:rFonts w:ascii="Arial" w:cs="Arial" w:eastAsia="Arial" w:hAnsi="Arial"/>
                <w:sz w:val="14"/>
                <w:szCs w:val="14"/>
                <w:b w:val="1"/>
                <w:bCs w:val="1"/>
                <w:color w:val="auto"/>
                <w:w w:val="97"/>
              </w:rPr>
              <w:t>September 30, 2019</w:t>
            </w:r>
          </w:p>
        </w:tc>
      </w:tr>
      <w:tr>
        <w:trPr>
          <w:trHeight w:val="236"/>
        </w:trPr>
        <w:tc>
          <w:tcPr>
            <w:tcW w:w="7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6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8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Fixed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9"/>
              <w:spacing w:after="0"/>
              <w:rPr>
                <w:sz w:val="20"/>
                <w:szCs w:val="20"/>
                <w:color w:val="auto"/>
              </w:rPr>
            </w:pPr>
            <w:r>
              <w:rPr>
                <w:rFonts w:ascii="Arial" w:cs="Arial" w:eastAsia="Arial" w:hAnsi="Arial"/>
                <w:sz w:val="18"/>
                <w:szCs w:val="18"/>
                <w:color w:val="auto"/>
              </w:rPr>
              <w:t>4,796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59"/>
              <w:spacing w:after="0"/>
              <w:rPr>
                <w:sz w:val="20"/>
                <w:szCs w:val="20"/>
                <w:color w:val="auto"/>
              </w:rPr>
            </w:pPr>
            <w:r>
              <w:rPr>
                <w:rFonts w:ascii="Arial" w:cs="Arial" w:eastAsia="Arial" w:hAnsi="Arial"/>
                <w:sz w:val="18"/>
                <w:szCs w:val="18"/>
                <w:color w:val="auto"/>
              </w:rPr>
              <w:t>13,927</w:t>
            </w: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4,796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13,927</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for the three and nine months ended September 30, 2019 was as follows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16"/>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9"/>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12,877</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4,902</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12,877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3"/>
        </w:trPr>
        <w:tc>
          <w:tcPr>
            <w:tcW w:w="7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3"/>
          </w:tcPr>
          <w:p>
            <w:pPr>
              <w:ind w:left="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92"/>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September 30, 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3"/>
          </w:tcPr>
          <w:p>
            <w:pPr>
              <w:ind w:left="100"/>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16"/>
        </w:trPr>
        <w:tc>
          <w:tcPr>
            <w:tcW w:w="7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obtained in exchange for new lease obligations:</w:t>
            </w:r>
          </w:p>
        </w:tc>
        <w:tc>
          <w:tcPr>
            <w:tcW w:w="16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ind w:right="79"/>
              <w:spacing w:after="0"/>
              <w:rPr>
                <w:sz w:val="20"/>
                <w:szCs w:val="20"/>
                <w:color w:val="auto"/>
              </w:rPr>
            </w:pPr>
            <w:r>
              <w:rPr>
                <w:rFonts w:ascii="Arial" w:cs="Arial" w:eastAsia="Arial" w:hAnsi="Arial"/>
                <w:sz w:val="18"/>
                <w:szCs w:val="18"/>
                <w:color w:val="auto"/>
              </w:rPr>
              <w:t>2,566</w:t>
            </w:r>
          </w:p>
        </w:tc>
        <w:tc>
          <w:tcPr>
            <w:tcW w:w="10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118,054</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2,566</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118,054</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9620" w:type="dxa"/>
            <w:vAlign w:val="bottom"/>
            <w:gridSpan w:val="4"/>
          </w:tcPr>
          <w:p>
            <w:pPr>
              <w:spacing w:after="0"/>
              <w:rPr>
                <w:sz w:val="20"/>
                <w:szCs w:val="20"/>
                <w:color w:val="auto"/>
              </w:rPr>
            </w:pPr>
            <w:r>
              <w:rPr>
                <w:rFonts w:ascii="Arial" w:cs="Arial" w:eastAsia="Arial" w:hAnsi="Arial"/>
                <w:sz w:val="18"/>
                <w:szCs w:val="18"/>
                <w:color w:val="auto"/>
              </w:rPr>
              <w:t>The aggregate future lease payments for operating leases as of September 30, 2019 were as follows (in thousands):</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 (excluding the nine months ending September 30, 2019)</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4,922</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17,655</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17,538</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17,642</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17,818</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88,965</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164,540</w:t>
            </w: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(40,293)</w:t>
            </w:r>
          </w:p>
        </w:tc>
        <w:tc>
          <w:tcPr>
            <w:tcW w:w="0" w:type="dxa"/>
            <w:vAlign w:val="bottom"/>
          </w:tcPr>
          <w:p>
            <w:pPr>
              <w:spacing w:after="0"/>
              <w:rPr>
                <w:sz w:val="1"/>
                <w:szCs w:val="1"/>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payments</w:t>
            </w:r>
          </w:p>
        </w:tc>
        <w:tc>
          <w:tcPr>
            <w:tcW w:w="160" w:type="dxa"/>
            <w:vAlign w:val="bottom"/>
            <w:tcBorders>
              <w:bottom w:val="single" w:sz="8" w:color="CCEEFF"/>
            </w:tcBorders>
            <w:shd w:val="clear" w:color="auto" w:fill="CCEEFF"/>
          </w:tcPr>
          <w:p>
            <w:pPr>
              <w:spacing w:after="0"/>
              <w:rPr>
                <w:sz w:val="24"/>
                <w:szCs w:val="24"/>
                <w:color w:val="auto"/>
              </w:rPr>
            </w:pPr>
          </w:p>
        </w:tc>
        <w:tc>
          <w:tcPr>
            <w:tcW w:w="16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124,247</w:t>
            </w:r>
          </w:p>
        </w:tc>
        <w:tc>
          <w:tcPr>
            <w:tcW w:w="0" w:type="dxa"/>
            <w:vAlign w:val="bottom"/>
          </w:tcPr>
          <w:p>
            <w:pPr>
              <w:spacing w:after="0"/>
              <w:rPr>
                <w:sz w:val="1"/>
                <w:szCs w:val="1"/>
                <w:color w:val="auto"/>
              </w:rPr>
            </w:pPr>
          </w:p>
        </w:tc>
      </w:tr>
      <w:tr>
        <w:trPr>
          <w:trHeight w:val="20"/>
        </w:trPr>
        <w:tc>
          <w:tcPr>
            <w:tcW w:w="77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Average lease terms and discount rates were as follows:</w:t>
            </w:r>
          </w:p>
        </w:tc>
        <w:tc>
          <w:tcPr>
            <w:tcW w:w="16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77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7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151"/>
              <w:spacing w:after="0"/>
              <w:rPr>
                <w:sz w:val="20"/>
                <w:szCs w:val="20"/>
                <w:color w:val="auto"/>
              </w:rPr>
            </w:pPr>
            <w:r>
              <w:rPr>
                <w:rFonts w:ascii="Arial" w:cs="Arial" w:eastAsia="Arial" w:hAnsi="Arial"/>
                <w:sz w:val="14"/>
                <w:szCs w:val="14"/>
                <w:b w:val="1"/>
                <w:bCs w:val="1"/>
                <w:color w:val="auto"/>
              </w:rPr>
              <w:t>September 30, 2019</w:t>
            </w:r>
          </w:p>
        </w:tc>
        <w:tc>
          <w:tcPr>
            <w:tcW w:w="0" w:type="dxa"/>
            <w:vAlign w:val="bottom"/>
          </w:tcPr>
          <w:p>
            <w:pPr>
              <w:spacing w:after="0"/>
              <w:rPr>
                <w:sz w:val="1"/>
                <w:szCs w:val="1"/>
                <w:color w:val="auto"/>
              </w:rPr>
            </w:pPr>
          </w:p>
        </w:tc>
      </w:tr>
      <w:tr>
        <w:trPr>
          <w:trHeight w:val="236"/>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 (years)</w:t>
            </w:r>
          </w:p>
        </w:tc>
        <w:tc>
          <w:tcPr>
            <w:tcW w:w="160" w:type="dxa"/>
            <w:vAlign w:val="bottom"/>
            <w:tcBorders>
              <w:bottom w:val="single" w:sz="8" w:color="CCEEFF"/>
            </w:tcBorders>
            <w:shd w:val="clear" w:color="auto" w:fill="CCEEFF"/>
          </w:tcPr>
          <w:p>
            <w:pPr>
              <w:spacing w:after="0"/>
              <w:rPr>
                <w:sz w:val="20"/>
                <w:szCs w:val="20"/>
                <w:color w:val="auto"/>
              </w:rPr>
            </w:pPr>
          </w:p>
        </w:tc>
        <w:tc>
          <w:tcPr>
            <w:tcW w:w="16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7"/>
        </w:trPr>
        <w:tc>
          <w:tcPr>
            <w:tcW w:w="7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40" w:type="dxa"/>
            <w:vAlign w:val="bottom"/>
          </w:tcPr>
          <w:p>
            <w:pPr>
              <w:ind w:left="20"/>
              <w:spacing w:after="0"/>
              <w:rPr>
                <w:sz w:val="20"/>
                <w:szCs w:val="20"/>
                <w:color w:val="auto"/>
              </w:rPr>
            </w:pPr>
            <w:r>
              <w:rPr>
                <w:rFonts w:ascii="Arial" w:cs="Arial" w:eastAsia="Arial" w:hAnsi="Arial"/>
                <w:sz w:val="18"/>
                <w:szCs w:val="18"/>
                <w:color w:val="auto"/>
              </w:rPr>
              <w:t>Operating leases</w:t>
            </w:r>
          </w:p>
        </w:tc>
        <w:tc>
          <w:tcPr>
            <w:tcW w:w="1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E —INVESTMENTS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owns approximately a 30 %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2019 and 2018 in the accompanying unaudited condensed consolidated statements of operations.</w:t>
      </w:r>
    </w:p>
    <w:p>
      <w:pPr>
        <w:spacing w:after="0" w:line="192" w:lineRule="exact"/>
        <w:rPr>
          <w:sz w:val="20"/>
          <w:szCs w:val="20"/>
          <w:color w:val="auto"/>
        </w:rPr>
      </w:pPr>
    </w:p>
    <w:p>
      <w:pPr>
        <w:ind w:right="400"/>
        <w:spacing w:after="0" w:line="246" w:lineRule="auto"/>
        <w:rPr>
          <w:sz w:val="20"/>
          <w:szCs w:val="20"/>
          <w:color w:val="auto"/>
        </w:rPr>
      </w:pPr>
      <w:r>
        <w:rPr>
          <w:rFonts w:ascii="Arial" w:cs="Arial" w:eastAsia="Arial" w:hAnsi="Arial"/>
          <w:sz w:val="18"/>
          <w:szCs w:val="18"/>
          <w:color w:val="auto"/>
        </w:rPr>
        <w:t>The value of the Company's investment balance has been translated from Mexican Pesos ("MXN") to U.S. Dollars ("USD") using the spot rates of MXN 19.71 and MXN 19.64 at September 30, 2019 and December 31, 2018,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proportionate share of Vasconia's net (loss) income has been translated from MXN to USD using the following exchange rates: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2580" w:type="dxa"/>
            <w:vAlign w:val="bottom"/>
            <w:gridSpan w:val="2"/>
          </w:tcPr>
          <w:p>
            <w:pPr>
              <w:jc w:val="center"/>
              <w:ind w:left="448"/>
              <w:spacing w:after="0"/>
              <w:rPr>
                <w:sz w:val="20"/>
                <w:szCs w:val="20"/>
                <w:color w:val="auto"/>
              </w:rPr>
            </w:pPr>
            <w:r>
              <w:rPr>
                <w:rFonts w:ascii="Arial" w:cs="Arial" w:eastAsia="Arial" w:hAnsi="Arial"/>
                <w:sz w:val="14"/>
                <w:szCs w:val="14"/>
                <w:b w:val="1"/>
                <w:bCs w:val="1"/>
                <w:color w:val="auto"/>
                <w:w w:val="93"/>
              </w:rPr>
              <w:t>Three Months Ended</w:t>
            </w:r>
          </w:p>
        </w:tc>
        <w:tc>
          <w:tcPr>
            <w:tcW w:w="1000" w:type="dxa"/>
            <w:vAlign w:val="bottom"/>
          </w:tcPr>
          <w:p>
            <w:pPr>
              <w:spacing w:after="0"/>
              <w:rPr>
                <w:sz w:val="14"/>
                <w:szCs w:val="14"/>
                <w:color w:val="auto"/>
              </w:rPr>
            </w:pPr>
          </w:p>
        </w:tc>
        <w:tc>
          <w:tcPr>
            <w:tcW w:w="2380" w:type="dxa"/>
            <w:vAlign w:val="bottom"/>
          </w:tcPr>
          <w:p>
            <w:pPr>
              <w:jc w:val="center"/>
              <w:ind w:left="824"/>
              <w:spacing w:after="0"/>
              <w:rPr>
                <w:sz w:val="20"/>
                <w:szCs w:val="20"/>
                <w:color w:val="auto"/>
              </w:rPr>
            </w:pPr>
            <w:r>
              <w:rPr>
                <w:rFonts w:ascii="Arial" w:cs="Arial" w:eastAsia="Arial" w:hAnsi="Arial"/>
                <w:sz w:val="14"/>
                <w:szCs w:val="14"/>
                <w:b w:val="1"/>
                <w:bCs w:val="1"/>
                <w:color w:val="auto"/>
                <w:w w:val="94"/>
              </w:rPr>
              <w:t>Nine Months Ended</w:t>
            </w:r>
          </w:p>
        </w:tc>
        <w:tc>
          <w:tcPr>
            <w:tcW w:w="1180" w:type="dxa"/>
            <w:vAlign w:val="bottom"/>
          </w:tcPr>
          <w:p>
            <w:pPr>
              <w:spacing w:after="0"/>
              <w:rPr>
                <w:sz w:val="14"/>
                <w:szCs w:val="14"/>
                <w:color w:val="auto"/>
              </w:rPr>
            </w:pPr>
          </w:p>
        </w:tc>
      </w:tr>
      <w:tr>
        <w:trPr>
          <w:trHeight w:val="186"/>
        </w:trPr>
        <w:tc>
          <w:tcPr>
            <w:tcW w:w="4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580" w:type="dxa"/>
            <w:vAlign w:val="bottom"/>
          </w:tcPr>
          <w:p>
            <w:pPr>
              <w:jc w:val="center"/>
              <w:ind w:right="422"/>
              <w:spacing w:after="0"/>
              <w:rPr>
                <w:sz w:val="20"/>
                <w:szCs w:val="20"/>
                <w:color w:val="auto"/>
              </w:rPr>
            </w:pPr>
            <w:r>
              <w:rPr>
                <w:rFonts w:ascii="Arial" w:cs="Arial" w:eastAsia="Arial" w:hAnsi="Arial"/>
                <w:sz w:val="14"/>
                <w:szCs w:val="14"/>
                <w:b w:val="1"/>
                <w:bCs w:val="1"/>
                <w:color w:val="auto"/>
                <w:w w:val="91"/>
              </w:rPr>
              <w:t>September 30,</w:t>
            </w:r>
          </w:p>
        </w:tc>
        <w:tc>
          <w:tcPr>
            <w:tcW w:w="1000" w:type="dxa"/>
            <w:vAlign w:val="bottom"/>
          </w:tcPr>
          <w:p>
            <w:pPr>
              <w:spacing w:after="0"/>
              <w:rPr>
                <w:sz w:val="16"/>
                <w:szCs w:val="16"/>
                <w:color w:val="auto"/>
              </w:rPr>
            </w:pPr>
          </w:p>
        </w:tc>
        <w:tc>
          <w:tcPr>
            <w:tcW w:w="2380" w:type="dxa"/>
            <w:vAlign w:val="bottom"/>
          </w:tcPr>
          <w:p>
            <w:pPr>
              <w:jc w:val="center"/>
              <w:ind w:left="824"/>
              <w:spacing w:after="0"/>
              <w:rPr>
                <w:sz w:val="20"/>
                <w:szCs w:val="20"/>
                <w:color w:val="auto"/>
              </w:rPr>
            </w:pPr>
            <w:r>
              <w:rPr>
                <w:rFonts w:ascii="Arial" w:cs="Arial" w:eastAsia="Arial" w:hAnsi="Arial"/>
                <w:sz w:val="14"/>
                <w:szCs w:val="14"/>
                <w:b w:val="1"/>
                <w:bCs w:val="1"/>
                <w:color w:val="auto"/>
                <w:w w:val="91"/>
              </w:rPr>
              <w:t>September 30,</w:t>
            </w:r>
          </w:p>
        </w:tc>
        <w:tc>
          <w:tcPr>
            <w:tcW w:w="1180" w:type="dxa"/>
            <w:vAlign w:val="bottom"/>
          </w:tcPr>
          <w:p>
            <w:pPr>
              <w:spacing w:after="0"/>
              <w:rPr>
                <w:sz w:val="16"/>
                <w:szCs w:val="16"/>
                <w:color w:val="auto"/>
              </w:rPr>
            </w:pPr>
          </w:p>
        </w:tc>
      </w:tr>
      <w:tr>
        <w:trPr>
          <w:trHeight w:val="246"/>
        </w:trPr>
        <w:tc>
          <w:tcPr>
            <w:tcW w:w="4180" w:type="dxa"/>
            <w:vAlign w:val="bottom"/>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3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spacing w:after="0"/>
              <w:rPr>
                <w:sz w:val="21"/>
                <w:szCs w:val="21"/>
                <w:color w:val="auto"/>
              </w:rPr>
            </w:pPr>
          </w:p>
        </w:tc>
      </w:tr>
      <w:tr>
        <w:trPr>
          <w:trHeight w:val="204"/>
        </w:trPr>
        <w:tc>
          <w:tcPr>
            <w:tcW w:w="418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2019</w:t>
            </w:r>
          </w:p>
        </w:tc>
        <w:tc>
          <w:tcPr>
            <w:tcW w:w="158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2018</w:t>
            </w:r>
          </w:p>
        </w:tc>
        <w:tc>
          <w:tcPr>
            <w:tcW w:w="100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jc w:val="right"/>
              <w:ind w:right="1484"/>
              <w:spacing w:after="0"/>
              <w:rPr>
                <w:sz w:val="20"/>
                <w:szCs w:val="20"/>
                <w:color w:val="auto"/>
              </w:rPr>
            </w:pPr>
            <w:r>
              <w:rPr>
                <w:rFonts w:ascii="Arial" w:cs="Arial" w:eastAsia="Arial" w:hAnsi="Arial"/>
                <w:sz w:val="14"/>
                <w:szCs w:val="14"/>
                <w:b w:val="1"/>
                <w:bCs w:val="1"/>
                <w:color w:val="auto"/>
              </w:rPr>
              <w:t>2019</w:t>
            </w:r>
          </w:p>
        </w:tc>
        <w:tc>
          <w:tcPr>
            <w:tcW w:w="1180" w:type="dxa"/>
            <w:vAlign w:val="bottom"/>
            <w:tcBorders>
              <w:bottom w:val="single" w:sz="8" w:color="auto"/>
            </w:tcBorders>
          </w:tcPr>
          <w:p>
            <w:pPr>
              <w:jc w:val="right"/>
              <w:ind w:right="679"/>
              <w:spacing w:after="0"/>
              <w:rPr>
                <w:sz w:val="20"/>
                <w:szCs w:val="20"/>
                <w:color w:val="auto"/>
              </w:rPr>
            </w:pPr>
            <w:r>
              <w:rPr>
                <w:rFonts w:ascii="Arial" w:cs="Arial" w:eastAsia="Arial" w:hAnsi="Arial"/>
                <w:sz w:val="14"/>
                <w:szCs w:val="14"/>
                <w:b w:val="1"/>
                <w:bCs w:val="1"/>
                <w:color w:val="auto"/>
              </w:rPr>
              <w:t>2018</w:t>
            </w:r>
          </w:p>
        </w:tc>
      </w:tr>
      <w:tr>
        <w:trPr>
          <w:trHeight w:val="351"/>
        </w:trPr>
        <w:tc>
          <w:tcPr>
            <w:tcW w:w="5180" w:type="dxa"/>
            <w:vAlign w:val="bottom"/>
            <w:gridSpan w:val="2"/>
            <w:shd w:val="clear" w:color="auto" w:fill="CCEEFF"/>
          </w:tcPr>
          <w:p>
            <w:pPr>
              <w:jc w:val="right"/>
              <w:ind w:right="2268"/>
              <w:spacing w:after="0"/>
              <w:rPr>
                <w:sz w:val="20"/>
                <w:szCs w:val="20"/>
                <w:color w:val="auto"/>
              </w:rPr>
            </w:pPr>
            <w:r>
              <w:rPr>
                <w:rFonts w:ascii="Arial" w:cs="Arial" w:eastAsia="Arial" w:hAnsi="Arial"/>
                <w:sz w:val="18"/>
                <w:szCs w:val="18"/>
                <w:color w:val="auto"/>
                <w:w w:val="92"/>
              </w:rPr>
              <w:t>Average exchange rate (MXN to USD)</w:t>
            </w:r>
          </w:p>
        </w:tc>
        <w:tc>
          <w:tcPr>
            <w:tcW w:w="158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rPr>
              <w:t>19.42</w:t>
            </w:r>
          </w:p>
        </w:tc>
        <w:tc>
          <w:tcPr>
            <w:tcW w:w="10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18.94</w:t>
            </w:r>
          </w:p>
        </w:tc>
        <w:tc>
          <w:tcPr>
            <w:tcW w:w="2380" w:type="dxa"/>
            <w:vAlign w:val="bottom"/>
            <w:shd w:val="clear" w:color="auto" w:fill="CCEEFF"/>
          </w:tcPr>
          <w:p>
            <w:pPr>
              <w:jc w:val="right"/>
              <w:ind w:right="704"/>
              <w:spacing w:after="0"/>
              <w:rPr>
                <w:sz w:val="20"/>
                <w:szCs w:val="20"/>
                <w:color w:val="auto"/>
              </w:rPr>
            </w:pPr>
            <w:r>
              <w:rPr>
                <w:rFonts w:ascii="Arial" w:cs="Arial" w:eastAsia="Arial" w:hAnsi="Arial"/>
                <w:sz w:val="18"/>
                <w:szCs w:val="18"/>
                <w:color w:val="auto"/>
              </w:rPr>
              <w:t>19.11 - 19.42</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18.71-19.38</w:t>
            </w:r>
          </w:p>
        </w:tc>
      </w:tr>
      <w:tr>
        <w:trPr>
          <w:trHeight w:val="27"/>
        </w:trPr>
        <w:tc>
          <w:tcPr>
            <w:tcW w:w="41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2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effect of the translation of the Company’s investment resulted in a decrease to the investment of $1.8 million during the nine months ended September 30, 2019 and an increase to the investment of $0.8 million during the nine months ended 2018. These translation effects are recorded in accumulated other comprehensive income (loss).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Summarized statement of income information for Vasconia in USD and MXN is as follows (in thousands):</w:t>
      </w:r>
    </w:p>
    <w:p>
      <w:pPr>
        <w:spacing w:after="0" w:line="41"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57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13335</wp:posOffset>
            </wp:positionV>
            <wp:extent cx="35674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Borders>
              <w:bottom w:val="single" w:sz="8" w:color="auto"/>
            </w:tcBorders>
          </w:tcPr>
          <w:p>
            <w:pPr>
              <w:spacing w:after="0"/>
              <w:rPr>
                <w:sz w:val="16"/>
                <w:szCs w:val="16"/>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MXN</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MXN</w:t>
            </w: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36,566</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710,118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41,222</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780,938</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5,572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108,205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7,762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147,039</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(11,288)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20,136</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(12,571)</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(1,233)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(23,361)</w:t>
            </w:r>
          </w:p>
        </w:tc>
      </w:tr>
      <w:tr>
        <w:trPr>
          <w:trHeight w:val="450"/>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gridSpan w:val="4"/>
          </w:tcPr>
          <w:p>
            <w:pPr>
              <w:jc w:val="right"/>
              <w:ind w:right="574"/>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92"/>
        </w:trPr>
        <w:tc>
          <w:tcPr>
            <w:tcW w:w="5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2019</w:t>
            </w:r>
          </w:p>
        </w:tc>
        <w:tc>
          <w:tcPr>
            <w:tcW w:w="10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89"/>
              </w:rPr>
              <w:t>2018</w:t>
            </w:r>
          </w:p>
        </w:tc>
        <w:tc>
          <w:tcPr>
            <w:tcW w:w="1060" w:type="dxa"/>
            <w:vAlign w:val="bottom"/>
            <w:tcBorders>
              <w:bottom w:val="single" w:sz="8" w:color="auto"/>
            </w:tcBorders>
          </w:tcPr>
          <w:p>
            <w:pPr>
              <w:spacing w:after="0"/>
              <w:rPr>
                <w:sz w:val="17"/>
                <w:szCs w:val="17"/>
                <w:color w:val="auto"/>
              </w:rPr>
            </w:pPr>
          </w:p>
        </w:tc>
      </w:tr>
      <w:tr>
        <w:trPr>
          <w:trHeight w:val="196"/>
        </w:trPr>
        <w:tc>
          <w:tcPr>
            <w:tcW w:w="57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color w:val="auto"/>
              </w:rPr>
              <w:t>MXN</w:t>
            </w:r>
          </w:p>
        </w:tc>
        <w:tc>
          <w:tcPr>
            <w:tcW w:w="12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color w:val="auto"/>
              </w:rPr>
              <w:t>USD</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color w:val="auto"/>
              </w:rPr>
              <w:t>MXN</w:t>
            </w: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115,100</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2,216,293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128,853</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2,452,673</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22,801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56"/>
              <w:spacing w:after="0"/>
              <w:rPr>
                <w:sz w:val="20"/>
                <w:szCs w:val="20"/>
                <w:color w:val="auto"/>
              </w:rPr>
            </w:pPr>
            <w:r>
              <w:rPr>
                <w:rFonts w:ascii="Arial" w:cs="Arial" w:eastAsia="Arial" w:hAnsi="Arial"/>
                <w:sz w:val="18"/>
                <w:szCs w:val="18"/>
                <w:color w:val="auto"/>
              </w:rPr>
              <w:t>438,478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24,867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473,763</w:t>
            </w: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4,117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78,739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112,466</w:t>
            </w: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Net (Loss) income</w:t>
            </w:r>
          </w:p>
        </w:tc>
        <w:tc>
          <w:tcPr>
            <w:tcW w:w="3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(1,158)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(22,384)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17,484</w:t>
            </w:r>
          </w:p>
        </w:tc>
      </w:tr>
    </w:tbl>
    <w:p>
      <w:pPr>
        <w:spacing w:after="0" w:line="2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The Company recorded equity in (losses) earnings of Vasconia, net of taxes, of $(0.2) million and $(0.4) million for the three and nine months ended September 30, 2019, respectively. The Company recorded equity in (losses) earnings of Vasconia, net of taxes, of $0.2 million and $0.4 million for the three and nine months ended September 30, 2018, respectively. Equity in (losses) earnings for the three and nine months ended September 30, 2018 includes deferred tax benefit of $0.6 million and $0.3 million, respectively, due to the requirement to record tax benefits for foreign currency translation gains and losses through other comprehensive (loss) income, with a corresponding adjustment to deferred tax liabilities.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Included within the Company's condensed consolidated balance sheets are the following amounts due to and due from Vasconia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Vasconia due to and due from balances</w:t>
            </w:r>
          </w:p>
        </w:tc>
        <w:tc>
          <w:tcPr>
            <w:tcW w:w="4960" w:type="dxa"/>
            <w:vAlign w:val="bottom"/>
            <w:gridSpan w:val="2"/>
          </w:tcPr>
          <w:p>
            <w:pPr>
              <w:jc w:val="center"/>
              <w:ind w:left="863"/>
              <w:spacing w:after="0"/>
              <w:rPr>
                <w:sz w:val="20"/>
                <w:szCs w:val="20"/>
                <w:color w:val="auto"/>
              </w:rPr>
            </w:pPr>
            <w:r>
              <w:rPr>
                <w:rFonts w:ascii="Arial" w:cs="Arial" w:eastAsia="Arial" w:hAnsi="Arial"/>
                <w:sz w:val="14"/>
                <w:szCs w:val="14"/>
                <w:b w:val="1"/>
                <w:bCs w:val="1"/>
                <w:color w:val="auto"/>
                <w:w w:val="89"/>
              </w:rPr>
              <w:t>Balance Sheet</w:t>
            </w:r>
          </w:p>
        </w:tc>
        <w:tc>
          <w:tcPr>
            <w:tcW w:w="140" w:type="dxa"/>
            <w:vAlign w:val="bottom"/>
          </w:tcPr>
          <w:p>
            <w:pPr>
              <w:spacing w:after="0"/>
              <w:rPr>
                <w:sz w:val="14"/>
                <w:szCs w:val="14"/>
                <w:color w:val="auto"/>
              </w:rPr>
            </w:pPr>
          </w:p>
        </w:tc>
        <w:tc>
          <w:tcPr>
            <w:tcW w:w="140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3"/>
              </w:rPr>
              <w:t>September 30, 2019</w:t>
            </w:r>
          </w:p>
        </w:tc>
        <w:tc>
          <w:tcPr>
            <w:tcW w:w="100" w:type="dxa"/>
            <w:vAlign w:val="bottom"/>
            <w:vMerge w:val="restart"/>
          </w:tcPr>
          <w:p>
            <w:pPr>
              <w:spacing w:after="0"/>
              <w:rPr>
                <w:sz w:val="14"/>
                <w:szCs w:val="14"/>
                <w:color w:val="auto"/>
              </w:rPr>
            </w:pPr>
          </w:p>
        </w:tc>
        <w:tc>
          <w:tcPr>
            <w:tcW w:w="13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6"/>
              </w:rPr>
              <w:t>December 31, 2018</w:t>
            </w:r>
          </w:p>
        </w:tc>
        <w:tc>
          <w:tcPr>
            <w:tcW w:w="0" w:type="dxa"/>
            <w:vAlign w:val="bottom"/>
          </w:tcPr>
          <w:p>
            <w:pPr>
              <w:spacing w:after="0"/>
              <w:rPr>
                <w:sz w:val="1"/>
                <w:szCs w:val="1"/>
                <w:color w:val="auto"/>
              </w:rPr>
            </w:pPr>
          </w:p>
        </w:tc>
      </w:tr>
      <w:tr>
        <w:trPr>
          <w:trHeight w:val="192"/>
        </w:trPr>
        <w:tc>
          <w:tcPr>
            <w:tcW w:w="3480" w:type="dxa"/>
            <w:vAlign w:val="bottom"/>
            <w:tcBorders>
              <w:bottom w:val="single" w:sz="8" w:color="auto"/>
            </w:tcBorders>
            <w:vMerge w:val="continue"/>
          </w:tcPr>
          <w:p>
            <w:pPr>
              <w:spacing w:after="0"/>
              <w:rPr>
                <w:sz w:val="16"/>
                <w:szCs w:val="16"/>
                <w:color w:val="auto"/>
              </w:rPr>
            </w:pPr>
          </w:p>
        </w:tc>
        <w:tc>
          <w:tcPr>
            <w:tcW w:w="4860" w:type="dxa"/>
            <w:vAlign w:val="bottom"/>
            <w:tcBorders>
              <w:bottom w:val="single" w:sz="8" w:color="auto"/>
            </w:tcBorders>
          </w:tcPr>
          <w:p>
            <w:pPr>
              <w:jc w:val="center"/>
              <w:ind w:left="963"/>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Amounts due from Vasconia</w:t>
            </w:r>
          </w:p>
        </w:tc>
        <w:tc>
          <w:tcPr>
            <w:tcW w:w="49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ind w:right="383"/>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24"/>
        </w:trPr>
        <w:tc>
          <w:tcPr>
            <w:tcW w:w="3480" w:type="dxa"/>
            <w:vAlign w:val="bottom"/>
          </w:tcPr>
          <w:p>
            <w:pPr>
              <w:ind w:left="20"/>
              <w:spacing w:after="0"/>
              <w:rPr>
                <w:sz w:val="20"/>
                <w:szCs w:val="20"/>
                <w:color w:val="auto"/>
              </w:rPr>
            </w:pPr>
            <w:r>
              <w:rPr>
                <w:rFonts w:ascii="Arial" w:cs="Arial" w:eastAsia="Arial" w:hAnsi="Arial"/>
                <w:sz w:val="16"/>
                <w:szCs w:val="16"/>
                <w:color w:val="auto"/>
              </w:rPr>
              <w:t>Amounts due to Vasconia</w:t>
            </w:r>
          </w:p>
        </w:tc>
        <w:tc>
          <w:tcPr>
            <w:tcW w:w="4960" w:type="dxa"/>
            <w:vAlign w:val="bottom"/>
            <w:gridSpan w:val="2"/>
          </w:tcPr>
          <w:p>
            <w:pPr>
              <w:ind w:left="1040"/>
              <w:spacing w:after="0"/>
              <w:rPr>
                <w:sz w:val="20"/>
                <w:szCs w:val="20"/>
                <w:color w:val="auto"/>
              </w:rPr>
            </w:pPr>
            <w:r>
              <w:rPr>
                <w:rFonts w:ascii="Arial" w:cs="Arial" w:eastAsia="Arial" w:hAnsi="Arial"/>
                <w:sz w:val="16"/>
                <w:szCs w:val="16"/>
                <w:color w:val="auto"/>
              </w:rPr>
              <w:t>Accrued expenses and Accounts payable</w:t>
            </w:r>
          </w:p>
        </w:tc>
        <w:tc>
          <w:tcPr>
            <w:tcW w:w="140" w:type="dxa"/>
            <w:vAlign w:val="bottom"/>
          </w:tcPr>
          <w:p>
            <w:pPr>
              <w:spacing w:after="0"/>
              <w:rPr>
                <w:sz w:val="19"/>
                <w:szCs w:val="19"/>
                <w:color w:val="auto"/>
              </w:rPr>
            </w:pPr>
          </w:p>
        </w:tc>
        <w:tc>
          <w:tcPr>
            <w:tcW w:w="1400" w:type="dxa"/>
            <w:vAlign w:val="bottom"/>
          </w:tcPr>
          <w:p>
            <w:pPr>
              <w:jc w:val="right"/>
              <w:ind w:right="82"/>
              <w:spacing w:after="0"/>
              <w:rPr>
                <w:sz w:val="20"/>
                <w:szCs w:val="20"/>
                <w:color w:val="auto"/>
              </w:rPr>
            </w:pPr>
            <w:r>
              <w:rPr>
                <w:rFonts w:ascii="Arial" w:cs="Arial" w:eastAsia="Arial" w:hAnsi="Arial"/>
                <w:sz w:val="16"/>
                <w:szCs w:val="16"/>
                <w:color w:val="auto"/>
              </w:rPr>
              <w:t>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As of September 30, 2019 and December 31, 2018, the fair value (based upon Vasconia’s quoted stock price) of the Company’s investment in Vasconia was $33.3 million and $31.9 million, respectively. The carrying value of the Company’s investment in Vasconia was $20.3 million and $22.6 million as of September 30, 2019 and December 31, 2018,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F — INTANGIBLE ASSETS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5"/>
          </w:tcPr>
          <w:p>
            <w:pPr>
              <w:ind w:left="340"/>
              <w:spacing w:after="0"/>
              <w:rPr>
                <w:sz w:val="20"/>
                <w:szCs w:val="20"/>
                <w:color w:val="auto"/>
              </w:rPr>
            </w:pPr>
            <w:r>
              <w:rPr>
                <w:rFonts w:ascii="Arial" w:cs="Arial" w:eastAsia="Arial" w:hAnsi="Arial"/>
                <w:sz w:val="14"/>
                <w:szCs w:val="14"/>
                <w:b w:val="1"/>
                <w:bCs w:val="1"/>
                <w:color w:val="auto"/>
              </w:rPr>
              <w:t>September 30, 2019</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5"/>
          </w:tcPr>
          <w:p>
            <w:pPr>
              <w:ind w:left="460"/>
              <w:spacing w:after="0"/>
              <w:rPr>
                <w:sz w:val="20"/>
                <w:szCs w:val="20"/>
                <w:color w:val="auto"/>
              </w:rPr>
            </w:pPr>
            <w:r>
              <w:rPr>
                <w:rFonts w:ascii="Arial" w:cs="Arial" w:eastAsia="Arial" w:hAnsi="Arial"/>
                <w:sz w:val="14"/>
                <w:szCs w:val="14"/>
                <w:b w:val="1"/>
                <w:bCs w:val="1"/>
                <w:color w:val="auto"/>
              </w:rPr>
              <w:t>December 31, 2018</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restart"/>
          </w:tcPr>
          <w:p>
            <w:pPr>
              <w:jc w:val="right"/>
              <w:ind w:right="320"/>
              <w:spacing w:after="0"/>
              <w:rPr>
                <w:sz w:val="20"/>
                <w:szCs w:val="20"/>
                <w:color w:val="auto"/>
              </w:rPr>
            </w:pPr>
            <w:r>
              <w:rPr>
                <w:rFonts w:ascii="Arial" w:cs="Arial" w:eastAsia="Arial" w:hAnsi="Arial"/>
                <w:sz w:val="14"/>
                <w:szCs w:val="14"/>
                <w:b w:val="1"/>
                <w:bCs w:val="1"/>
                <w:color w:val="auto"/>
              </w:rPr>
              <w:t>Gross</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200" w:type="dxa"/>
            <w:vAlign w:val="bottom"/>
          </w:tcPr>
          <w:p>
            <w:pPr>
              <w:spacing w:after="0"/>
              <w:rPr>
                <w:sz w:val="13"/>
                <w:szCs w:val="13"/>
                <w:color w:val="auto"/>
              </w:rPr>
            </w:pPr>
          </w:p>
        </w:tc>
        <w:tc>
          <w:tcPr>
            <w:tcW w:w="780" w:type="dxa"/>
            <w:vAlign w:val="bottom"/>
            <w:vMerge w:val="restart"/>
          </w:tcPr>
          <w:p>
            <w:pPr>
              <w:jc w:val="right"/>
              <w:ind w:right="300"/>
              <w:spacing w:after="0"/>
              <w:rPr>
                <w:sz w:val="20"/>
                <w:szCs w:val="20"/>
                <w:color w:val="auto"/>
              </w:rPr>
            </w:pPr>
            <w:r>
              <w:rPr>
                <w:rFonts w:ascii="Arial" w:cs="Arial" w:eastAsia="Arial" w:hAnsi="Arial"/>
                <w:sz w:val="14"/>
                <w:szCs w:val="14"/>
                <w:b w:val="1"/>
                <w:bCs w:val="1"/>
                <w:color w:val="auto"/>
              </w:rPr>
              <w:t>Net</w:t>
            </w:r>
          </w:p>
        </w:tc>
        <w:tc>
          <w:tcPr>
            <w:tcW w:w="12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vMerge w:val="restart"/>
          </w:tcPr>
          <w:p>
            <w:pPr>
              <w:jc w:val="right"/>
              <w:ind w:right="200"/>
              <w:spacing w:after="0"/>
              <w:rPr>
                <w:sz w:val="20"/>
                <w:szCs w:val="20"/>
                <w:color w:val="auto"/>
              </w:rPr>
            </w:pPr>
            <w:r>
              <w:rPr>
                <w:rFonts w:ascii="Arial" w:cs="Arial" w:eastAsia="Arial" w:hAnsi="Arial"/>
                <w:sz w:val="14"/>
                <w:szCs w:val="14"/>
                <w:b w:val="1"/>
                <w:bCs w:val="1"/>
                <w:color w:val="auto"/>
              </w:rPr>
              <w:t>Gross</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Impairment</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Accumulated</w:t>
            </w:r>
          </w:p>
        </w:tc>
        <w:tc>
          <w:tcPr>
            <w:tcW w:w="160" w:type="dxa"/>
            <w:vAlign w:val="bottom"/>
          </w:tcPr>
          <w:p>
            <w:pPr>
              <w:spacing w:after="0"/>
              <w:rPr>
                <w:sz w:val="13"/>
                <w:szCs w:val="13"/>
                <w:color w:val="auto"/>
              </w:rPr>
            </w:pPr>
          </w:p>
        </w:tc>
        <w:tc>
          <w:tcPr>
            <w:tcW w:w="720" w:type="dxa"/>
            <w:vAlign w:val="bottom"/>
            <w:vMerge w:val="restart"/>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2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Amortization</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Amortization</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Goodwill</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92,361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(9,748)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82,613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93,895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91,690</w:t>
            </w:r>
          </w:p>
        </w:tc>
        <w:tc>
          <w:tcPr>
            <w:tcW w:w="0" w:type="dxa"/>
            <w:vAlign w:val="bottom"/>
          </w:tcPr>
          <w:p>
            <w:pPr>
              <w:spacing w:after="0"/>
              <w:rPr>
                <w:sz w:val="1"/>
                <w:szCs w:val="1"/>
                <w:color w:val="auto"/>
              </w:rPr>
            </w:pPr>
          </w:p>
        </w:tc>
      </w:tr>
      <w:tr>
        <w:trPr>
          <w:trHeight w:val="216"/>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Indefinite-lived intangible</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Trade names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58,216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58,216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58,216</w:t>
            </w:r>
          </w:p>
        </w:tc>
        <w:tc>
          <w:tcPr>
            <w:tcW w:w="0" w:type="dxa"/>
            <w:vAlign w:val="bottom"/>
          </w:tcPr>
          <w:p>
            <w:pPr>
              <w:spacing w:after="0"/>
              <w:rPr>
                <w:sz w:val="1"/>
                <w:szCs w:val="1"/>
                <w:color w:val="auto"/>
              </w:rPr>
            </w:pPr>
          </w:p>
        </w:tc>
      </w:tr>
      <w:tr>
        <w:trPr>
          <w:trHeight w:val="224"/>
        </w:trPr>
        <w:tc>
          <w:tcPr>
            <w:tcW w:w="2240" w:type="dxa"/>
            <w:vAlign w:val="bottom"/>
          </w:tcPr>
          <w:p>
            <w:pPr>
              <w:ind w:left="20"/>
              <w:spacing w:after="0"/>
              <w:rPr>
                <w:sz w:val="20"/>
                <w:szCs w:val="20"/>
                <w:color w:val="auto"/>
              </w:rPr>
            </w:pPr>
            <w:r>
              <w:rPr>
                <w:rFonts w:ascii="Arial" w:cs="Arial" w:eastAsia="Arial" w:hAnsi="Arial"/>
                <w:sz w:val="16"/>
                <w:szCs w:val="16"/>
                <w:b w:val="1"/>
                <w:bCs w:val="1"/>
                <w:color w:val="auto"/>
                <w:w w:val="98"/>
              </w:rPr>
              <w:t>Finite-lived intangible assets: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Licenses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15,847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(10,173)</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5,674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15,847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(9,825)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6,022</w:t>
            </w:r>
          </w:p>
        </w:tc>
        <w:tc>
          <w:tcPr>
            <w:tcW w:w="0" w:type="dxa"/>
            <w:vAlign w:val="bottom"/>
          </w:tcPr>
          <w:p>
            <w:pPr>
              <w:spacing w:after="0"/>
              <w:rPr>
                <w:sz w:val="1"/>
                <w:szCs w:val="1"/>
                <w:color w:val="auto"/>
              </w:rPr>
            </w:pPr>
          </w:p>
        </w:tc>
      </w:tr>
      <w:tr>
        <w:trPr>
          <w:trHeight w:val="224"/>
        </w:trPr>
        <w:tc>
          <w:tcPr>
            <w:tcW w:w="2240" w:type="dxa"/>
            <w:vAlign w:val="bottom"/>
          </w:tcPr>
          <w:p>
            <w:pPr>
              <w:ind w:left="340"/>
              <w:spacing w:after="0"/>
              <w:rPr>
                <w:sz w:val="20"/>
                <w:szCs w:val="20"/>
                <w:color w:val="auto"/>
              </w:rPr>
            </w:pPr>
            <w:r>
              <w:rPr>
                <w:rFonts w:ascii="Arial" w:cs="Arial" w:eastAsia="Arial" w:hAnsi="Arial"/>
                <w:sz w:val="16"/>
                <w:szCs w:val="16"/>
                <w:color w:val="auto"/>
              </w:rPr>
              <w:t>Trade names</w:t>
            </w:r>
          </w:p>
        </w:tc>
        <w:tc>
          <w:tcPr>
            <w:tcW w:w="26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43,193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(16,174)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27,019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43,689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(13,965)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29,724</w:t>
            </w: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Customer relationships</w:t>
            </w: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174,366</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ind w:left="5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(36,332)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138,034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175,482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gridSpan w:val="2"/>
            <w:shd w:val="clear" w:color="auto" w:fill="CCEEFF"/>
          </w:tcPr>
          <w:p>
            <w:pPr>
              <w:ind w:left="6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147,944</w:t>
            </w:r>
          </w:p>
        </w:tc>
        <w:tc>
          <w:tcPr>
            <w:tcW w:w="0" w:type="dxa"/>
            <w:vAlign w:val="bottom"/>
          </w:tcPr>
          <w:p>
            <w:pPr>
              <w:spacing w:after="0"/>
              <w:rPr>
                <w:sz w:val="1"/>
                <w:szCs w:val="1"/>
                <w:color w:val="auto"/>
              </w:rPr>
            </w:pPr>
          </w:p>
        </w:tc>
      </w:tr>
      <w:tr>
        <w:trPr>
          <w:trHeight w:val="224"/>
        </w:trPr>
        <w:tc>
          <w:tcPr>
            <w:tcW w:w="2240" w:type="dxa"/>
            <w:vAlign w:val="bottom"/>
          </w:tcPr>
          <w:p>
            <w:pPr>
              <w:ind w:left="340"/>
              <w:spacing w:after="0"/>
              <w:rPr>
                <w:sz w:val="20"/>
                <w:szCs w:val="20"/>
                <w:color w:val="auto"/>
              </w:rPr>
            </w:pPr>
            <w:r>
              <w:rPr>
                <w:rFonts w:ascii="Arial" w:cs="Arial" w:eastAsia="Arial" w:hAnsi="Arial"/>
                <w:sz w:val="16"/>
                <w:szCs w:val="16"/>
                <w:color w:val="auto"/>
              </w:rPr>
              <w:t>Other</w:t>
            </w:r>
          </w:p>
        </w:tc>
        <w:tc>
          <w:tcPr>
            <w:tcW w:w="260" w:type="dxa"/>
            <w:vAlign w:val="bottom"/>
          </w:tcPr>
          <w:p>
            <w:pPr>
              <w:spacing w:after="0"/>
              <w:rPr>
                <w:sz w:val="19"/>
                <w:szCs w:val="19"/>
                <w:color w:val="auto"/>
              </w:rPr>
            </w:pP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6,475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ind w:left="5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41"/>
              <w:spacing w:after="0"/>
              <w:rPr>
                <w:sz w:val="20"/>
                <w:szCs w:val="20"/>
                <w:color w:val="auto"/>
              </w:rPr>
            </w:pPr>
            <w:r>
              <w:rPr>
                <w:rFonts w:ascii="Arial" w:cs="Arial" w:eastAsia="Arial" w:hAnsi="Arial"/>
                <w:sz w:val="16"/>
                <w:szCs w:val="16"/>
                <w:color w:val="auto"/>
              </w:rPr>
              <w:t>(1,688)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60"/>
              <w:spacing w:after="0"/>
              <w:rPr>
                <w:sz w:val="20"/>
                <w:szCs w:val="20"/>
                <w:color w:val="auto"/>
              </w:rPr>
            </w:pPr>
            <w:r>
              <w:rPr>
                <w:rFonts w:ascii="Arial" w:cs="Arial" w:eastAsia="Arial" w:hAnsi="Arial"/>
                <w:sz w:val="16"/>
                <w:szCs w:val="16"/>
                <w:color w:val="auto"/>
              </w:rPr>
              <w:t>4,787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60"/>
              <w:spacing w:after="0"/>
              <w:rPr>
                <w:sz w:val="20"/>
                <w:szCs w:val="20"/>
                <w:color w:val="auto"/>
              </w:rPr>
            </w:pPr>
            <w:r>
              <w:rPr>
                <w:rFonts w:ascii="Arial" w:cs="Arial" w:eastAsia="Arial" w:hAnsi="Arial"/>
                <w:sz w:val="16"/>
                <w:szCs w:val="16"/>
                <w:color w:val="auto"/>
              </w:rPr>
              <w:t>6,510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ind w:left="6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1060" w:type="dxa"/>
            <w:vAlign w:val="bottom"/>
          </w:tcPr>
          <w:p>
            <w:pPr>
              <w:jc w:val="right"/>
              <w:ind w:right="21"/>
              <w:spacing w:after="0"/>
              <w:rPr>
                <w:sz w:val="20"/>
                <w:szCs w:val="20"/>
                <w:color w:val="auto"/>
              </w:rPr>
            </w:pPr>
            <w:r>
              <w:rPr>
                <w:rFonts w:ascii="Arial" w:cs="Arial" w:eastAsia="Arial" w:hAnsi="Arial"/>
                <w:sz w:val="16"/>
                <w:szCs w:val="16"/>
                <w:color w:val="auto"/>
              </w:rPr>
              <w:t>(1,259)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5,251</w:t>
            </w:r>
          </w:p>
        </w:tc>
        <w:tc>
          <w:tcPr>
            <w:tcW w:w="0" w:type="dxa"/>
            <w:vAlign w:val="bottom"/>
          </w:tcPr>
          <w:p>
            <w:pPr>
              <w:spacing w:after="0"/>
              <w:rPr>
                <w:sz w:val="1"/>
                <w:szCs w:val="1"/>
                <w:color w:val="auto"/>
              </w:rPr>
            </w:pPr>
          </w:p>
        </w:tc>
      </w:tr>
      <w:tr>
        <w:trPr>
          <w:trHeight w:val="33"/>
        </w:trPr>
        <w:tc>
          <w:tcPr>
            <w:tcW w:w="2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jc w:val="right"/>
              <w:ind w:right="80"/>
              <w:spacing w:after="0"/>
              <w:rPr>
                <w:sz w:val="20"/>
                <w:szCs w:val="20"/>
                <w:color w:val="auto"/>
              </w:rPr>
            </w:pPr>
            <w:r>
              <w:rPr>
                <w:rFonts w:ascii="Arial" w:cs="Arial" w:eastAsia="Arial" w:hAnsi="Arial"/>
                <w:sz w:val="16"/>
                <w:szCs w:val="16"/>
                <w:color w:val="auto"/>
              </w:rPr>
              <w:t>390,458</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6"/>
                <w:szCs w:val="16"/>
                <w:color w:val="auto"/>
              </w:rPr>
              <w:t>(9,748)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(64,367)</w:t>
            </w:r>
          </w:p>
        </w:tc>
        <w:tc>
          <w:tcPr>
            <w:tcW w:w="8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316,343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rPr>
              <w:t>393,639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(2,205)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(52,587)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338,847</w:t>
            </w: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During the third quarter of 2019, the Company’s qualitative assessment of goodwill indicated triggering events in its European kitchenware reporting unit, resulting in the Company performing a quantitative assessment, that resulted in a $9.7 million non-cash goodwill impairment charge. In the third quarter of 2018 the Company incurred a non-cash goodwill impairment charge of $2.2 million related to the European tableware business.</w:t>
      </w:r>
    </w:p>
    <w:p>
      <w:pPr>
        <w:spacing w:after="0" w:line="57"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 xml:space="preserve">Furthermore, during the third quarter of 2019 the Company determined its European kitchenware and tableware reporting units had met the criteria to be combined into one reporting unit based on the guidance of ASC Topic No.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and ASC Topic No. 280, </w:t>
      </w:r>
      <w:r>
        <w:rPr>
          <w:rFonts w:ascii="Arial" w:cs="Arial" w:eastAsia="Arial" w:hAnsi="Arial"/>
          <w:sz w:val="17"/>
          <w:szCs w:val="17"/>
          <w:i w:val="1"/>
          <w:iCs w:val="1"/>
          <w:color w:val="auto"/>
        </w:rPr>
        <w:t>Segment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Reporting. </w:t>
      </w:r>
      <w:r>
        <w:rPr>
          <w:rFonts w:ascii="Arial" w:cs="Arial" w:eastAsia="Arial" w:hAnsi="Arial"/>
          <w:sz w:val="17"/>
          <w:szCs w:val="17"/>
          <w:color w:val="auto"/>
        </w:rPr>
        <w:t>As a result of the goodwill impairment charges taken in both the third quarter of 2019 and 2018, the Company wrote off to zero the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goodwill associated with the European kitchenware and tableware reporting units, acquired in 2014 and 2011, respectively.</w:t>
      </w:r>
    </w:p>
    <w:p>
      <w:pPr>
        <w:spacing w:after="0" w:line="19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Several impairment indicators for the European kitchenware business were considered by the Company including the continued uncertainties of the macro-environment in Europe as a result of the ongoing Brexit negotiations. In addition, the Company considered the decline in operating performance for the European kitchenware business, which included slower fulfillment of orders and labor inefficiencies associated with setting up the new warehouse in the United Kingdom (“U.K.”). While the warehouse consolidation and integration efforts were substantially complete as of September 30, 2019, the operational improvements anticipated from the consolidation of locations had not yet been fully realized as of September 30, 2019. These factors resulted in a decline in the long-term forecast for the European kitchenware business. The fair value of the business was determined based on a combined income and market approach.</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19" w:name="page20"/>
    <w:bookmarkEnd w:id="19"/>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DEBT</w:t>
      </w:r>
    </w:p>
    <w:p>
      <w:pPr>
        <w:spacing w:after="0" w:line="256"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facility will mature on March 2, 2023, and a loan agreement (the “Term Loan” and together with the ABL Agreement, the “Debt Agreements”) provides for a senior secured term loan credit facility in the original principal amount of $275.0 million, which will mature on February 28, 2025. The Term Loan facility will be repaid in quarterly payments, which commenced June 30, 2018, of principal equal to 0.25% 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unaudited condensed consolidated balance sheets.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 (i) $50.0 million plus (ii) an unlimited amount so long as, in the case of</w:t>
      </w:r>
    </w:p>
    <w:p>
      <w:pPr>
        <w:spacing w:after="0" w:line="4" w:lineRule="exact"/>
        <w:rPr>
          <w:sz w:val="20"/>
          <w:szCs w:val="20"/>
          <w:color w:val="auto"/>
        </w:rPr>
      </w:pPr>
    </w:p>
    <w:p>
      <w:pPr>
        <w:ind w:right="200" w:firstLine="8"/>
        <w:spacing w:after="0" w:line="243" w:lineRule="auto"/>
        <w:tabs>
          <w:tab w:leader="none" w:pos="265"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only, the Company’s secured net leverage ratio, as defined in and computed pursuant to the Term Loan, is no greater than 3.75 to 1.00, subject to certain limitations and for the period defined pursuant to the Term Loan.</w:t>
      </w:r>
    </w:p>
    <w:p>
      <w:pPr>
        <w:spacing w:after="0" w:line="213"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At September 30, 2019 and December 31, 2018, borrowings outstanding under the ABL Agreement were $91.2 million and $42.1 million, respectively, and open letters of credit were $3.2 million and $3.4 million, respectively. At September 30, 2019, availability under the ABL Agreement was approximately $55.6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 under may not represent actual borrowing capacity.</w:t>
      </w:r>
    </w:p>
    <w:p>
      <w:pPr>
        <w:spacing w:after="0" w:line="6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current and non current portions of the Company’s Term Loan facility included in the condensed consolidated balance sheets are presented as follows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4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2019</w:t>
            </w:r>
          </w:p>
        </w:tc>
        <w:tc>
          <w:tcPr>
            <w:tcW w:w="300" w:type="dxa"/>
            <w:vAlign w:val="bottom"/>
          </w:tcPr>
          <w:p>
            <w:pPr>
              <w:spacing w:after="0"/>
              <w:rPr>
                <w:sz w:val="18"/>
                <w:szCs w:val="18"/>
                <w:color w:val="auto"/>
              </w:rPr>
            </w:pPr>
          </w:p>
        </w:tc>
        <w:tc>
          <w:tcPr>
            <w:tcW w:w="2040" w:type="dxa"/>
            <w:vAlign w:val="bottom"/>
          </w:tcPr>
          <w:p>
            <w:pPr>
              <w:jc w:val="right"/>
              <w:ind w:right="439"/>
              <w:spacing w:after="0"/>
              <w:rPr>
                <w:sz w:val="20"/>
                <w:szCs w:val="20"/>
                <w:color w:val="auto"/>
              </w:rPr>
            </w:pPr>
            <w:r>
              <w:rPr>
                <w:rFonts w:ascii="Arial" w:cs="Arial" w:eastAsia="Arial" w:hAnsi="Arial"/>
                <w:sz w:val="16"/>
                <w:szCs w:val="16"/>
                <w:b w:val="1"/>
                <w:bCs w:val="1"/>
                <w:color w:val="auto"/>
              </w:rPr>
              <w:t>December 31, 2018</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portion of Term Loan facility:</w:t>
            </w:r>
          </w:p>
        </w:tc>
        <w:tc>
          <w:tcPr>
            <w:tcW w:w="280" w:type="dxa"/>
            <w:vAlign w:val="bottom"/>
            <w:tcBorders>
              <w:bottom w:val="single" w:sz="8" w:color="CCEEFF"/>
            </w:tcBorders>
            <w:shd w:val="clear" w:color="auto" w:fill="CCEEFF"/>
          </w:tcPr>
          <w:p>
            <w:pPr>
              <w:spacing w:after="0"/>
              <w:rPr>
                <w:sz w:val="18"/>
                <w:szCs w:val="18"/>
                <w:color w:val="auto"/>
              </w:rPr>
            </w:pPr>
          </w:p>
        </w:tc>
        <w:tc>
          <w:tcPr>
            <w:tcW w:w="20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20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rPr>
                <w:sz w:val="20"/>
                <w:szCs w:val="20"/>
                <w:color w:val="auto"/>
              </w:rPr>
            </w:pPr>
            <w:r>
              <w:rPr>
                <w:rFonts w:ascii="Arial" w:cs="Arial" w:eastAsia="Arial" w:hAnsi="Arial"/>
                <w:sz w:val="16"/>
                <w:szCs w:val="16"/>
                <w:color w:val="auto"/>
              </w:rPr>
              <w:t>Term Loan facility</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140" w:type="dxa"/>
            <w:vAlign w:val="bottom"/>
          </w:tcPr>
          <w:p>
            <w:pPr>
              <w:spacing w:after="0"/>
              <w:rPr>
                <w:sz w:val="19"/>
                <w:szCs w:val="19"/>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2,750</w:t>
            </w: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Estimated Excess Cash Flow payment</w:t>
            </w:r>
          </w:p>
        </w:tc>
        <w:tc>
          <w:tcPr>
            <w:tcW w:w="280" w:type="dxa"/>
            <w:vAlign w:val="bottom"/>
            <w:tcBorders>
              <w:bottom w:val="single" w:sz="8" w:color="CCEEFF"/>
            </w:tcBorders>
            <w:shd w:val="clear" w:color="auto" w:fill="CCEEFF"/>
          </w:tcPr>
          <w:p>
            <w:pPr>
              <w:spacing w:after="0"/>
              <w:rPr>
                <w:sz w:val="20"/>
                <w:szCs w:val="20"/>
                <w:color w:val="auto"/>
              </w:rPr>
            </w:pP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3,000</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rPr>
                <w:sz w:val="20"/>
                <w:szCs w:val="20"/>
                <w:color w:val="auto"/>
              </w:rPr>
            </w:pPr>
            <w:r>
              <w:rPr>
                <w:rFonts w:ascii="Arial" w:cs="Arial" w:eastAsia="Arial" w:hAnsi="Arial"/>
                <w:sz w:val="16"/>
                <w:szCs w:val="16"/>
                <w:color w:val="auto"/>
              </w:rPr>
              <w:t>Unamortized debt issuance costs</w:t>
            </w:r>
          </w:p>
        </w:tc>
        <w:tc>
          <w:tcPr>
            <w:tcW w:w="2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(1,486)</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(1,497)</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Current portion of Term Loan facility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4,264</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1,253</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Non Current portion of Term Loan facility: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5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5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Term Loan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265,125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270,188</w:t>
            </w:r>
          </w:p>
        </w:tc>
        <w:tc>
          <w:tcPr>
            <w:tcW w:w="0" w:type="dxa"/>
            <w:vAlign w:val="bottom"/>
          </w:tcPr>
          <w:p>
            <w:pPr>
              <w:spacing w:after="0"/>
              <w:rPr>
                <w:sz w:val="1"/>
                <w:szCs w:val="1"/>
                <w:color w:val="auto"/>
              </w:rPr>
            </w:pPr>
          </w:p>
        </w:tc>
      </w:tr>
      <w:tr>
        <w:trPr>
          <w:trHeight w:val="224"/>
        </w:trPr>
        <w:tc>
          <w:tcPr>
            <w:tcW w:w="5340" w:type="dxa"/>
            <w:vAlign w:val="bottom"/>
          </w:tcPr>
          <w:p>
            <w:pPr>
              <w:ind w:left="120"/>
              <w:spacing w:after="0"/>
              <w:rPr>
                <w:sz w:val="20"/>
                <w:szCs w:val="20"/>
                <w:color w:val="auto"/>
              </w:rPr>
            </w:pPr>
            <w:r>
              <w:rPr>
                <w:rFonts w:ascii="Arial" w:cs="Arial" w:eastAsia="Arial" w:hAnsi="Arial"/>
                <w:sz w:val="16"/>
                <w:szCs w:val="16"/>
                <w:color w:val="auto"/>
              </w:rPr>
              <w:t>Unamortized debt issuance costs</w:t>
            </w:r>
          </w:p>
        </w:tc>
        <w:tc>
          <w:tcPr>
            <w:tcW w:w="280" w:type="dxa"/>
            <w:vAlign w:val="bottom"/>
          </w:tcPr>
          <w:p>
            <w:pPr>
              <w:spacing w:after="0"/>
              <w:rPr>
                <w:sz w:val="19"/>
                <w:szCs w:val="19"/>
                <w:color w:val="auto"/>
              </w:rPr>
            </w:pPr>
          </w:p>
        </w:tc>
        <w:tc>
          <w:tcPr>
            <w:tcW w:w="2000" w:type="dxa"/>
            <w:vAlign w:val="bottom"/>
          </w:tcPr>
          <w:p>
            <w:pPr>
              <w:jc w:val="right"/>
              <w:ind w:right="19"/>
              <w:spacing w:after="0"/>
              <w:rPr>
                <w:sz w:val="20"/>
                <w:szCs w:val="20"/>
                <w:color w:val="auto"/>
              </w:rPr>
            </w:pPr>
            <w:r>
              <w:rPr>
                <w:rFonts w:ascii="Arial" w:cs="Arial" w:eastAsia="Arial" w:hAnsi="Arial"/>
                <w:sz w:val="16"/>
                <w:szCs w:val="16"/>
                <w:color w:val="auto"/>
              </w:rPr>
              <w:t>(6,380)</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40" w:type="dxa"/>
            <w:vAlign w:val="bottom"/>
          </w:tcPr>
          <w:p>
            <w:pPr>
              <w:jc w:val="right"/>
              <w:ind w:right="19"/>
              <w:spacing w:after="0"/>
              <w:rPr>
                <w:sz w:val="20"/>
                <w:szCs w:val="20"/>
                <w:color w:val="auto"/>
              </w:rPr>
            </w:pPr>
            <w:r>
              <w:rPr>
                <w:rFonts w:ascii="Arial" w:cs="Arial" w:eastAsia="Arial" w:hAnsi="Arial"/>
                <w:sz w:val="16"/>
                <w:szCs w:val="16"/>
                <w:color w:val="auto"/>
              </w:rPr>
              <w:t>(7,493)</w:t>
            </w:r>
          </w:p>
        </w:tc>
        <w:tc>
          <w:tcPr>
            <w:tcW w:w="0" w:type="dxa"/>
            <w:vAlign w:val="bottom"/>
          </w:tcPr>
          <w:p>
            <w:pPr>
              <w:spacing w:after="0"/>
              <w:rPr>
                <w:sz w:val="1"/>
                <w:szCs w:val="1"/>
                <w:color w:val="auto"/>
              </w:rPr>
            </w:pPr>
          </w:p>
        </w:tc>
      </w:tr>
      <w:tr>
        <w:trPr>
          <w:trHeight w:val="33"/>
        </w:trPr>
        <w:tc>
          <w:tcPr>
            <w:tcW w:w="53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 Non Current portion of Term Loan facility</w:t>
            </w:r>
          </w:p>
        </w:tc>
        <w:tc>
          <w:tcPr>
            <w:tcW w:w="2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2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258,745</w:t>
            </w:r>
          </w:p>
        </w:tc>
        <w:tc>
          <w:tcPr>
            <w:tcW w:w="1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20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262,695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 of the capital stock in first-tier foreign subsidiaries and not including the stock of subsidiaries of such first-tier foreign subsidiaries) owned by the Company and the U.S. subsidiary guarantors, subject to certain exceptions. Such security interest consists of (1) a first-priority lien, subject to certain permitted liens, with respect to certain assets of the Company and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 or one-month LIBOR plus 1 %, plus a margin of 0.25 % to 0.75 %, or (ii) LIBOR plus a margin of 1.25 % to 1.75 %. The respective margins are based upon the Company’s total leverage ratio, as defined in and computed pursuant to the ABL Agreement. Interest rates on outstanding borrowings under the ABL Agreement at September 30, 2019 ranged from 2.60 % to 6.00 %. In addition, the Company paid a commitment fee of 0.250 % to 0.375 % on the unused portion of the ABL Agreement during the nine months ended September 30, 2019.</w:t>
      </w:r>
    </w:p>
    <w:p>
      <w:pPr>
        <w:spacing w:after="0" w:line="1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0.50 % or one-month LIBOR plus 1 %, plus a margin of 2.50 % or (ii) LIBOR plus a margin of 3.50 %. The interest rate on outstanding borrowings under the Term Loan at September 30, 2019 was 5.60 %.</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 of the aggregate commitment under the ABL Agreement at any time and (b) ending on the day after such availability has exceeded the greater of $15.0 million and 10 %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2019.</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H </w:t>
      </w:r>
      <w:r>
        <w:rPr>
          <w:rFonts w:ascii="Arial" w:cs="Arial" w:eastAsia="Arial" w:hAnsi="Arial"/>
          <w:sz w:val="18"/>
          <w:szCs w:val="18"/>
          <w:color w:val="auto"/>
        </w:rPr>
        <w:t>—</w:t>
      </w:r>
      <w:r>
        <w:rPr>
          <w:rFonts w:ascii="Arial" w:cs="Arial" w:eastAsia="Arial" w:hAnsi="Arial"/>
          <w:sz w:val="18"/>
          <w:szCs w:val="18"/>
          <w:b w:val="1"/>
          <w:bCs w:val="1"/>
          <w:color w:val="auto"/>
        </w:rPr>
        <w:t xml:space="preserve"> DERIVATIVES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 party to interest rate swap agreements with an aggregate notional value of $100.0 million at September 30,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new interest rate swap agreements, with an aggregate notional value of $25.0 million at September 30, 2019. These non-designated interest rate swaps serve as cash flow hedges of the Company’s exposure to the variability of the payment of interest on a portion of its Term Loan borrowings and expire in February 2025.</w:t>
      </w:r>
    </w:p>
    <w:p>
      <w:pPr>
        <w:spacing w:after="0" w:line="193"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The Company is exposed to market risks as well as changes in foreign currency exchange rates as measured against the USD and each other, and changes to credit risk of derivative counterparties. The Company attempts to minimize these risks by primarily using foreign currency forward contracts and by maintaining counterparty credit limits. These hedging activities provide only limited protection against currency exchange and credit risk. Factors that could influence the effectiveness of the Company’s hedging programs include currency markets and availability of hedging instruments and liquidity of the credit markets. All foreign currency forward contracts that the Company enters into are components of hedging programs and are entered into for the sole purpose of hedging an existing or anticipated currency exposure. The Company does not enter into such contracts for speculative purposes and as of September 30, 2019, the Company does not have any foreign currency forward contract derivatives that are not designated as hedges. The aggregate gross notional value of foreign exchange contracts that were not designated as hedges at September 30, 2018 was $9.7 million.</w:t>
      </w:r>
    </w:p>
    <w:p>
      <w:pPr>
        <w:spacing w:after="0" w:line="166"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Fluctuations in the value of certain foreign currencies as compared to the USD may positively or negatively affect the Company’s revenues, gross margins, operating expenses, and retained earnings, all of which are expressed in USD. Where the Company deems it prudent, the Company engages in hedging programs using foreign currency forward contracts aimed at</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limiting the impact of foreign currency exchange rate fluctuations on earnings. The Company purchases short-term (i.e. 12 months or less) foreign currency forward contracts to protect against currency exchange risks associated with the payment of merchandise purchases to foreign suppliers. The Company does not hedge the translation of foreign currency profits into USD, as the Company regards this as an accounting exposure rather than an economic exposure. The aggregate gross notional values of foreign exchange contracts at September 30, 2019 was $4.5 million. These foreign exchange contracts have been designated as hedges in to order to apply hedge accounting.</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fair values of the Company’s derivative financial instruments included in the condensed consolidated balance sheets are presented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17"/>
                <w:szCs w:val="17"/>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Location</w:t>
            </w: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63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42</w:t>
            </w:r>
          </w:p>
        </w:tc>
      </w:tr>
      <w:tr>
        <w:trPr>
          <w:trHeight w:val="224"/>
        </w:trPr>
        <w:tc>
          <w:tcPr>
            <w:tcW w:w="6360" w:type="dxa"/>
            <w:vAlign w:val="bottom"/>
          </w:tcPr>
          <w:p>
            <w:pPr>
              <w:spacing w:after="0"/>
              <w:rPr>
                <w:sz w:val="19"/>
                <w:szCs w:val="19"/>
                <w:color w:val="auto"/>
              </w:rPr>
            </w:pPr>
          </w:p>
        </w:tc>
        <w:tc>
          <w:tcPr>
            <w:tcW w:w="2280" w:type="dxa"/>
            <w:vAlign w:val="bottom"/>
            <w:gridSpan w:val="2"/>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tcPr>
          <w:p>
            <w:pPr>
              <w:spacing w:after="0"/>
              <w:rPr>
                <w:sz w:val="19"/>
                <w:szCs w:val="19"/>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1,479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157</w:t>
            </w:r>
          </w:p>
        </w:tc>
      </w:tr>
      <w:tr>
        <w:trPr>
          <w:trHeight w:val="33"/>
        </w:trPr>
        <w:tc>
          <w:tcPr>
            <w:tcW w:w="6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exchange contracts</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Prepaid Expenses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Balance Sheet</w:t>
            </w:r>
          </w:p>
        </w:tc>
        <w:tc>
          <w:tcPr>
            <w:tcW w:w="140" w:type="dxa"/>
            <w:vAlign w:val="bottom"/>
          </w:tcPr>
          <w:p>
            <w:pPr>
              <w:spacing w:after="0"/>
              <w:rPr>
                <w:sz w:val="17"/>
                <w:szCs w:val="17"/>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September 30,</w:t>
            </w: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2"/>
              </w:rPr>
              <w:t>December 31,</w:t>
            </w:r>
          </w:p>
        </w:tc>
      </w:tr>
      <w:tr>
        <w:trPr>
          <w:trHeight w:val="210"/>
        </w:trPr>
        <w:tc>
          <w:tcPr>
            <w:tcW w:w="636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2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Location</w:t>
            </w:r>
          </w:p>
        </w:tc>
        <w:tc>
          <w:tcPr>
            <w:tcW w:w="14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6360" w:type="dxa"/>
            <w:vAlign w:val="bottom"/>
            <w:tcBorders>
              <w:bottom w:val="single" w:sz="8" w:color="CCEEFF"/>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7"/>
        </w:trPr>
        <w:tc>
          <w:tcPr>
            <w:tcW w:w="6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2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ind w:left="860"/>
              <w:spacing w:after="0"/>
              <w:rPr>
                <w:sz w:val="20"/>
                <w:szCs w:val="20"/>
                <w:color w:val="auto"/>
              </w:rPr>
            </w:pPr>
            <w:r>
              <w:rPr>
                <w:rFonts w:ascii="Arial" w:cs="Arial" w:eastAsia="Arial" w:hAnsi="Arial"/>
                <w:sz w:val="16"/>
                <w:szCs w:val="16"/>
                <w:color w:val="auto"/>
              </w:rPr>
              <w:t>—</w:t>
            </w:r>
          </w:p>
        </w:tc>
      </w:tr>
      <w:tr>
        <w:trPr>
          <w:trHeight w:val="33"/>
        </w:trPr>
        <w:tc>
          <w:tcPr>
            <w:tcW w:w="636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values of the derivatives have been obtained from the counterparties to the agreements and were based on Level 2 observable inputs using proprietary models and estimates about relevant future market conditions.</w:t>
      </w:r>
    </w:p>
    <w:p>
      <w:pPr>
        <w:spacing w:after="0" w:line="17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The counterparties to the derivative financial instruments are major international financial institutions. The Company is exposed to credit risk for the net exchanges under these agreements, but not for the notional amounts. The Company does not anticipate non-performance by any of its counterparties.</w:t>
      </w:r>
    </w:p>
    <w:p>
      <w:pPr>
        <w:spacing w:after="0" w:line="124"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amounts of gains (losses) related to the Company’s derivative financial instruments designated as hedging instruments are recognized in other comprehensive (loss) income, net of taxes, as follows (in thousands):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80" w:type="dxa"/>
            <w:vAlign w:val="bottom"/>
            <w:gridSpan w:val="3"/>
          </w:tcPr>
          <w:p>
            <w:pPr>
              <w:jc w:val="right"/>
              <w:ind w:right="9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r>
      <w:tr>
        <w:trPr>
          <w:trHeight w:val="210"/>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gridSpan w:val="3"/>
          </w:tcPr>
          <w:p>
            <w:pPr>
              <w:jc w:val="right"/>
              <w:ind w:right="339"/>
              <w:spacing w:after="0"/>
              <w:rPr>
                <w:sz w:val="20"/>
                <w:szCs w:val="20"/>
                <w:color w:val="auto"/>
              </w:rPr>
            </w:pPr>
            <w:r>
              <w:rPr>
                <w:rFonts w:ascii="Arial" w:cs="Arial" w:eastAsia="Arial" w:hAnsi="Arial"/>
                <w:sz w:val="16"/>
                <w:szCs w:val="16"/>
                <w:b w:val="1"/>
                <w:bCs w:val="1"/>
                <w:color w:val="auto"/>
              </w:rPr>
              <w:t>September 30,</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r>
      <w:tr>
        <w:trPr>
          <w:trHeight w:val="3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7"/>
        </w:trPr>
        <w:tc>
          <w:tcPr>
            <w:tcW w:w="578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0"/>
              </w:rPr>
              <w:t>(381)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1,331</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44</w:t>
            </w: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398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r>
      <w:tr>
        <w:trPr>
          <w:trHeight w:val="3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5"/>
        </w:trPr>
        <w:tc>
          <w:tcPr>
            <w:tcW w:w="57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151</w:t>
            </w:r>
          </w:p>
        </w:tc>
        <w:tc>
          <w:tcPr>
            <w:tcW w:w="1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90"/>
              </w:rPr>
              <w:t>(381)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1,729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(658)</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Gains (losses) on the interest rate swaps, designated as hedges, will be reclassified into earnings as interest expense as the interest on the debt is recognized. During the three and nine months ended September 30, 2019, the Company recognized $(0.1) million and $(0.2) million of interest expense related to the interest rate swaps, respectively. During the three and nine months ended September 30, 2018, the Company recognized $(0.1) million and $(0.3) million of interest expense related to the interest rate swaps, respectively.</w:t>
      </w:r>
    </w:p>
    <w:p>
      <w:pPr>
        <w:spacing w:after="0" w:line="187"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Gains (losses) on the foreign exchange contracts will be reclassified into cost of sales as the hedged merchandise purchases are sold. The amount recorded as a gain in cost of sales for the three and nine months ended September 30, 2019 was $0.2 million and $0.3 million, respectively.</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amounts of the gains (losses) related to the Company’s derivative financial instruments not designated as hedging instruments that were recognized in earnings are as follows (in thousands):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jc w:val="center"/>
              <w:ind w:right="420"/>
              <w:spacing w:after="0"/>
              <w:rPr>
                <w:sz w:val="20"/>
                <w:szCs w:val="20"/>
                <w:color w:val="auto"/>
              </w:rPr>
            </w:pPr>
            <w:r>
              <w:rPr>
                <w:rFonts w:ascii="Arial" w:cs="Arial" w:eastAsia="Arial" w:hAnsi="Arial"/>
                <w:sz w:val="16"/>
                <w:szCs w:val="16"/>
                <w:b w:val="1"/>
                <w:bCs w:val="1"/>
                <w:color w:val="auto"/>
                <w:w w:val="92"/>
              </w:rPr>
              <w:t>Three Months Ended</w:t>
            </w:r>
          </w:p>
        </w:tc>
        <w:tc>
          <w:tcPr>
            <w:tcW w:w="300" w:type="dxa"/>
            <w:vAlign w:val="bottom"/>
          </w:tcPr>
          <w:p>
            <w:pPr>
              <w:spacing w:after="0"/>
              <w:rPr>
                <w:sz w:val="17"/>
                <w:szCs w:val="17"/>
                <w:color w:val="auto"/>
              </w:rPr>
            </w:pPr>
          </w:p>
        </w:tc>
        <w:tc>
          <w:tcPr>
            <w:tcW w:w="2460" w:type="dxa"/>
            <w:vAlign w:val="bottom"/>
            <w:gridSpan w:val="4"/>
          </w:tcPr>
          <w:p>
            <w:pPr>
              <w:jc w:val="center"/>
              <w:ind w:right="239"/>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282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center"/>
              <w:ind w:left="459"/>
              <w:spacing w:after="0"/>
              <w:rPr>
                <w:sz w:val="20"/>
                <w:szCs w:val="20"/>
                <w:color w:val="auto"/>
              </w:rPr>
            </w:pPr>
            <w:r>
              <w:rPr>
                <w:rFonts w:ascii="Arial" w:cs="Arial" w:eastAsia="Arial" w:hAnsi="Arial"/>
                <w:sz w:val="16"/>
                <w:szCs w:val="16"/>
                <w:b w:val="1"/>
                <w:bCs w:val="1"/>
                <w:color w:val="auto"/>
                <w:w w:val="89"/>
              </w:rPr>
              <w:t>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center"/>
              <w:ind w:left="479"/>
              <w:spacing w:after="0"/>
              <w:rPr>
                <w:sz w:val="20"/>
                <w:szCs w:val="20"/>
                <w:color w:val="auto"/>
              </w:rPr>
            </w:pPr>
            <w:r>
              <w:rPr>
                <w:rFonts w:ascii="Arial" w:cs="Arial" w:eastAsia="Arial" w:hAnsi="Arial"/>
                <w:sz w:val="16"/>
                <w:szCs w:val="16"/>
                <w:b w:val="1"/>
                <w:bCs w:val="1"/>
                <w:color w:val="auto"/>
                <w:w w:val="91"/>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820" w:type="dxa"/>
            <w:vAlign w:val="bottom"/>
            <w:vMerge w:val="restart"/>
          </w:tcPr>
          <w:p>
            <w:pPr>
              <w:ind w:left="20"/>
              <w:spacing w:after="0"/>
              <w:rPr>
                <w:sz w:val="20"/>
                <w:szCs w:val="20"/>
                <w:color w:val="auto"/>
              </w:rPr>
            </w:pPr>
            <w:r>
              <w:rPr>
                <w:rFonts w:ascii="Arial" w:cs="Arial" w:eastAsia="Arial" w:hAnsi="Arial"/>
                <w:sz w:val="16"/>
                <w:szCs w:val="16"/>
                <w:b w:val="1"/>
                <w:bCs w:val="1"/>
                <w:color w:val="auto"/>
                <w:w w:val="95"/>
              </w:rPr>
              <w:t>Derivatives not designated as hedging</w:t>
            </w:r>
          </w:p>
        </w:tc>
        <w:tc>
          <w:tcPr>
            <w:tcW w:w="2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820" w:type="dxa"/>
            <w:vAlign w:val="bottom"/>
            <w:vMerge w:val="continue"/>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20" w:type="dxa"/>
            <w:vAlign w:val="bottom"/>
          </w:tcPr>
          <w:p>
            <w:pPr>
              <w:ind w:left="20"/>
              <w:spacing w:after="0"/>
              <w:rPr>
                <w:sz w:val="20"/>
                <w:szCs w:val="20"/>
                <w:color w:val="auto"/>
              </w:rPr>
            </w:pPr>
            <w:r>
              <w:rPr>
                <w:rFonts w:ascii="Arial" w:cs="Arial" w:eastAsia="Arial" w:hAnsi="Arial"/>
                <w:sz w:val="16"/>
                <w:szCs w:val="16"/>
                <w:b w:val="1"/>
                <w:bCs w:val="1"/>
                <w:color w:val="auto"/>
              </w:rPr>
              <w:t>instruments</w:t>
            </w:r>
          </w:p>
        </w:tc>
        <w:tc>
          <w:tcPr>
            <w:tcW w:w="2960" w:type="dxa"/>
            <w:vAlign w:val="bottom"/>
            <w:gridSpan w:val="2"/>
          </w:tcPr>
          <w:p>
            <w:pPr>
              <w:ind w:left="660"/>
              <w:spacing w:after="0"/>
              <w:rPr>
                <w:sz w:val="20"/>
                <w:szCs w:val="20"/>
                <w:color w:val="auto"/>
              </w:rPr>
            </w:pPr>
            <w:r>
              <w:rPr>
                <w:rFonts w:ascii="Arial" w:cs="Arial" w:eastAsia="Arial" w:hAnsi="Arial"/>
                <w:sz w:val="16"/>
                <w:szCs w:val="16"/>
                <w:b w:val="1"/>
                <w:bCs w:val="1"/>
                <w:color w:val="auto"/>
              </w:rPr>
              <w:t>Location of gain (loss)</w:t>
            </w: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28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rate swaps</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390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740</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19"/>
                <w:szCs w:val="19"/>
                <w:color w:val="auto"/>
              </w:rPr>
            </w:pP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2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2960" w:type="dxa"/>
            <w:vAlign w:val="bottom"/>
            <w:gridSpan w:val="2"/>
          </w:tcPr>
          <w:p>
            <w:pPr>
              <w:ind w:left="20"/>
              <w:spacing w:after="0"/>
              <w:rPr>
                <w:sz w:val="20"/>
                <w:szCs w:val="20"/>
                <w:color w:val="auto"/>
              </w:rPr>
            </w:pPr>
            <w:r>
              <w:rPr>
                <w:rFonts w:ascii="Arial" w:cs="Arial" w:eastAsia="Arial" w:hAnsi="Arial"/>
                <w:sz w:val="16"/>
                <w:szCs w:val="16"/>
                <w:color w:val="auto"/>
              </w:rPr>
              <w:t>expense</w:t>
            </w:r>
          </w:p>
        </w:tc>
        <w:tc>
          <w:tcPr>
            <w:tcW w:w="300" w:type="dxa"/>
            <w:vAlign w:val="bottom"/>
          </w:tcPr>
          <w:p>
            <w:pPr>
              <w:spacing w:after="0"/>
              <w:rPr>
                <w:sz w:val="17"/>
                <w:szCs w:val="17"/>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(193)</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(240)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I </w:t>
      </w:r>
      <w:r>
        <w:rPr>
          <w:rFonts w:ascii="Arial" w:cs="Arial" w:eastAsia="Arial" w:hAnsi="Arial"/>
          <w:sz w:val="18"/>
          <w:szCs w:val="18"/>
          <w:color w:val="auto"/>
        </w:rPr>
        <w:t>—</w:t>
      </w:r>
      <w:r>
        <w:rPr>
          <w:rFonts w:ascii="Arial" w:cs="Arial" w:eastAsia="Arial" w:hAnsi="Arial"/>
          <w:sz w:val="18"/>
          <w:szCs w:val="18"/>
          <w:b w:val="1"/>
          <w:bCs w:val="1"/>
          <w:color w:val="auto"/>
        </w:rPr>
        <w:t xml:space="preserve"> STOCK COMPENSATION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stock option activity and related information for the nine months ended September 30, 2019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Weighted-</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remaining</w:t>
            </w:r>
          </w:p>
        </w:tc>
        <w:tc>
          <w:tcPr>
            <w:tcW w:w="120" w:type="dxa"/>
            <w:vAlign w:val="bottom"/>
          </w:tcPr>
          <w:p>
            <w:pPr>
              <w:spacing w:after="0"/>
              <w:rPr>
                <w:sz w:val="17"/>
                <w:szCs w:val="17"/>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b w:val="1"/>
                <w:bCs w:val="1"/>
                <w:color w:val="auto"/>
                <w:w w:val="90"/>
              </w:rPr>
              <w:t>Aggregate</w:t>
            </w:r>
          </w:p>
        </w:tc>
        <w:tc>
          <w:tcPr>
            <w:tcW w:w="0" w:type="dxa"/>
            <w:vAlign w:val="bottom"/>
          </w:tcPr>
          <w:p>
            <w:pPr>
              <w:spacing w:after="0"/>
              <w:rPr>
                <w:sz w:val="1"/>
                <w:szCs w:val="1"/>
                <w:color w:val="auto"/>
              </w:rPr>
            </w:pPr>
          </w:p>
        </w:tc>
      </w:tr>
      <w:tr>
        <w:trPr>
          <w:trHeight w:val="203"/>
        </w:trPr>
        <w:tc>
          <w:tcPr>
            <w:tcW w:w="5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average</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contractual</w:t>
            </w:r>
          </w:p>
        </w:tc>
        <w:tc>
          <w:tcPr>
            <w:tcW w:w="12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rPr>
              <w:t>intrinsic</w:t>
            </w:r>
          </w:p>
        </w:tc>
        <w:tc>
          <w:tcPr>
            <w:tcW w:w="0" w:type="dxa"/>
            <w:vAlign w:val="bottom"/>
          </w:tcPr>
          <w:p>
            <w:pPr>
              <w:spacing w:after="0"/>
              <w:rPr>
                <w:sz w:val="1"/>
                <w:szCs w:val="1"/>
                <w:color w:val="auto"/>
              </w:rPr>
            </w:pPr>
          </w:p>
        </w:tc>
      </w:tr>
      <w:tr>
        <w:trPr>
          <w:trHeight w:val="210"/>
        </w:trPr>
        <w:tc>
          <w:tcPr>
            <w:tcW w:w="5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jc w:val="right"/>
              <w:ind w:right="298"/>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exercise price</w:t>
            </w: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life (years)</w:t>
            </w:r>
          </w:p>
        </w:tc>
        <w:tc>
          <w:tcPr>
            <w:tcW w:w="120" w:type="dxa"/>
            <w:vAlign w:val="bottom"/>
          </w:tcPr>
          <w:p>
            <w:pPr>
              <w:spacing w:after="0"/>
              <w:rPr>
                <w:sz w:val="18"/>
                <w:szCs w:val="18"/>
                <w:color w:val="auto"/>
              </w:rPr>
            </w:pPr>
          </w:p>
        </w:tc>
        <w:tc>
          <w:tcPr>
            <w:tcW w:w="880" w:type="dxa"/>
            <w:vAlign w:val="bottom"/>
          </w:tcPr>
          <w:p>
            <w:pPr>
              <w:jc w:val="right"/>
              <w:ind w:right="239"/>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33"/>
        </w:trPr>
        <w:tc>
          <w:tcPr>
            <w:tcW w:w="59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outstanding, January 1, 2019</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1,548,825</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13.87</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Grants</w:t>
            </w:r>
          </w:p>
        </w:tc>
        <w:tc>
          <w:tcPr>
            <w:tcW w:w="240" w:type="dxa"/>
            <w:vAlign w:val="bottom"/>
          </w:tcPr>
          <w:p>
            <w:pPr>
              <w:spacing w:after="0"/>
              <w:rPr>
                <w:sz w:val="19"/>
                <w:szCs w:val="19"/>
                <w:color w:val="auto"/>
              </w:rPr>
            </w:pP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296,500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9.21</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Exercises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(75,000)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4.28</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960" w:type="dxa"/>
            <w:vAlign w:val="bottom"/>
          </w:tcPr>
          <w:p>
            <w:pPr>
              <w:ind w:left="340"/>
              <w:spacing w:after="0"/>
              <w:rPr>
                <w:sz w:val="20"/>
                <w:szCs w:val="20"/>
                <w:color w:val="auto"/>
              </w:rPr>
            </w:pPr>
            <w:r>
              <w:rPr>
                <w:rFonts w:ascii="Arial" w:cs="Arial" w:eastAsia="Arial" w:hAnsi="Arial"/>
                <w:sz w:val="16"/>
                <w:szCs w:val="16"/>
                <w:color w:val="auto"/>
              </w:rPr>
              <w:t>Cancellations</w:t>
            </w:r>
          </w:p>
        </w:tc>
        <w:tc>
          <w:tcPr>
            <w:tcW w:w="240" w:type="dxa"/>
            <w:vAlign w:val="bottom"/>
          </w:tcPr>
          <w:p>
            <w:pPr>
              <w:spacing w:after="0"/>
              <w:rPr>
                <w:sz w:val="19"/>
                <w:szCs w:val="19"/>
                <w:color w:val="auto"/>
              </w:rPr>
            </w:pPr>
          </w:p>
        </w:tc>
        <w:tc>
          <w:tcPr>
            <w:tcW w:w="1080" w:type="dxa"/>
            <w:vAlign w:val="bottom"/>
          </w:tcPr>
          <w:p>
            <w:pPr>
              <w:jc w:val="right"/>
              <w:ind w:right="18"/>
              <w:spacing w:after="0"/>
              <w:rPr>
                <w:sz w:val="20"/>
                <w:szCs w:val="20"/>
                <w:color w:val="auto"/>
              </w:rPr>
            </w:pPr>
            <w:r>
              <w:rPr>
                <w:rFonts w:ascii="Arial" w:cs="Arial" w:eastAsia="Arial" w:hAnsi="Arial"/>
                <w:sz w:val="16"/>
                <w:szCs w:val="16"/>
                <w:color w:val="auto"/>
              </w:rPr>
              <w:t>(6,750)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13.34</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9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Expirations</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(240,125)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13.93</w:t>
            </w:r>
          </w:p>
        </w:tc>
        <w:tc>
          <w:tcPr>
            <w:tcW w:w="1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7"/>
        </w:trPr>
        <w:tc>
          <w:tcPr>
            <w:tcW w:w="5960" w:type="dxa"/>
            <w:vAlign w:val="bottom"/>
          </w:tcPr>
          <w:p>
            <w:pPr>
              <w:ind w:left="20"/>
              <w:spacing w:after="0"/>
              <w:rPr>
                <w:sz w:val="20"/>
                <w:szCs w:val="20"/>
                <w:color w:val="auto"/>
              </w:rPr>
            </w:pPr>
            <w:r>
              <w:rPr>
                <w:rFonts w:ascii="Arial" w:cs="Arial" w:eastAsia="Arial" w:hAnsi="Arial"/>
                <w:sz w:val="16"/>
                <w:szCs w:val="16"/>
                <w:b w:val="1"/>
                <w:bCs w:val="1"/>
                <w:color w:val="auto"/>
              </w:rPr>
              <w:t>Options outstanding, September 30, 2019</w:t>
            </w:r>
          </w:p>
        </w:tc>
        <w:tc>
          <w:tcPr>
            <w:tcW w:w="2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6"/>
                <w:szCs w:val="16"/>
                <w:color w:val="auto"/>
              </w:rPr>
              <w:t>1,523,450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59"/>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5.2</w:t>
            </w:r>
          </w:p>
        </w:tc>
        <w:tc>
          <w:tcPr>
            <w:tcW w:w="2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Options exercisable, September 30, 2019</w:t>
            </w:r>
          </w:p>
        </w:tc>
        <w:tc>
          <w:tcPr>
            <w:tcW w:w="24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1,040,172</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14.44</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2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7,200</w:t>
            </w:r>
          </w:p>
        </w:tc>
        <w:tc>
          <w:tcPr>
            <w:tcW w:w="0" w:type="dxa"/>
            <w:vAlign w:val="bottom"/>
          </w:tcPr>
          <w:p>
            <w:pPr>
              <w:spacing w:after="0"/>
              <w:rPr>
                <w:sz w:val="1"/>
                <w:szCs w:val="1"/>
                <w:color w:val="auto"/>
              </w:rPr>
            </w:pPr>
          </w:p>
        </w:tc>
      </w:tr>
      <w:tr>
        <w:trPr>
          <w:trHeight w:val="20"/>
        </w:trPr>
        <w:tc>
          <w:tcPr>
            <w:tcW w:w="5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stock option expense remaining (in thousands)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5960" w:type="dxa"/>
            <w:vAlign w:val="bottom"/>
            <w:vMerge w:val="continue"/>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58"/>
              <w:spacing w:after="0"/>
              <w:rPr>
                <w:sz w:val="20"/>
                <w:szCs w:val="20"/>
                <w:color w:val="auto"/>
              </w:rPr>
            </w:pPr>
            <w:r>
              <w:rPr>
                <w:rFonts w:ascii="Arial" w:cs="Arial" w:eastAsia="Arial" w:hAnsi="Arial"/>
                <w:sz w:val="16"/>
                <w:szCs w:val="16"/>
                <w:color w:val="auto"/>
              </w:rPr>
              <w:t>1,554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59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aggregate intrinsic value in the table above represents the total pre-tax intrinsic value that would have been received by the option holders had all option holders exercised their stock options on September 30, 2019. The intrinsic value is calculated for each in-the-money stock option as the difference between the closing price of the Company’s common stock on September 30, 2019 and the exercise price.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restricted stock activity and related information for the nine months ended September 30, 2019 is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Weighted-</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1"/>
              </w:rPr>
              <w:t>average grant</w:t>
            </w:r>
          </w:p>
        </w:tc>
        <w:tc>
          <w:tcPr>
            <w:tcW w:w="0" w:type="dxa"/>
            <w:vAlign w:val="bottom"/>
          </w:tcPr>
          <w:p>
            <w:pPr>
              <w:spacing w:after="0"/>
              <w:rPr>
                <w:sz w:val="1"/>
                <w:szCs w:val="1"/>
                <w:color w:val="auto"/>
              </w:rPr>
            </w:pPr>
          </w:p>
        </w:tc>
      </w:tr>
      <w:tr>
        <w:trPr>
          <w:trHeight w:val="203"/>
        </w:trPr>
        <w:tc>
          <w:tcPr>
            <w:tcW w:w="8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19"/>
              <w:spacing w:after="0"/>
              <w:rPr>
                <w:sz w:val="20"/>
                <w:szCs w:val="20"/>
                <w:color w:val="auto"/>
              </w:rPr>
            </w:pPr>
            <w:r>
              <w:rPr>
                <w:rFonts w:ascii="Arial" w:cs="Arial" w:eastAsia="Arial" w:hAnsi="Arial"/>
                <w:sz w:val="16"/>
                <w:szCs w:val="16"/>
                <w:b w:val="1"/>
                <w:bCs w:val="1"/>
                <w:color w:val="auto"/>
              </w:rPr>
              <w:t>Restricted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date fair</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center"/>
              <w:ind w:right="59"/>
              <w:spacing w:after="0"/>
              <w:rPr>
                <w:sz w:val="20"/>
                <w:szCs w:val="20"/>
                <w:color w:val="auto"/>
              </w:rPr>
            </w:pPr>
            <w:r>
              <w:rPr>
                <w:rFonts w:ascii="Arial" w:cs="Arial" w:eastAsia="Arial" w:hAnsi="Arial"/>
                <w:sz w:val="16"/>
                <w:szCs w:val="16"/>
                <w:b w:val="1"/>
                <w:bCs w:val="1"/>
                <w:color w:val="auto"/>
                <w:w w:val="87"/>
              </w:rPr>
              <w:t>value</w:t>
            </w:r>
          </w:p>
        </w:tc>
        <w:tc>
          <w:tcPr>
            <w:tcW w:w="0" w:type="dxa"/>
            <w:vAlign w:val="bottom"/>
          </w:tcPr>
          <w:p>
            <w:pPr>
              <w:spacing w:after="0"/>
              <w:rPr>
                <w:sz w:val="1"/>
                <w:szCs w:val="1"/>
                <w:color w:val="auto"/>
              </w:rPr>
            </w:pPr>
          </w:p>
        </w:tc>
      </w:tr>
      <w:tr>
        <w:trPr>
          <w:trHeight w:val="33"/>
        </w:trPr>
        <w:tc>
          <w:tcPr>
            <w:tcW w:w="8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January 1, 2019</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326,545</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14.63</w:t>
            </w:r>
          </w:p>
        </w:tc>
        <w:tc>
          <w:tcPr>
            <w:tcW w:w="0" w:type="dxa"/>
            <w:vAlign w:val="bottom"/>
          </w:tcPr>
          <w:p>
            <w:pPr>
              <w:spacing w:after="0"/>
              <w:rPr>
                <w:sz w:val="1"/>
                <w:szCs w:val="1"/>
                <w:color w:val="auto"/>
              </w:rPr>
            </w:pPr>
          </w:p>
        </w:tc>
      </w:tr>
      <w:tr>
        <w:trPr>
          <w:trHeight w:val="224"/>
        </w:trPr>
        <w:tc>
          <w:tcPr>
            <w:tcW w:w="8640" w:type="dxa"/>
            <w:vAlign w:val="bottom"/>
          </w:tcPr>
          <w:p>
            <w:pPr>
              <w:ind w:left="340"/>
              <w:spacing w:after="0"/>
              <w:rPr>
                <w:sz w:val="20"/>
                <w:szCs w:val="20"/>
                <w:color w:val="auto"/>
              </w:rPr>
            </w:pPr>
            <w:r>
              <w:rPr>
                <w:rFonts w:ascii="Arial" w:cs="Arial" w:eastAsia="Arial" w:hAnsi="Arial"/>
                <w:sz w:val="16"/>
                <w:szCs w:val="16"/>
                <w:color w:val="auto"/>
              </w:rPr>
              <w:t>Grants</w:t>
            </w:r>
          </w:p>
        </w:tc>
        <w:tc>
          <w:tcPr>
            <w:tcW w:w="200" w:type="dxa"/>
            <w:vAlign w:val="bottom"/>
          </w:tcPr>
          <w:p>
            <w:pPr>
              <w:spacing w:after="0"/>
              <w:rPr>
                <w:sz w:val="19"/>
                <w:szCs w:val="19"/>
                <w:color w:val="auto"/>
              </w:rPr>
            </w:pP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439,747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9.25</w:t>
            </w:r>
          </w:p>
        </w:tc>
        <w:tc>
          <w:tcPr>
            <w:tcW w:w="0" w:type="dxa"/>
            <w:vAlign w:val="bottom"/>
          </w:tcPr>
          <w:p>
            <w:pPr>
              <w:spacing w:after="0"/>
              <w:rPr>
                <w:sz w:val="1"/>
                <w:szCs w:val="1"/>
                <w:color w:val="auto"/>
              </w:rPr>
            </w:pPr>
          </w:p>
        </w:tc>
      </w:tr>
      <w:tr>
        <w:trPr>
          <w:trHeight w:val="33"/>
        </w:trPr>
        <w:tc>
          <w:tcPr>
            <w:tcW w:w="8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6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Vested</w:t>
            </w:r>
          </w:p>
        </w:tc>
        <w:tc>
          <w:tcPr>
            <w:tcW w:w="2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(145,049)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14.49</w:t>
            </w:r>
          </w:p>
        </w:tc>
        <w:tc>
          <w:tcPr>
            <w:tcW w:w="0" w:type="dxa"/>
            <w:vAlign w:val="bottom"/>
          </w:tcPr>
          <w:p>
            <w:pPr>
              <w:spacing w:after="0"/>
              <w:rPr>
                <w:sz w:val="1"/>
                <w:szCs w:val="1"/>
                <w:color w:val="auto"/>
              </w:rPr>
            </w:pPr>
          </w:p>
        </w:tc>
      </w:tr>
      <w:tr>
        <w:trPr>
          <w:trHeight w:val="224"/>
        </w:trPr>
        <w:tc>
          <w:tcPr>
            <w:tcW w:w="8640" w:type="dxa"/>
            <w:vAlign w:val="bottom"/>
          </w:tcPr>
          <w:p>
            <w:pPr>
              <w:ind w:left="340"/>
              <w:spacing w:after="0"/>
              <w:rPr>
                <w:sz w:val="20"/>
                <w:szCs w:val="20"/>
                <w:color w:val="auto"/>
              </w:rPr>
            </w:pPr>
            <w:r>
              <w:rPr>
                <w:rFonts w:ascii="Arial" w:cs="Arial" w:eastAsia="Arial" w:hAnsi="Arial"/>
                <w:sz w:val="16"/>
                <w:szCs w:val="16"/>
                <w:color w:val="auto"/>
              </w:rPr>
              <w:t>Cancellations</w:t>
            </w:r>
          </w:p>
        </w:tc>
        <w:tc>
          <w:tcPr>
            <w:tcW w:w="20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(24,537)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13.97</w:t>
            </w:r>
          </w:p>
        </w:tc>
        <w:tc>
          <w:tcPr>
            <w:tcW w:w="0" w:type="dxa"/>
            <w:vAlign w:val="bottom"/>
          </w:tcPr>
          <w:p>
            <w:pPr>
              <w:spacing w:after="0"/>
              <w:rPr>
                <w:sz w:val="1"/>
                <w:szCs w:val="1"/>
                <w:color w:val="auto"/>
              </w:rPr>
            </w:pPr>
          </w:p>
        </w:tc>
      </w:tr>
      <w:tr>
        <w:trPr>
          <w:trHeight w:val="33"/>
        </w:trPr>
        <w:tc>
          <w:tcPr>
            <w:tcW w:w="86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Non-vested restricted shares, September 30, 2019</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596,706</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10.73</w:t>
            </w:r>
          </w:p>
        </w:tc>
        <w:tc>
          <w:tcPr>
            <w:tcW w:w="0" w:type="dxa"/>
            <w:vAlign w:val="bottom"/>
          </w:tcPr>
          <w:p>
            <w:pPr>
              <w:spacing w:after="0"/>
              <w:rPr>
                <w:sz w:val="1"/>
                <w:szCs w:val="1"/>
                <w:color w:val="auto"/>
              </w:rPr>
            </w:pPr>
          </w:p>
        </w:tc>
      </w:tr>
      <w:tr>
        <w:trPr>
          <w:trHeight w:val="20"/>
        </w:trPr>
        <w:tc>
          <w:tcPr>
            <w:tcW w:w="8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Total unrecognized compensation expense remaining (in thousands)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8640" w:type="dxa"/>
            <w:vAlign w:val="bottom"/>
            <w:vMerge w:val="continue"/>
          </w:tcPr>
          <w:p>
            <w:pPr>
              <w:spacing w:after="0"/>
              <w:rPr>
                <w:sz w:val="17"/>
                <w:szCs w:val="17"/>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59"/>
              <w:spacing w:after="0"/>
              <w:rPr>
                <w:sz w:val="20"/>
                <w:szCs w:val="20"/>
                <w:color w:val="auto"/>
              </w:rPr>
            </w:pPr>
            <w:r>
              <w:rPr>
                <w:rFonts w:ascii="Arial" w:cs="Arial" w:eastAsia="Arial" w:hAnsi="Arial"/>
                <w:sz w:val="16"/>
                <w:szCs w:val="16"/>
                <w:color w:val="auto"/>
              </w:rPr>
              <w:t>5,045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6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that vested during the nine months ended September 30, 2019 was $1.4 million.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shares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Each performance award represents the right to receive up to 150% of the target number of shares of common stock. The number of shares of common stock earned will be determined based on the attainment of specified performance goals, as determined by the Compensation Committee, by the end of the performance period. The shares are subject to the terms and conditions of the Company’s Amended and Restated 2000 Long Term Incentive Plan (the “Plan”).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A summary of the Company’s performance-based award activity and related information for the nine months ended September 30, 2019 is as follows:</w:t>
      </w:r>
    </w:p>
    <w:p>
      <w:pPr>
        <w:sectPr>
          <w:pgSz w:w="11900" w:h="16838" w:orient="portrait"/>
          <w:cols w:equalWidth="0" w:num="1">
            <w:col w:w="11400"/>
          </w:cols>
          <w:pgMar w:left="240" w:top="12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229475"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29475"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5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Vested</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Cancellations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Non-vested performance-based awards,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-116205</wp:posOffset>
            </wp:positionV>
            <wp:extent cx="7229475" cy="1885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9475" cy="18859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Total unrecognized compensation expense remaining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229475" cy="1631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9475" cy="163195"/>
                    </a:xfrm>
                    <a:prstGeom prst="rect">
                      <a:avLst/>
                    </a:prstGeom>
                    <a:noFill/>
                  </pic:spPr>
                </pic:pic>
              </a:graphicData>
            </a:graphic>
          </wp:anchor>
        </w:drawing>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Weighted-average years expected to be recognized over</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3"/>
              </w:rPr>
              <w:t>Weighted-</w:t>
            </w:r>
          </w:p>
        </w:tc>
      </w:tr>
      <w:tr>
        <w:trPr>
          <w:trHeight w:val="203"/>
        </w:trPr>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Performance-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1"/>
              </w:rPr>
              <w:t>average grant</w:t>
            </w:r>
          </w:p>
        </w:tc>
      </w:tr>
      <w:tr>
        <w:trPr>
          <w:trHeight w:val="203"/>
        </w:trPr>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86"/>
              </w:rPr>
              <w:t>based stock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96"/>
              </w:rPr>
              <w:t>date fair</w:t>
            </w:r>
          </w:p>
        </w:tc>
      </w:tr>
      <w:tr>
        <w:trPr>
          <w:trHeight w:val="210"/>
        </w:trPr>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3"/>
              </w:rPr>
              <w:t>awards (1)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value</w:t>
            </w:r>
          </w:p>
        </w:tc>
      </w:tr>
      <w:tr>
        <w:trPr>
          <w:trHeight w:val="33"/>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7"/>
        </w:trPr>
        <w:tc>
          <w:tcPr>
            <w:tcW w:w="1540" w:type="dxa"/>
            <w:vAlign w:val="bottom"/>
          </w:tcPr>
          <w:p>
            <w:pPr>
              <w:ind w:left="880"/>
              <w:spacing w:after="0"/>
              <w:rPr>
                <w:sz w:val="20"/>
                <w:szCs w:val="20"/>
                <w:color w:val="auto"/>
              </w:rPr>
            </w:pPr>
            <w:r>
              <w:rPr>
                <w:rFonts w:ascii="Arial" w:cs="Arial" w:eastAsia="Arial" w:hAnsi="Arial"/>
                <w:sz w:val="16"/>
                <w:szCs w:val="16"/>
                <w:color w:val="auto"/>
              </w:rPr>
              <w:t>339,287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14.82</w:t>
            </w:r>
          </w:p>
        </w:tc>
      </w:tr>
      <w:tr>
        <w:trPr>
          <w:trHeight w:val="257"/>
        </w:trPr>
        <w:tc>
          <w:tcPr>
            <w:tcW w:w="1540" w:type="dxa"/>
            <w:vAlign w:val="bottom"/>
          </w:tcPr>
          <w:p>
            <w:pPr>
              <w:ind w:left="880"/>
              <w:spacing w:after="0"/>
              <w:rPr>
                <w:sz w:val="20"/>
                <w:szCs w:val="20"/>
                <w:color w:val="auto"/>
              </w:rPr>
            </w:pPr>
            <w:r>
              <w:rPr>
                <w:rFonts w:ascii="Arial" w:cs="Arial" w:eastAsia="Arial" w:hAnsi="Arial"/>
                <w:sz w:val="16"/>
                <w:szCs w:val="16"/>
                <w:color w:val="auto"/>
              </w:rPr>
              <w:t>158,525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9.19</w:t>
            </w:r>
          </w:p>
        </w:tc>
      </w:tr>
      <w:tr>
        <w:trPr>
          <w:trHeight w:val="257"/>
        </w:trPr>
        <w:tc>
          <w:tcPr>
            <w:tcW w:w="1540" w:type="dxa"/>
            <w:vAlign w:val="bottom"/>
          </w:tcPr>
          <w:p>
            <w:pPr>
              <w:ind w:left="880"/>
              <w:spacing w:after="0"/>
              <w:rPr>
                <w:sz w:val="20"/>
                <w:szCs w:val="20"/>
                <w:color w:val="auto"/>
              </w:rPr>
            </w:pPr>
            <w:r>
              <w:rPr>
                <w:rFonts w:ascii="Arial" w:cs="Arial" w:eastAsia="Arial" w:hAnsi="Arial"/>
                <w:sz w:val="16"/>
                <w:szCs w:val="16"/>
                <w:color w:val="auto"/>
              </w:rPr>
              <w:t>(66,761)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15.69</w:t>
            </w:r>
          </w:p>
        </w:tc>
      </w:tr>
      <w:tr>
        <w:trPr>
          <w:trHeight w:val="257"/>
        </w:trPr>
        <w:tc>
          <w:tcPr>
            <w:tcW w:w="1540" w:type="dxa"/>
            <w:vAlign w:val="bottom"/>
          </w:tcPr>
          <w:p>
            <w:pPr>
              <w:ind w:left="880"/>
              <w:spacing w:after="0"/>
              <w:rPr>
                <w:sz w:val="20"/>
                <w:szCs w:val="20"/>
                <w:color w:val="auto"/>
              </w:rPr>
            </w:pPr>
            <w:r>
              <w:rPr>
                <w:rFonts w:ascii="Arial" w:cs="Arial" w:eastAsia="Arial" w:hAnsi="Arial"/>
                <w:sz w:val="16"/>
                <w:szCs w:val="16"/>
                <w:color w:val="auto"/>
              </w:rPr>
              <w:t>(25,992)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15.44</w:t>
            </w:r>
          </w:p>
        </w:tc>
      </w:tr>
      <w:tr>
        <w:trPr>
          <w:trHeight w:val="33"/>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7"/>
        </w:trPr>
        <w:tc>
          <w:tcPr>
            <w:tcW w:w="1540" w:type="dxa"/>
            <w:vAlign w:val="bottom"/>
            <w:tcBorders>
              <w:bottom w:val="single" w:sz="8" w:color="auto"/>
            </w:tcBorders>
          </w:tcPr>
          <w:p>
            <w:pPr>
              <w:ind w:left="880"/>
              <w:spacing w:after="0"/>
              <w:rPr>
                <w:sz w:val="20"/>
                <w:szCs w:val="20"/>
                <w:color w:val="auto"/>
              </w:rPr>
            </w:pPr>
            <w:r>
              <w:rPr>
                <w:rFonts w:ascii="Arial" w:cs="Arial" w:eastAsia="Arial" w:hAnsi="Arial"/>
                <w:sz w:val="16"/>
                <w:szCs w:val="16"/>
                <w:color w:val="auto"/>
              </w:rPr>
              <w:t>405,059</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79"/>
              <w:spacing w:after="0"/>
              <w:rPr>
                <w:sz w:val="20"/>
                <w:szCs w:val="20"/>
                <w:color w:val="auto"/>
              </w:rPr>
            </w:pPr>
            <w:r>
              <w:rPr>
                <w:rFonts w:ascii="Arial" w:cs="Arial" w:eastAsia="Arial" w:hAnsi="Arial"/>
                <w:sz w:val="16"/>
                <w:szCs w:val="16"/>
                <w:color w:val="auto"/>
              </w:rPr>
              <w:t>12.43</w:t>
            </w:r>
          </w:p>
        </w:tc>
      </w:tr>
      <w:tr>
        <w:trPr>
          <w:trHeight w:val="24"/>
        </w:trPr>
        <w:tc>
          <w:tcPr>
            <w:tcW w:w="1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r>
    </w:tbl>
    <w:p>
      <w:pPr>
        <w:spacing w:after="0" w:line="17" w:lineRule="exact"/>
        <w:rPr>
          <w:sz w:val="20"/>
          <w:szCs w:val="20"/>
          <w:color w:val="auto"/>
        </w:rPr>
      </w:pPr>
    </w:p>
    <w:p>
      <w:pPr>
        <w:ind w:left="1040" w:hanging="1016"/>
        <w:spacing w:after="0"/>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color w:val="auto"/>
        </w:rPr>
        <w:t>2,513</w:t>
      </w:r>
    </w:p>
    <w:p>
      <w:pPr>
        <w:spacing w:after="0" w:line="72" w:lineRule="exact"/>
        <w:rPr>
          <w:rFonts w:ascii="Arial" w:cs="Arial" w:eastAsia="Arial" w:hAnsi="Arial"/>
          <w:sz w:val="16"/>
          <w:szCs w:val="16"/>
          <w:color w:val="auto"/>
        </w:rPr>
      </w:pPr>
    </w:p>
    <w:p>
      <w:pPr>
        <w:ind w:left="1320"/>
        <w:spacing w:after="0"/>
        <w:rPr>
          <w:rFonts w:ascii="Arial" w:cs="Arial" w:eastAsia="Arial" w:hAnsi="Arial"/>
          <w:sz w:val="16"/>
          <w:szCs w:val="16"/>
          <w:color w:val="auto"/>
        </w:rPr>
      </w:pPr>
      <w:r>
        <w:rPr>
          <w:rFonts w:ascii="Arial" w:cs="Arial" w:eastAsia="Arial" w:hAnsi="Arial"/>
          <w:sz w:val="16"/>
          <w:szCs w:val="16"/>
          <w:color w:val="auto"/>
        </w:rPr>
        <w:t>1.7</w:t>
      </w:r>
    </w:p>
    <w:p>
      <w:pPr>
        <w:spacing w:after="0" w:line="149" w:lineRule="exact"/>
        <w:rPr>
          <w:sz w:val="20"/>
          <w:szCs w:val="20"/>
          <w:color w:val="auto"/>
        </w:rPr>
      </w:pPr>
    </w:p>
    <w:p>
      <w:pPr>
        <w:sectPr>
          <w:pgSz w:w="11900" w:h="16838" w:orient="portrait"/>
          <w:cols w:equalWidth="0" w:num="2">
            <w:col w:w="7480" w:space="720"/>
            <w:col w:w="3200"/>
          </w:cols>
          <w:pgMar w:left="240" w:top="121" w:right="259" w:bottom="1440" w:gutter="0" w:footer="0" w:header="0"/>
          <w:type w:val="continuous"/>
        </w:sectPr>
      </w:pPr>
    </w:p>
    <w:p>
      <w:pPr>
        <w:spacing w:after="0"/>
        <w:rPr>
          <w:sz w:val="20"/>
          <w:szCs w:val="20"/>
          <w:color w:val="auto"/>
        </w:rPr>
      </w:pPr>
      <w:r>
        <w:rPr>
          <w:rFonts w:ascii="Arial" w:cs="Arial" w:eastAsia="Arial" w:hAnsi="Arial"/>
          <w:sz w:val="18"/>
          <w:szCs w:val="18"/>
          <w:color w:val="auto"/>
        </w:rPr>
        <w:t>(1) Represents the target number of shares to be issued for each performance-based award.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total fair value of performance-based awards that vested during the nine months ended September 30, 2019 was $0.6 million.</w:t>
      </w:r>
    </w:p>
    <w:p>
      <w:pPr>
        <w:spacing w:after="0" w:line="225"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color w:val="auto"/>
        </w:rPr>
        <w:t>At September 30, 2019, there were 320,480 shares available for awards that could be granted under the Plan, assuming maximum performance of performance-based awards.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3"/>
              </w:rPr>
              <w:t>The Company recorded stock compensation expense as follows (in thousands):</w:t>
            </w: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2"/>
        </w:trPr>
        <w:tc>
          <w:tcPr>
            <w:tcW w:w="5980" w:type="dxa"/>
            <w:vAlign w:val="bottom"/>
          </w:tcPr>
          <w:p>
            <w:pPr>
              <w:spacing w:after="0"/>
              <w:rPr>
                <w:sz w:val="21"/>
                <w:szCs w:val="21"/>
                <w:color w:val="auto"/>
              </w:rPr>
            </w:pPr>
          </w:p>
        </w:tc>
        <w:tc>
          <w:tcPr>
            <w:tcW w:w="2820" w:type="dxa"/>
            <w:vAlign w:val="bottom"/>
            <w:gridSpan w:val="7"/>
          </w:tcPr>
          <w:p>
            <w:pPr>
              <w:jc w:val="center"/>
              <w:ind w:right="160"/>
              <w:spacing w:after="0"/>
              <w:rPr>
                <w:sz w:val="20"/>
                <w:szCs w:val="20"/>
                <w:color w:val="auto"/>
              </w:rPr>
            </w:pPr>
            <w:r>
              <w:rPr>
                <w:rFonts w:ascii="Arial" w:cs="Arial" w:eastAsia="Arial" w:hAnsi="Arial"/>
                <w:sz w:val="18"/>
                <w:szCs w:val="18"/>
                <w:b w:val="1"/>
                <w:bCs w:val="1"/>
                <w:color w:val="auto"/>
                <w:w w:val="90"/>
              </w:rPr>
              <w:t>Three Months Ended September</w:t>
            </w:r>
          </w:p>
        </w:tc>
        <w:tc>
          <w:tcPr>
            <w:tcW w:w="260" w:type="dxa"/>
            <w:vAlign w:val="bottom"/>
          </w:tcPr>
          <w:p>
            <w:pPr>
              <w:spacing w:after="0"/>
              <w:rPr>
                <w:sz w:val="21"/>
                <w:szCs w:val="21"/>
                <w:color w:val="auto"/>
              </w:rPr>
            </w:pPr>
          </w:p>
        </w:tc>
        <w:tc>
          <w:tcPr>
            <w:tcW w:w="2180" w:type="dxa"/>
            <w:vAlign w:val="bottom"/>
            <w:gridSpan w:val="4"/>
          </w:tcPr>
          <w:p>
            <w:pPr>
              <w:jc w:val="right"/>
              <w:ind w:right="357"/>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87"/>
              </w:rPr>
              <w:t>30,</w:t>
            </w: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80" w:type="dxa"/>
            <w:vAlign w:val="bottom"/>
            <w:gridSpan w:val="4"/>
          </w:tcPr>
          <w:p>
            <w:pPr>
              <w:jc w:val="right"/>
              <w:ind w:right="577"/>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59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Stock Compensation Expense Components</w:t>
            </w:r>
          </w:p>
        </w:tc>
        <w:tc>
          <w:tcPr>
            <w:tcW w:w="300" w:type="dxa"/>
            <w:vAlign w:val="bottom"/>
          </w:tcPr>
          <w:p>
            <w:pPr>
              <w:spacing w:after="0"/>
              <w:rPr>
                <w:sz w:val="20"/>
                <w:szCs w:val="20"/>
                <w:color w:val="auto"/>
              </w:rPr>
            </w:pPr>
          </w:p>
        </w:tc>
        <w:tc>
          <w:tcPr>
            <w:tcW w:w="900" w:type="dxa"/>
            <w:vAlign w:val="bottom"/>
          </w:tcPr>
          <w:p>
            <w:pPr>
              <w:jc w:val="right"/>
              <w:ind w:right="277"/>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7"/>
              <w:spacing w:after="0"/>
              <w:rPr>
                <w:sz w:val="20"/>
                <w:szCs w:val="20"/>
                <w:color w:val="auto"/>
              </w:rPr>
            </w:pPr>
            <w:r>
              <w:rPr>
                <w:rFonts w:ascii="Arial" w:cs="Arial" w:eastAsia="Arial" w:hAnsi="Arial"/>
                <w:sz w:val="18"/>
                <w:szCs w:val="18"/>
                <w:b w:val="1"/>
                <w:bCs w:val="1"/>
                <w:color w:val="auto"/>
              </w:rPr>
              <w:t>2018</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16"/>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ind w:right="277"/>
              <w:spacing w:after="0"/>
              <w:rPr>
                <w:sz w:val="20"/>
                <w:szCs w:val="20"/>
                <w:color w:val="auto"/>
              </w:rPr>
            </w:pPr>
            <w:r>
              <w:rPr>
                <w:rFonts w:ascii="Arial" w:cs="Arial" w:eastAsia="Arial" w:hAnsi="Arial"/>
                <w:sz w:val="18"/>
                <w:szCs w:val="18"/>
                <w:b w:val="1"/>
                <w:bCs w:val="1"/>
                <w:color w:val="auto"/>
              </w:rPr>
              <w:t>2018</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Equity based stock option expense</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152</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454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559</w:t>
            </w:r>
          </w:p>
        </w:tc>
      </w:tr>
      <w:tr>
        <w:trPr>
          <w:trHeight w:val="243"/>
        </w:trPr>
        <w:tc>
          <w:tcPr>
            <w:tcW w:w="5980" w:type="dxa"/>
            <w:vAlign w:val="bottom"/>
          </w:tcPr>
          <w:p>
            <w:pPr>
              <w:ind w:left="440"/>
              <w:spacing w:after="0"/>
              <w:rPr>
                <w:sz w:val="20"/>
                <w:szCs w:val="20"/>
                <w:color w:val="auto"/>
              </w:rPr>
            </w:pPr>
            <w:r>
              <w:rPr>
                <w:rFonts w:ascii="Arial" w:cs="Arial" w:eastAsia="Arial" w:hAnsi="Arial"/>
                <w:sz w:val="18"/>
                <w:szCs w:val="18"/>
                <w:color w:val="auto"/>
              </w:rPr>
              <w:t>Restricted and performance-based stock awards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1,292</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jc w:val="right"/>
              <w:ind w:right="77"/>
              <w:spacing w:after="0"/>
              <w:rPr>
                <w:sz w:val="20"/>
                <w:szCs w:val="20"/>
                <w:color w:val="auto"/>
              </w:rPr>
            </w:pPr>
            <w:r>
              <w:rPr>
                <w:rFonts w:ascii="Arial" w:cs="Arial" w:eastAsia="Arial" w:hAnsi="Arial"/>
                <w:sz w:val="16"/>
                <w:szCs w:val="16"/>
                <w:color w:val="auto"/>
              </w:rPr>
              <w:t>1,116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6"/>
                <w:szCs w:val="16"/>
                <w:color w:val="auto"/>
              </w:rPr>
              <w:t>3,130</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jc w:val="right"/>
              <w:ind w:right="57"/>
              <w:spacing w:after="0"/>
              <w:rPr>
                <w:sz w:val="20"/>
                <w:szCs w:val="20"/>
                <w:color w:val="auto"/>
              </w:rPr>
            </w:pPr>
            <w:r>
              <w:rPr>
                <w:rFonts w:ascii="Arial" w:cs="Arial" w:eastAsia="Arial" w:hAnsi="Arial"/>
                <w:sz w:val="16"/>
                <w:szCs w:val="16"/>
                <w:color w:val="auto"/>
              </w:rPr>
              <w:t>2,468</w:t>
            </w: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 compensation expense for equity based awards</w:t>
            </w:r>
          </w:p>
        </w:tc>
        <w:tc>
          <w:tcPr>
            <w:tcW w:w="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1,498</w:t>
            </w:r>
          </w:p>
        </w:tc>
        <w:tc>
          <w:tcPr>
            <w:tcW w:w="52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77"/>
              <w:spacing w:after="0"/>
              <w:rPr>
                <w:sz w:val="20"/>
                <w:szCs w:val="20"/>
                <w:color w:val="auto"/>
              </w:rPr>
            </w:pPr>
            <w:r>
              <w:rPr>
                <w:rFonts w:ascii="Arial" w:cs="Arial" w:eastAsia="Arial" w:hAnsi="Arial"/>
                <w:sz w:val="16"/>
                <w:szCs w:val="16"/>
                <w:color w:val="auto"/>
              </w:rPr>
              <w:t>1,268</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6"/>
                <w:szCs w:val="16"/>
                <w:color w:val="auto"/>
              </w:rPr>
              <w:t>3,584</w:t>
            </w:r>
          </w:p>
        </w:tc>
        <w:tc>
          <w:tcPr>
            <w:tcW w:w="1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6"/>
                <w:szCs w:val="16"/>
                <w:color w:val="auto"/>
              </w:rPr>
              <w:t>3,027</w:t>
            </w:r>
          </w:p>
        </w:tc>
      </w:tr>
      <w:tr>
        <w:trPr>
          <w:trHeight w:val="243"/>
        </w:trPr>
        <w:tc>
          <w:tcPr>
            <w:tcW w:w="5980" w:type="dxa"/>
            <w:vAlign w:val="bottom"/>
          </w:tcPr>
          <w:p>
            <w:pPr>
              <w:ind w:left="440"/>
              <w:spacing w:after="0"/>
              <w:rPr>
                <w:sz w:val="20"/>
                <w:szCs w:val="20"/>
                <w:color w:val="auto"/>
              </w:rPr>
            </w:pPr>
            <w:r>
              <w:rPr>
                <w:rFonts w:ascii="Arial" w:cs="Arial" w:eastAsia="Arial" w:hAnsi="Arial"/>
                <w:sz w:val="18"/>
                <w:szCs w:val="18"/>
                <w:color w:val="auto"/>
              </w:rPr>
              <w:t>Liability based stock option expense</w:t>
            </w:r>
          </w:p>
        </w:tc>
        <w:tc>
          <w:tcPr>
            <w:tcW w:w="3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6"/>
              <w:spacing w:after="0"/>
              <w:rPr>
                <w:sz w:val="20"/>
                <w:szCs w:val="20"/>
                <w:color w:val="auto"/>
              </w:rPr>
            </w:pPr>
            <w:r>
              <w:rPr>
                <w:rFonts w:ascii="Arial" w:cs="Arial" w:eastAsia="Arial" w:hAnsi="Arial"/>
                <w:sz w:val="16"/>
                <w:szCs w:val="16"/>
                <w:color w:val="auto"/>
              </w:rPr>
              <w:t>21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5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70"/>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 Compensation Expense</w:t>
            </w:r>
          </w:p>
        </w:tc>
        <w:tc>
          <w:tcPr>
            <w:tcW w:w="300" w:type="dxa"/>
            <w:vAlign w:val="bottom"/>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1,505</w:t>
            </w:r>
          </w:p>
        </w:tc>
        <w:tc>
          <w:tcPr>
            <w:tcW w:w="5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77"/>
              <w:spacing w:after="0"/>
              <w:rPr>
                <w:sz w:val="20"/>
                <w:szCs w:val="20"/>
                <w:color w:val="auto"/>
              </w:rPr>
            </w:pPr>
            <w:r>
              <w:rPr>
                <w:rFonts w:ascii="Arial" w:cs="Arial" w:eastAsia="Arial" w:hAnsi="Arial"/>
                <w:sz w:val="16"/>
                <w:szCs w:val="16"/>
                <w:color w:val="auto"/>
              </w:rPr>
              <w:t>1,268</w:t>
            </w:r>
          </w:p>
        </w:tc>
        <w:tc>
          <w:tcPr>
            <w:tcW w:w="16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6"/>
              <w:spacing w:after="0"/>
              <w:rPr>
                <w:sz w:val="20"/>
                <w:szCs w:val="20"/>
                <w:color w:val="auto"/>
              </w:rPr>
            </w:pPr>
            <w:r>
              <w:rPr>
                <w:rFonts w:ascii="Arial" w:cs="Arial" w:eastAsia="Arial" w:hAnsi="Arial"/>
                <w:sz w:val="16"/>
                <w:szCs w:val="16"/>
                <w:color w:val="auto"/>
              </w:rPr>
              <w:t>3,605</w:t>
            </w:r>
          </w:p>
        </w:tc>
        <w:tc>
          <w:tcPr>
            <w:tcW w:w="18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7"/>
              <w:spacing w:after="0"/>
              <w:rPr>
                <w:sz w:val="20"/>
                <w:szCs w:val="20"/>
                <w:color w:val="auto"/>
              </w:rPr>
            </w:pPr>
            <w:r>
              <w:rPr>
                <w:rFonts w:ascii="Arial" w:cs="Arial" w:eastAsia="Arial" w:hAnsi="Arial"/>
                <w:sz w:val="16"/>
                <w:szCs w:val="16"/>
                <w:color w:val="auto"/>
              </w:rPr>
              <w:t>3,027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—(LOSS) INCOME PER COMMON SHARE</w:t>
      </w:r>
    </w:p>
    <w:p>
      <w:pPr>
        <w:spacing w:after="0" w:line="22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Basic (loss) income per common share has been computed by dividing net (loss) income by the weighted-average number of shares of the Company’s common stock outstanding during the relevant period. Diluted (loss) income per common share adjusts net (loss) income and basic (loss) income per common share for the effect of all potentially dilutive shares of the Company’s common stock. Anti-dilutive securities are not included in the computation of diluted earnings per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 under the treasury stock method.</w:t>
      </w:r>
    </w:p>
    <w:p>
      <w:pPr>
        <w:sectPr>
          <w:pgSz w:w="11900" w:h="16838" w:orient="portrait"/>
          <w:cols w:equalWidth="0" w:num="1">
            <w:col w:w="11400"/>
          </w:cols>
          <w:pgMar w:left="240" w:top="121"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color w:val="auto"/>
        </w:rPr>
        <w:t>The calculations of basic and diluted (loss) income per common share for the three and nine months ended September 30, 2019 and 2018 are as follows: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7"/>
                <w:szCs w:val="17"/>
                <w:color w:val="auto"/>
              </w:rPr>
            </w:pPr>
          </w:p>
        </w:tc>
        <w:tc>
          <w:tcPr>
            <w:tcW w:w="2480" w:type="dxa"/>
            <w:vAlign w:val="bottom"/>
            <w:gridSpan w:val="4"/>
          </w:tcPr>
          <w:p>
            <w:pPr>
              <w:jc w:val="right"/>
              <w:ind w:right="6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jc w:val="right"/>
              <w:ind w:right="419"/>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80" w:type="dxa"/>
            <w:vAlign w:val="bottom"/>
            <w:tcBorders>
              <w:bottom w:val="single" w:sz="8" w:color="auto"/>
            </w:tcBorders>
            <w:gridSpan w:val="6"/>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gridSpan w:val="6"/>
          </w:tcPr>
          <w:p>
            <w:pPr>
              <w:ind w:left="60"/>
              <w:spacing w:after="0"/>
              <w:rPr>
                <w:sz w:val="20"/>
                <w:szCs w:val="20"/>
                <w:color w:val="auto"/>
              </w:rPr>
            </w:pPr>
            <w:r>
              <w:rPr>
                <w:rFonts w:ascii="Arial" w:cs="Arial" w:eastAsia="Arial" w:hAnsi="Arial"/>
                <w:sz w:val="16"/>
                <w:szCs w:val="16"/>
                <w:color w:val="auto"/>
                <w:w w:val="94"/>
              </w:rPr>
              <w:t>(in thousands, except per share amounts)</w:t>
            </w: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(loss) income – basic</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(13,519)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5,948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(29,899)</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(11,707)</w:t>
            </w:r>
          </w:p>
        </w:tc>
        <w:tc>
          <w:tcPr>
            <w:tcW w:w="0" w:type="dxa"/>
            <w:vAlign w:val="bottom"/>
          </w:tcPr>
          <w:p>
            <w:pPr>
              <w:spacing w:after="0"/>
              <w:rPr>
                <w:sz w:val="1"/>
                <w:szCs w:val="1"/>
                <w:color w:val="auto"/>
              </w:rPr>
            </w:pPr>
          </w:p>
        </w:tc>
      </w:tr>
      <w:tr>
        <w:trPr>
          <w:trHeight w:val="224"/>
        </w:trPr>
        <w:tc>
          <w:tcPr>
            <w:tcW w:w="5740" w:type="dxa"/>
            <w:vAlign w:val="bottom"/>
          </w:tcPr>
          <w:p>
            <w:pPr>
              <w:ind w:left="20"/>
              <w:spacing w:after="0"/>
              <w:rPr>
                <w:sz w:val="20"/>
                <w:szCs w:val="20"/>
                <w:color w:val="auto"/>
              </w:rPr>
            </w:pPr>
            <w:r>
              <w:rPr>
                <w:rFonts w:ascii="Arial" w:cs="Arial" w:eastAsia="Arial" w:hAnsi="Arial"/>
                <w:sz w:val="16"/>
                <w:szCs w:val="16"/>
                <w:b w:val="1"/>
                <w:bCs w:val="1"/>
                <w:color w:val="auto"/>
              </w:rPr>
              <w:t>Weighted-average shares outstanding – basic</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20,429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20,357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59"/>
              <w:spacing w:after="0"/>
              <w:rPr>
                <w:sz w:val="20"/>
                <w:szCs w:val="20"/>
                <w:color w:val="auto"/>
              </w:rPr>
            </w:pPr>
            <w:r>
              <w:rPr>
                <w:rFonts w:ascii="Arial" w:cs="Arial" w:eastAsia="Arial" w:hAnsi="Arial"/>
                <w:sz w:val="16"/>
                <w:szCs w:val="16"/>
                <w:color w:val="auto"/>
              </w:rPr>
              <w:t>20,494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19,123</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Effect of dilutive securities: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40" w:type="dxa"/>
            <w:vAlign w:val="bottom"/>
          </w:tcPr>
          <w:p>
            <w:pPr>
              <w:ind w:left="360"/>
              <w:spacing w:after="0"/>
              <w:rPr>
                <w:sz w:val="20"/>
                <w:szCs w:val="20"/>
                <w:color w:val="auto"/>
              </w:rPr>
            </w:pPr>
            <w:r>
              <w:rPr>
                <w:rFonts w:ascii="Arial" w:cs="Arial" w:eastAsia="Arial" w:hAnsi="Arial"/>
                <w:sz w:val="16"/>
                <w:szCs w:val="16"/>
                <w:color w:val="auto"/>
              </w:rPr>
              <w:t>Stock options and other stock awards</w:t>
            </w:r>
          </w:p>
        </w:tc>
        <w:tc>
          <w:tcPr>
            <w:tcW w:w="30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9"/>
                <w:szCs w:val="19"/>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124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9"/>
                <w:szCs w:val="19"/>
                <w:color w:val="auto"/>
              </w:rPr>
            </w:pPr>
          </w:p>
        </w:tc>
        <w:tc>
          <w:tcPr>
            <w:tcW w:w="8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Weighted-average shares outstanding – diluted</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20,429</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20,481</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20,494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19,123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Basic (loss) income per common share</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40" w:type="dxa"/>
            <w:vAlign w:val="bottom"/>
            <w:vMerge w:val="continue"/>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Pr>
          <w:p>
            <w:pPr>
              <w:spacing w:after="0"/>
              <w:rPr>
                <w:sz w:val="17"/>
                <w:szCs w:val="17"/>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0.29</w:t>
            </w:r>
          </w:p>
        </w:tc>
        <w:tc>
          <w:tcPr>
            <w:tcW w:w="120" w:type="dxa"/>
            <w:vAlign w:val="bottom"/>
          </w:tcPr>
          <w:p>
            <w:pPr>
              <w:spacing w:after="0"/>
              <w:rPr>
                <w:sz w:val="17"/>
                <w:szCs w:val="17"/>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17"/>
                <w:szCs w:val="17"/>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33"/>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Diluted (loss) income per common share</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(0.66)</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0.29</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(1.46)</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(0.61)</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Antidilutive Securities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74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2,128</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1,746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K— INCOME TAXES</w:t>
      </w:r>
    </w:p>
    <w:p>
      <w:pPr>
        <w:spacing w:after="0" w:line="12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Income tax (provision) of $(15.1) million and $(6.8) million for the three and nine months ended September 30, 2019, respectively, represent taxes on U.S. earnings and a reduced benefit on foreign losses at a combined effective income tax provision rate of 857.5% and (30.0)%, respectively. The negative rate for the nine months ended September 30, 2019 reflects tax expense on a pretax book loss. The effective tax rates for the three and nine months ended September 30, 2019 differ from the federal statutory rate of 21% primarily due to state and local taxes and the impact of non-deductible expenses, offset by a benefit for federal credits. Included within the non-deductible expenses is the European goodwill impairment of $9.7 million recorded in the three months ended September 30, 2019, which is not deductible for income tax purposes in the foreign jurisdiction.</w:t>
      </w:r>
    </w:p>
    <w:p>
      <w:pPr>
        <w:spacing w:after="0" w:line="205" w:lineRule="exact"/>
        <w:rPr>
          <w:sz w:val="20"/>
          <w:szCs w:val="20"/>
          <w:color w:val="auto"/>
        </w:rPr>
      </w:pPr>
    </w:p>
    <w:p>
      <w:pPr>
        <w:ind w:right="220"/>
        <w:spacing w:after="0" w:line="276" w:lineRule="auto"/>
        <w:rPr>
          <w:sz w:val="20"/>
          <w:szCs w:val="20"/>
          <w:color w:val="auto"/>
        </w:rPr>
      </w:pPr>
      <w:r>
        <w:rPr>
          <w:rFonts w:ascii="Arial" w:cs="Arial" w:eastAsia="Arial" w:hAnsi="Arial"/>
          <w:sz w:val="16"/>
          <w:szCs w:val="16"/>
          <w:color w:val="auto"/>
        </w:rPr>
        <w:t>Income tax (provision) benefit of $(0.9) million and $4.7 million for the three and nine months ended September 30, 2018, respectively, represent taxes on both U.S. and foreign earnings at a combined effective income tax provision rate of 13.6 % and an income tax benefit rate of 27.8 %, respectively. The effective rate for the three months ended September 30, 2018 reflects the reduced U.S. corporate income tax rate offset by state taxes and non-deductible</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expenses and increased by foreign income taxes relating to uncertain tax positions and a reduced benefit for a carryback claim in a foreign jurisdiction. The effective rate for the nine months ended September 30, 2018 reflects the reduced U.S. corporate income tax rate, increased by state and local taxes and the impact of nondeductible expenses and offset by foreign taxes.</w:t>
      </w:r>
    </w:p>
    <w:p>
      <w:pPr>
        <w:spacing w:after="0" w:line="204"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The Company has identified the following jurisdictions as “major” tax jurisdictions: U.S. Federal, California, Massachusetts, New York, New Jersey, Illinois, Georgia and the United Kingdom. The Company’s 2015 U.S. Federal income tax return and New York State tax returns for years 2014-2016 remain under audit with no material assesments as of September 30, 2019.</w:t>
      </w:r>
    </w:p>
    <w:p>
      <w:pPr>
        <w:spacing w:after="0" w:line="182"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Company evaluates its tax positions on a quarterly basis and revises its estimates accordingly. There were no material changes to the Company’s uncertain tax positions, interest, or penalties during the three-month periods ended September 30, 2019 and September 30, 2018.</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 BUSINESS SEGMENTS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has two reportable segments, U.S. and International. Prior to October 1, 2018, the U.S. segment was reported as two separate reportable segments, U.S. Wholesale and Retail Direct. The Company changed its reporting structure as of October 1, 2018 to reflect how the Company is managing its operations as well as what the chief operating decision maker reviews to make organizational decisions about resource allocations. Prior period segment information has been recast to reflect the current reportable segment structure of the Company.</w:t>
      </w:r>
    </w:p>
    <w:p>
      <w:pPr>
        <w:spacing w:after="0" w:line="18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has segmented its operations to reflect the manner in which management reviews and evaluates the results of its operations. The U.S. segment includes the Company’s primary domestic business that designs, markets and distributes its products to retailers, distributors and its internet websites. The International segment consists of certain business operations conducted outside the U.S. Management evaluates the performance of the U.S. and International segments based on net sales and income (loss) from operations. Such measures give recognition to specifically identifiable operating costs such as cost of sales, distribution expenses and selling, general and administrative expenses. Certain general and administrative expenses, such as senior executive salaries and benefits, stock compensation, director fees, and accounting, legal and consulting fees, are not allocated to the specific segments and are reflected as unallocated corporate expenses.</w:t>
      </w:r>
    </w:p>
    <w:p>
      <w:pPr>
        <w:spacing w:after="0" w:line="178"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Company implemented its SKU Rationalization initiative to improve the productivity of its inventory and simplify its U.S. business. During the nine months ended September 30, 2019, the Company recorded an $8.5 million charge to cost of sales associated with the SKU Rationalization initiative, which negatively impacted income (loss) from operations for the U.S. segment.</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7"/>
                <w:szCs w:val="17"/>
                <w:color w:val="auto"/>
              </w:rPr>
            </w:pPr>
          </w:p>
        </w:tc>
        <w:tc>
          <w:tcPr>
            <w:tcW w:w="2600" w:type="dxa"/>
            <w:vAlign w:val="bottom"/>
            <w:gridSpan w:val="4"/>
          </w:tcPr>
          <w:p>
            <w:pPr>
              <w:jc w:val="center"/>
              <w:ind w:right="98"/>
              <w:spacing w:after="0"/>
              <w:rPr>
                <w:sz w:val="20"/>
                <w:szCs w:val="20"/>
                <w:color w:val="auto"/>
              </w:rPr>
            </w:pPr>
            <w:r>
              <w:rPr>
                <w:rFonts w:ascii="Arial" w:cs="Arial" w:eastAsia="Arial" w:hAnsi="Arial"/>
                <w:sz w:val="16"/>
                <w:szCs w:val="16"/>
                <w:b w:val="1"/>
                <w:bCs w:val="1"/>
                <w:color w:val="auto"/>
                <w:w w:val="92"/>
              </w:rPr>
              <w:t>Nine Months Ended</w:t>
            </w:r>
          </w:p>
        </w:tc>
        <w:tc>
          <w:tcPr>
            <w:tcW w:w="0" w:type="dxa"/>
            <w:vAlign w:val="bottom"/>
          </w:tcPr>
          <w:p>
            <w:pPr>
              <w:spacing w:after="0"/>
              <w:rPr>
                <w:sz w:val="1"/>
                <w:szCs w:val="1"/>
                <w:color w:val="auto"/>
              </w:rPr>
            </w:pPr>
          </w:p>
        </w:tc>
      </w:tr>
      <w:tr>
        <w:trPr>
          <w:trHeight w:val="210"/>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4"/>
          </w:tcPr>
          <w:p>
            <w:pPr>
              <w:jc w:val="center"/>
              <w:ind w:right="78"/>
              <w:spacing w:after="0"/>
              <w:rPr>
                <w:sz w:val="20"/>
                <w:szCs w:val="20"/>
                <w:color w:val="auto"/>
              </w:rPr>
            </w:pPr>
            <w:r>
              <w:rPr>
                <w:rFonts w:ascii="Arial" w:cs="Arial" w:eastAsia="Arial" w:hAnsi="Arial"/>
                <w:sz w:val="16"/>
                <w:szCs w:val="16"/>
                <w:b w:val="1"/>
                <w:bCs w:val="1"/>
                <w:color w:val="auto"/>
                <w:w w:val="91"/>
              </w:rPr>
              <w:t>September 30,</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ind w:right="399"/>
              <w:spacing w:after="0"/>
              <w:rPr>
                <w:sz w:val="20"/>
                <w:szCs w:val="20"/>
                <w:color w:val="auto"/>
              </w:rPr>
            </w:pPr>
            <w:r>
              <w:rPr>
                <w:rFonts w:ascii="Arial" w:cs="Arial" w:eastAsia="Arial" w:hAnsi="Arial"/>
                <w:sz w:val="16"/>
                <w:szCs w:val="16"/>
                <w:b w:val="1"/>
                <w:bCs w:val="1"/>
                <w:color w:val="auto"/>
                <w:w w:val="95"/>
              </w:rPr>
              <w:t>2018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center"/>
              <w:ind w:right="98"/>
              <w:spacing w:after="0"/>
              <w:rPr>
                <w:sz w:val="20"/>
                <w:szCs w:val="20"/>
                <w:color w:val="auto"/>
              </w:rPr>
            </w:pPr>
            <w:r>
              <w:rPr>
                <w:rFonts w:ascii="Arial" w:cs="Arial" w:eastAsia="Arial" w:hAnsi="Arial"/>
                <w:sz w:val="16"/>
                <w:szCs w:val="16"/>
                <w:b w:val="1"/>
                <w:bCs w:val="1"/>
                <w:color w:val="auto"/>
                <w:w w:val="95"/>
              </w:rPr>
              <w:t>2018</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gridSpan w:val="5"/>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380" w:type="dxa"/>
            <w:vAlign w:val="bottom"/>
            <w:gridSpan w:val="5"/>
          </w:tcPr>
          <w:p>
            <w:pPr>
              <w:ind w:left="440"/>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sales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U.S.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195,199</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186,064</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445,329</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410,955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20,303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23,384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62,635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65,313</w:t>
            </w:r>
          </w:p>
        </w:tc>
        <w:tc>
          <w:tcPr>
            <w:tcW w:w="0" w:type="dxa"/>
            <w:vAlign w:val="bottom"/>
          </w:tcPr>
          <w:p>
            <w:pPr>
              <w:spacing w:after="0"/>
              <w:rPr>
                <w:sz w:val="1"/>
                <w:szCs w:val="1"/>
                <w:color w:val="auto"/>
              </w:rPr>
            </w:pPr>
          </w:p>
        </w:tc>
      </w:tr>
      <w:tr>
        <w:trPr>
          <w:trHeight w:val="217"/>
        </w:trPr>
        <w:tc>
          <w:tcPr>
            <w:tcW w:w="5780" w:type="dxa"/>
            <w:vAlign w:val="bottom"/>
          </w:tcPr>
          <w:p>
            <w:pPr>
              <w:ind w:left="340"/>
              <w:spacing w:after="0"/>
              <w:rPr>
                <w:sz w:val="20"/>
                <w:szCs w:val="20"/>
                <w:color w:val="auto"/>
              </w:rPr>
            </w:pPr>
            <w:r>
              <w:rPr>
                <w:rFonts w:ascii="Arial" w:cs="Arial" w:eastAsia="Arial" w:hAnsi="Arial"/>
                <w:sz w:val="16"/>
                <w:szCs w:val="16"/>
                <w:color w:val="auto"/>
              </w:rPr>
              <w:t>Total net sales</w:t>
            </w: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215,502</w:t>
            </w:r>
          </w:p>
        </w:tc>
        <w:tc>
          <w:tcPr>
            <w:tcW w:w="10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209,448</w:t>
            </w:r>
          </w:p>
        </w:tc>
        <w:tc>
          <w:tcPr>
            <w:tcW w:w="120" w:type="dxa"/>
            <w:vAlign w:val="bottom"/>
          </w:tcPr>
          <w:p>
            <w:pPr>
              <w:spacing w:after="0"/>
              <w:rPr>
                <w:sz w:val="18"/>
                <w:szCs w:val="18"/>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507,964</w:t>
            </w:r>
          </w:p>
        </w:tc>
        <w:tc>
          <w:tcPr>
            <w:tcW w:w="100" w:type="dxa"/>
            <w:vAlign w:val="bottom"/>
          </w:tcPr>
          <w:p>
            <w:pPr>
              <w:spacing w:after="0"/>
              <w:rPr>
                <w:sz w:val="18"/>
                <w:szCs w:val="18"/>
                <w:color w:val="auto"/>
              </w:rPr>
            </w:pPr>
          </w:p>
        </w:tc>
        <w:tc>
          <w:tcPr>
            <w:tcW w:w="1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78"/>
              <w:spacing w:after="0"/>
              <w:rPr>
                <w:sz w:val="20"/>
                <w:szCs w:val="20"/>
                <w:color w:val="auto"/>
              </w:rPr>
            </w:pPr>
            <w:r>
              <w:rPr>
                <w:rFonts w:ascii="Arial" w:cs="Arial" w:eastAsia="Arial" w:hAnsi="Arial"/>
                <w:sz w:val="16"/>
                <w:szCs w:val="16"/>
                <w:color w:val="auto"/>
              </w:rPr>
              <w:t>476,268</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Income (loss) from operations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U.S.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24,328</w:t>
            </w:r>
          </w:p>
        </w:tc>
        <w:tc>
          <w:tcPr>
            <w:tcW w:w="10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20,027</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24,036</w:t>
            </w:r>
          </w:p>
        </w:tc>
        <w:tc>
          <w:tcPr>
            <w:tcW w:w="100" w:type="dxa"/>
            <w:vAlign w:val="bottom"/>
          </w:tcPr>
          <w:p>
            <w:pPr>
              <w:spacing w:after="0"/>
              <w:rPr>
                <w:sz w:val="19"/>
                <w:szCs w:val="19"/>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16,455</w:t>
            </w: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International</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(12,898)</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(2,522)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(16,813)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(5,946)</w:t>
            </w: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Unallocated corporate expenses</w:t>
            </w:r>
          </w:p>
        </w:tc>
        <w:tc>
          <w:tcPr>
            <w:tcW w:w="300" w:type="dxa"/>
            <w:vAlign w:val="bottom"/>
          </w:tcPr>
          <w:p>
            <w:pPr>
              <w:spacing w:after="0"/>
              <w:rPr>
                <w:sz w:val="19"/>
                <w:szCs w:val="19"/>
                <w:color w:val="auto"/>
              </w:rPr>
            </w:pPr>
          </w:p>
        </w:tc>
        <w:tc>
          <w:tcPr>
            <w:tcW w:w="1020" w:type="dxa"/>
            <w:vAlign w:val="bottom"/>
          </w:tcPr>
          <w:p>
            <w:pPr>
              <w:jc w:val="right"/>
              <w:ind w:right="19"/>
              <w:spacing w:after="0"/>
              <w:rPr>
                <w:sz w:val="20"/>
                <w:szCs w:val="20"/>
                <w:color w:val="auto"/>
              </w:rPr>
            </w:pPr>
            <w:r>
              <w:rPr>
                <w:rFonts w:ascii="Arial" w:cs="Arial" w:eastAsia="Arial" w:hAnsi="Arial"/>
                <w:sz w:val="16"/>
                <w:szCs w:val="16"/>
                <w:color w:val="auto"/>
              </w:rPr>
              <w:t>(4,501)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(5,202)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(15,126)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38"/>
              <w:spacing w:after="0"/>
              <w:rPr>
                <w:sz w:val="20"/>
                <w:szCs w:val="20"/>
                <w:color w:val="auto"/>
              </w:rPr>
            </w:pPr>
            <w:r>
              <w:rPr>
                <w:rFonts w:ascii="Arial" w:cs="Arial" w:eastAsia="Arial" w:hAnsi="Arial"/>
                <w:sz w:val="16"/>
                <w:szCs w:val="16"/>
                <w:color w:val="auto"/>
              </w:rPr>
              <w:t>(14,823)</w:t>
            </w: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Income (loss) from operations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6,929</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12,303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(7,903)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(4,314)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Depreciation and amortization</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5,094</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5,009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15,575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13,448</w:t>
            </w:r>
          </w:p>
        </w:tc>
        <w:tc>
          <w:tcPr>
            <w:tcW w:w="0" w:type="dxa"/>
            <w:vAlign w:val="bottom"/>
          </w:tcPr>
          <w:p>
            <w:pPr>
              <w:spacing w:after="0"/>
              <w:rPr>
                <w:sz w:val="1"/>
                <w:szCs w:val="1"/>
                <w:color w:val="auto"/>
              </w:rPr>
            </w:pPr>
          </w:p>
        </w:tc>
      </w:tr>
      <w:tr>
        <w:trPr>
          <w:trHeight w:val="224"/>
        </w:trPr>
        <w:tc>
          <w:tcPr>
            <w:tcW w:w="5780" w:type="dxa"/>
            <w:vAlign w:val="bottom"/>
          </w:tcPr>
          <w:p>
            <w:pPr>
              <w:ind w:left="20"/>
              <w:spacing w:after="0"/>
              <w:rPr>
                <w:sz w:val="20"/>
                <w:szCs w:val="20"/>
                <w:color w:val="auto"/>
              </w:rPr>
            </w:pPr>
            <w:r>
              <w:rPr>
                <w:rFonts w:ascii="Arial" w:cs="Arial" w:eastAsia="Arial" w:hAnsi="Arial"/>
                <w:sz w:val="16"/>
                <w:szCs w:val="16"/>
                <w:color w:val="auto"/>
              </w:rPr>
              <w:t>International</w:t>
            </w:r>
          </w:p>
        </w:tc>
        <w:tc>
          <w:tcPr>
            <w:tcW w:w="300" w:type="dxa"/>
            <w:vAlign w:val="bottom"/>
          </w:tcPr>
          <w:p>
            <w:pPr>
              <w:spacing w:after="0"/>
              <w:rPr>
                <w:sz w:val="19"/>
                <w:szCs w:val="19"/>
                <w:color w:val="auto"/>
              </w:rPr>
            </w:pPr>
          </w:p>
        </w:tc>
        <w:tc>
          <w:tcPr>
            <w:tcW w:w="1020" w:type="dxa"/>
            <w:vAlign w:val="bottom"/>
          </w:tcPr>
          <w:p>
            <w:pPr>
              <w:jc w:val="right"/>
              <w:ind w:right="79"/>
              <w:spacing w:after="0"/>
              <w:rPr>
                <w:sz w:val="20"/>
                <w:szCs w:val="20"/>
                <w:color w:val="auto"/>
              </w:rPr>
            </w:pPr>
            <w:r>
              <w:rPr>
                <w:rFonts w:ascii="Arial" w:cs="Arial" w:eastAsia="Arial" w:hAnsi="Arial"/>
                <w:sz w:val="16"/>
                <w:szCs w:val="16"/>
                <w:color w:val="auto"/>
              </w:rPr>
              <w:t>1,028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ind w:right="59"/>
              <w:spacing w:after="0"/>
              <w:rPr>
                <w:sz w:val="20"/>
                <w:szCs w:val="20"/>
                <w:color w:val="auto"/>
              </w:rPr>
            </w:pPr>
            <w:r>
              <w:rPr>
                <w:rFonts w:ascii="Arial" w:cs="Arial" w:eastAsia="Arial" w:hAnsi="Arial"/>
                <w:sz w:val="16"/>
                <w:szCs w:val="16"/>
                <w:color w:val="auto"/>
              </w:rPr>
              <w:t>1,067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3,196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jc w:val="right"/>
              <w:ind w:right="78"/>
              <w:spacing w:after="0"/>
              <w:rPr>
                <w:sz w:val="20"/>
                <w:szCs w:val="20"/>
                <w:color w:val="auto"/>
              </w:rPr>
            </w:pPr>
            <w:r>
              <w:rPr>
                <w:rFonts w:ascii="Arial" w:cs="Arial" w:eastAsia="Arial" w:hAnsi="Arial"/>
                <w:sz w:val="16"/>
                <w:szCs w:val="16"/>
                <w:color w:val="auto"/>
              </w:rPr>
              <w:t>3,359</w:t>
            </w:r>
          </w:p>
        </w:tc>
        <w:tc>
          <w:tcPr>
            <w:tcW w:w="0" w:type="dxa"/>
            <w:vAlign w:val="bottom"/>
          </w:tcPr>
          <w:p>
            <w:pPr>
              <w:spacing w:after="0"/>
              <w:rPr>
                <w:sz w:val="1"/>
                <w:szCs w:val="1"/>
                <w:color w:val="auto"/>
              </w:rPr>
            </w:pPr>
          </w:p>
        </w:tc>
      </w:tr>
      <w:tr>
        <w:trPr>
          <w:trHeight w:val="33"/>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5"/>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depreciation and amortization</w:t>
            </w:r>
          </w:p>
        </w:tc>
        <w:tc>
          <w:tcPr>
            <w:tcW w:w="30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6,122</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18,771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16,807</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5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4"/>
                <w:szCs w:val="24"/>
                <w:color w:val="auto"/>
              </w:rPr>
            </w:pPr>
          </w:p>
        </w:tc>
        <w:tc>
          <w:tcPr>
            <w:tcW w:w="1160" w:type="dxa"/>
            <w:vAlign w:val="bottom"/>
          </w:tcPr>
          <w:p>
            <w:pPr>
              <w:jc w:val="center"/>
              <w:ind w:right="78"/>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57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196"/>
        </w:trPr>
        <w:tc>
          <w:tcPr>
            <w:tcW w:w="5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0" w:type="dxa"/>
            <w:vAlign w:val="bottom"/>
            <w:gridSpan w:val="4"/>
          </w:tcPr>
          <w:p>
            <w:pPr>
              <w:jc w:val="center"/>
              <w:ind w:right="58"/>
              <w:spacing w:after="0"/>
              <w:rPr>
                <w:sz w:val="20"/>
                <w:szCs w:val="20"/>
                <w:color w:val="auto"/>
              </w:rPr>
            </w:pPr>
            <w:r>
              <w:rPr>
                <w:rFonts w:ascii="Arial" w:cs="Arial" w:eastAsia="Arial" w:hAnsi="Arial"/>
                <w:sz w:val="14"/>
                <w:szCs w:val="14"/>
                <w:color w:val="auto"/>
                <w:w w:val="92"/>
              </w:rPr>
              <w:t>(in thousands)</w:t>
            </w:r>
          </w:p>
        </w:tc>
        <w:tc>
          <w:tcPr>
            <w:tcW w:w="0" w:type="dxa"/>
            <w:vAlign w:val="bottom"/>
          </w:tcPr>
          <w:p>
            <w:pPr>
              <w:spacing w:after="0"/>
              <w:rPr>
                <w:sz w:val="1"/>
                <w:szCs w:val="1"/>
                <w:color w:val="auto"/>
              </w:rPr>
            </w:pPr>
          </w:p>
        </w:tc>
      </w:tr>
      <w:tr>
        <w:trPr>
          <w:trHeight w:val="256"/>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U.S.</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772,871</w:t>
            </w:r>
          </w:p>
        </w:tc>
        <w:tc>
          <w:tcPr>
            <w:tcW w:w="10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604,532</w:t>
            </w:r>
          </w:p>
        </w:tc>
        <w:tc>
          <w:tcPr>
            <w:tcW w:w="0" w:type="dxa"/>
            <w:vAlign w:val="bottom"/>
          </w:tcPr>
          <w:p>
            <w:pPr>
              <w:spacing w:after="0"/>
              <w:rPr>
                <w:sz w:val="1"/>
                <w:szCs w:val="1"/>
                <w:color w:val="auto"/>
              </w:rPr>
            </w:pPr>
          </w:p>
        </w:tc>
      </w:tr>
      <w:tr>
        <w:trPr>
          <w:trHeight w:val="27"/>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105,975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94,210</w:t>
            </w:r>
          </w:p>
        </w:tc>
        <w:tc>
          <w:tcPr>
            <w:tcW w:w="0" w:type="dxa"/>
            <w:vAlign w:val="bottom"/>
          </w:tcPr>
          <w:p>
            <w:pPr>
              <w:spacing w:after="0"/>
              <w:rPr>
                <w:sz w:val="1"/>
                <w:szCs w:val="1"/>
                <w:color w:val="auto"/>
              </w:rPr>
            </w:pPr>
          </w:p>
        </w:tc>
      </w:tr>
      <w:tr>
        <w:trPr>
          <w:trHeight w:val="243"/>
        </w:trPr>
        <w:tc>
          <w:tcPr>
            <w:tcW w:w="5780" w:type="dxa"/>
            <w:vAlign w:val="bottom"/>
          </w:tcPr>
          <w:p>
            <w:pPr>
              <w:ind w:left="20"/>
              <w:spacing w:after="0"/>
              <w:rPr>
                <w:sz w:val="20"/>
                <w:szCs w:val="20"/>
                <w:color w:val="auto"/>
              </w:rPr>
            </w:pPr>
            <w:r>
              <w:rPr>
                <w:rFonts w:ascii="Arial" w:cs="Arial" w:eastAsia="Arial" w:hAnsi="Arial"/>
                <w:sz w:val="18"/>
                <w:szCs w:val="18"/>
                <w:color w:val="auto"/>
              </w:rPr>
              <w:t>Unallocated corporate</w:t>
            </w: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9"/>
              <w:spacing w:after="0"/>
              <w:rPr>
                <w:sz w:val="20"/>
                <w:szCs w:val="20"/>
                <w:color w:val="auto"/>
              </w:rPr>
            </w:pPr>
            <w:r>
              <w:rPr>
                <w:rFonts w:ascii="Arial" w:cs="Arial" w:eastAsia="Arial" w:hAnsi="Arial"/>
                <w:sz w:val="18"/>
                <w:szCs w:val="18"/>
                <w:color w:val="auto"/>
              </w:rPr>
              <w:t>4,886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78"/>
              <w:spacing w:after="0"/>
              <w:rPr>
                <w:sz w:val="20"/>
                <w:szCs w:val="20"/>
                <w:color w:val="auto"/>
              </w:rPr>
            </w:pPr>
            <w:r>
              <w:rPr>
                <w:rFonts w:ascii="Arial" w:cs="Arial" w:eastAsia="Arial" w:hAnsi="Arial"/>
                <w:sz w:val="18"/>
                <w:szCs w:val="18"/>
                <w:color w:val="auto"/>
              </w:rPr>
              <w:t>9,830</w:t>
            </w:r>
          </w:p>
        </w:tc>
        <w:tc>
          <w:tcPr>
            <w:tcW w:w="0" w:type="dxa"/>
            <w:vAlign w:val="bottom"/>
          </w:tcPr>
          <w:p>
            <w:pPr>
              <w:spacing w:after="0"/>
              <w:rPr>
                <w:sz w:val="1"/>
                <w:szCs w:val="1"/>
                <w:color w:val="auto"/>
              </w:rPr>
            </w:pPr>
          </w:p>
        </w:tc>
      </w:tr>
      <w:tr>
        <w:trPr>
          <w:trHeight w:val="27"/>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883,732</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8"/>
                <w:szCs w:val="18"/>
                <w:color w:val="auto"/>
              </w:rPr>
              <w:t>708,572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M </w:t>
      </w:r>
      <w:r>
        <w:rPr>
          <w:rFonts w:ascii="Arial" w:cs="Arial" w:eastAsia="Arial" w:hAnsi="Arial"/>
          <w:sz w:val="18"/>
          <w:szCs w:val="18"/>
          <w:color w:val="auto"/>
        </w:rPr>
        <w:t>—</w:t>
      </w:r>
      <w:r>
        <w:rPr>
          <w:rFonts w:ascii="Arial" w:cs="Arial" w:eastAsia="Arial" w:hAnsi="Arial"/>
          <w:sz w:val="18"/>
          <w:szCs w:val="18"/>
          <w:b w:val="1"/>
          <w:bCs w:val="1"/>
          <w:color w:val="auto"/>
        </w:rPr>
        <w:t xml:space="preserve"> CONTINGENCIES</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w:t>
      </w:r>
    </w:p>
    <w:p>
      <w:pPr>
        <w:spacing w:after="0" w:line="214"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estimated total net present worth cost for its selected remedy is $7.3 million.. In February 2017, the EPA indicated that it planned to expand its field investigation for the RI/FS to a second operable unit to further determine the nature and extent of the groundwater damage at and from the Site and to determine the nature of the remedial action needed. The EPA requested access to the property occupied by WSPR to install monitoring wells and to undertake groundwater sampling as part of this expanded investigation. WSPR consented to the EPA’s access request, subject to PRIDCO’s consent, as the property owner.</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41"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w:t>
      </w:r>
    </w:p>
    <w:p>
      <w:pPr>
        <w:spacing w:after="0" w:line="17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 including monitoring of the plume fringe at the Site. The EPA’s estimated total net present worth cost for its selected remedy is $17.3 million.</w:t>
      </w:r>
    </w:p>
    <w:p>
      <w:pPr>
        <w:spacing w:after="0" w:line="215" w:lineRule="exact"/>
        <w:rPr>
          <w:sz w:val="20"/>
          <w:szCs w:val="20"/>
          <w:color w:val="auto"/>
        </w:rPr>
      </w:pPr>
    </w:p>
    <w:p>
      <w:pPr>
        <w:jc w:val="both"/>
        <w:spacing w:after="0"/>
        <w:rPr>
          <w:sz w:val="20"/>
          <w:szCs w:val="20"/>
          <w:color w:val="auto"/>
        </w:rPr>
      </w:pPr>
      <w:r>
        <w:rPr>
          <w:rFonts w:ascii="Arial" w:cs="Arial" w:eastAsia="Arial" w:hAnsi="Arial"/>
          <w:sz w:val="18"/>
          <w:szCs w:val="18"/>
          <w:color w:val="auto"/>
        </w:rPr>
        <w:t>WSPR never used the primary constituents of concern and did not take up its tenancy at the Site until after EPA had discovered the damage to the local water supply. The EPA has also issued notices of potential liability to numerous other entities affiliated with the Site, which used the constituents of concern. Accordingly, based on the above uncertainties and variables, it is not possible at this time for the Company to estimate its share of liability, if any, related to this matter. However, in the event of one or more definitive claims because of property damage asserted against the Company and adverse determinations related to this matter, it is possible that the ultimate liability resulting from this matter and the impact on the Company’s results of operations could be material.</w:t>
      </w:r>
    </w:p>
    <w:p>
      <w:pPr>
        <w:spacing w:after="0" w:line="217"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N </w:t>
      </w:r>
      <w:r>
        <w:rPr>
          <w:rFonts w:ascii="Arial" w:cs="Arial" w:eastAsia="Arial" w:hAnsi="Arial"/>
          <w:sz w:val="18"/>
          <w:szCs w:val="18"/>
          <w:color w:val="auto"/>
        </w:rPr>
        <w:t>—</w:t>
      </w:r>
      <w:r>
        <w:rPr>
          <w:rFonts w:ascii="Arial" w:cs="Arial" w:eastAsia="Arial" w:hAnsi="Arial"/>
          <w:sz w:val="18"/>
          <w:szCs w:val="18"/>
          <w:b w:val="1"/>
          <w:bCs w:val="1"/>
          <w:color w:val="auto"/>
        </w:rPr>
        <w:t xml:space="preserve"> OTHER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dividends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Dividends declared in the nine months ended September 30, 2019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Dividend per share</w:t>
            </w:r>
          </w:p>
        </w:tc>
        <w:tc>
          <w:tcPr>
            <w:tcW w:w="2860" w:type="dxa"/>
            <w:vAlign w:val="bottom"/>
            <w:gridSpan w:val="2"/>
          </w:tcPr>
          <w:p>
            <w:pPr>
              <w:spacing w:after="0"/>
              <w:rPr>
                <w:sz w:val="20"/>
                <w:szCs w:val="20"/>
                <w:color w:val="auto"/>
              </w:rPr>
            </w:pPr>
            <w:r>
              <w:rPr>
                <w:rFonts w:ascii="Arial" w:cs="Arial" w:eastAsia="Arial" w:hAnsi="Arial"/>
                <w:sz w:val="16"/>
                <w:szCs w:val="16"/>
                <w:b w:val="1"/>
                <w:bCs w:val="1"/>
                <w:color w:val="auto"/>
              </w:rPr>
              <w:t>Date declared</w:t>
            </w:r>
          </w:p>
        </w:tc>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auto"/>
              </w:rPr>
              <w:t>Date of record</w:t>
            </w:r>
          </w:p>
        </w:tc>
        <w:tc>
          <w:tcPr>
            <w:tcW w:w="2780" w:type="dxa"/>
            <w:vAlign w:val="bottom"/>
          </w:tcPr>
          <w:p>
            <w:pPr>
              <w:ind w:left="20"/>
              <w:spacing w:after="0"/>
              <w:rPr>
                <w:sz w:val="20"/>
                <w:szCs w:val="20"/>
                <w:color w:val="auto"/>
              </w:rPr>
            </w:pPr>
            <w:r>
              <w:rPr>
                <w:rFonts w:ascii="Arial" w:cs="Arial" w:eastAsia="Arial" w:hAnsi="Arial"/>
                <w:sz w:val="16"/>
                <w:szCs w:val="16"/>
                <w:b w:val="1"/>
                <w:bCs w:val="1"/>
                <w:color w:val="auto"/>
              </w:rPr>
              <w:t>Payment date</w:t>
            </w:r>
          </w:p>
        </w:tc>
      </w:tr>
      <w:tr>
        <w:trPr>
          <w:trHeight w:val="33"/>
        </w:trPr>
        <w:tc>
          <w:tcPr>
            <w:tcW w:w="2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0"/>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20" w:type="dxa"/>
            <w:vAlign w:val="bottom"/>
            <w:tcBorders>
              <w:bottom w:val="single" w:sz="8" w:color="CCEEFF"/>
            </w:tcBorders>
            <w:shd w:val="clear" w:color="auto" w:fill="CCEEFF"/>
          </w:tcPr>
          <w:p>
            <w:pPr>
              <w:spacing w:after="0"/>
              <w:rPr>
                <w:sz w:val="20"/>
                <w:szCs w:val="20"/>
                <w:color w:val="auto"/>
              </w:rPr>
            </w:pPr>
          </w:p>
        </w:tc>
        <w:tc>
          <w:tcPr>
            <w:tcW w:w="2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03/12/2019</w:t>
            </w:r>
          </w:p>
        </w:tc>
        <w:tc>
          <w:tcPr>
            <w:tcW w:w="1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05/01/2019</w:t>
            </w:r>
          </w:p>
        </w:tc>
        <w:tc>
          <w:tcPr>
            <w:tcW w:w="100" w:type="dxa"/>
            <w:vAlign w:val="bottom"/>
            <w:tcBorders>
              <w:bottom w:val="single" w:sz="8" w:color="CCEEFF"/>
            </w:tcBorders>
            <w:shd w:val="clear" w:color="auto" w:fill="CCEEFF"/>
          </w:tcPr>
          <w:p>
            <w:pPr>
              <w:spacing w:after="0"/>
              <w:rPr>
                <w:sz w:val="20"/>
                <w:szCs w:val="20"/>
                <w:color w:val="auto"/>
              </w:rPr>
            </w:pPr>
          </w:p>
        </w:tc>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05/15/2019</w:t>
            </w:r>
          </w:p>
        </w:tc>
      </w:tr>
      <w:tr>
        <w:trPr>
          <w:trHeight w:val="224"/>
        </w:trPr>
        <w:tc>
          <w:tcPr>
            <w:tcW w:w="2760" w:type="dxa"/>
            <w:vAlign w:val="bottom"/>
          </w:tcPr>
          <w:p>
            <w:pPr>
              <w:ind w:left="20"/>
              <w:spacing w:after="0"/>
              <w:rPr>
                <w:sz w:val="20"/>
                <w:szCs w:val="20"/>
                <w:color w:val="auto"/>
              </w:rPr>
            </w:pPr>
            <w:r>
              <w:rPr>
                <w:rFonts w:ascii="Arial" w:cs="Arial" w:eastAsia="Arial" w:hAnsi="Arial"/>
                <w:sz w:val="16"/>
                <w:szCs w:val="16"/>
                <w:color w:val="auto"/>
              </w:rPr>
              <w:t>$0.0425</w:t>
            </w:r>
          </w:p>
        </w:tc>
        <w:tc>
          <w:tcPr>
            <w:tcW w:w="120" w:type="dxa"/>
            <w:vAlign w:val="bottom"/>
          </w:tcPr>
          <w:p>
            <w:pPr>
              <w:spacing w:after="0"/>
              <w:rPr>
                <w:sz w:val="19"/>
                <w:szCs w:val="19"/>
                <w:color w:val="auto"/>
              </w:rPr>
            </w:pPr>
          </w:p>
        </w:tc>
        <w:tc>
          <w:tcPr>
            <w:tcW w:w="2760" w:type="dxa"/>
            <w:vAlign w:val="bottom"/>
          </w:tcPr>
          <w:p>
            <w:pPr>
              <w:spacing w:after="0"/>
              <w:rPr>
                <w:sz w:val="20"/>
                <w:szCs w:val="20"/>
                <w:color w:val="auto"/>
              </w:rPr>
            </w:pPr>
            <w:r>
              <w:rPr>
                <w:rFonts w:ascii="Arial" w:cs="Arial" w:eastAsia="Arial" w:hAnsi="Arial"/>
                <w:sz w:val="16"/>
                <w:szCs w:val="16"/>
                <w:color w:val="auto"/>
              </w:rPr>
              <w:t>06/27/2019</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08/01/2019</w:t>
            </w:r>
          </w:p>
        </w:tc>
        <w:tc>
          <w:tcPr>
            <w:tcW w:w="100" w:type="dxa"/>
            <w:vAlign w:val="bottom"/>
          </w:tcPr>
          <w:p>
            <w:pPr>
              <w:spacing w:after="0"/>
              <w:rPr>
                <w:sz w:val="19"/>
                <w:szCs w:val="19"/>
                <w:color w:val="auto"/>
              </w:rPr>
            </w:pPr>
          </w:p>
        </w:tc>
        <w:tc>
          <w:tcPr>
            <w:tcW w:w="2780" w:type="dxa"/>
            <w:vAlign w:val="bottom"/>
          </w:tcPr>
          <w:p>
            <w:pPr>
              <w:ind w:left="20"/>
              <w:spacing w:after="0"/>
              <w:rPr>
                <w:sz w:val="20"/>
                <w:szCs w:val="20"/>
                <w:color w:val="auto"/>
              </w:rPr>
            </w:pPr>
            <w:r>
              <w:rPr>
                <w:rFonts w:ascii="Arial" w:cs="Arial" w:eastAsia="Arial" w:hAnsi="Arial"/>
                <w:sz w:val="16"/>
                <w:szCs w:val="16"/>
                <w:color w:val="auto"/>
              </w:rPr>
              <w:t>08/15/2019</w:t>
            </w:r>
          </w:p>
        </w:tc>
      </w:tr>
      <w:tr>
        <w:trPr>
          <w:trHeight w:val="33"/>
        </w:trPr>
        <w:tc>
          <w:tcPr>
            <w:tcW w:w="2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80" w:type="dxa"/>
            <w:vAlign w:val="bottom"/>
          </w:tcPr>
          <w:p>
            <w:pPr>
              <w:spacing w:after="0"/>
              <w:rPr>
                <w:sz w:val="2"/>
                <w:szCs w:val="2"/>
                <w:color w:val="auto"/>
              </w:rPr>
            </w:pPr>
          </w:p>
        </w:tc>
      </w:tr>
      <w:tr>
        <w:trPr>
          <w:trHeight w:val="224"/>
        </w:trPr>
        <w:tc>
          <w:tcPr>
            <w:tcW w:w="2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$0.0425</w:t>
            </w:r>
          </w:p>
        </w:tc>
        <w:tc>
          <w:tcPr>
            <w:tcW w:w="12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20"/>
                <w:szCs w:val="20"/>
                <w:color w:val="auto"/>
              </w:rPr>
            </w:pPr>
            <w:r>
              <w:rPr>
                <w:rFonts w:ascii="Arial" w:cs="Arial" w:eastAsia="Arial" w:hAnsi="Arial"/>
                <w:sz w:val="16"/>
                <w:szCs w:val="16"/>
                <w:color w:val="auto"/>
              </w:rPr>
              <w:t>08/06/2019</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11/01/2019</w:t>
            </w:r>
          </w:p>
        </w:tc>
        <w:tc>
          <w:tcPr>
            <w:tcW w:w="100" w:type="dxa"/>
            <w:vAlign w:val="bottom"/>
            <w:shd w:val="clear" w:color="auto" w:fill="CCEEFF"/>
          </w:tcPr>
          <w:p>
            <w:pPr>
              <w:spacing w:after="0"/>
              <w:rPr>
                <w:sz w:val="19"/>
                <w:szCs w:val="19"/>
                <w:color w:val="auto"/>
              </w:rPr>
            </w:pPr>
          </w:p>
        </w:tc>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11/15/2019</w:t>
            </w:r>
          </w:p>
        </w:tc>
      </w:tr>
      <w:tr>
        <w:trPr>
          <w:trHeight w:val="33"/>
        </w:trPr>
        <w:tc>
          <w:tcPr>
            <w:tcW w:w="2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7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On February 15, 2019, May 15, 2019, and August 15, 2019 the Company paid dividends of $0.9 million, $0.9 million and $0.9 million, respectively, to shareholders of record on February 1, 2019, May 1, 2019, and August 1, 2019, respectively. In the three months ended September 30, 2019, the Company reduced retained earnings for the accrual of $0.9 million relating to the dividend payable on November 15, 2019.</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November 7, 2019, the Board of Directors declared a quarterly dividend of $0.0425 per share payable on February 14, 2020 to shareholders of record on January 31,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68"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Nine Months Ended</w:t>
      </w:r>
    </w:p>
    <w:p>
      <w:pPr>
        <w:spacing w:after="0" w:line="26" w:lineRule="exact"/>
        <w:rPr>
          <w:sz w:val="20"/>
          <w:szCs w:val="20"/>
          <w:color w:val="auto"/>
        </w:rPr>
      </w:pPr>
    </w:p>
    <w:p>
      <w:pPr>
        <w:jc w:val="center"/>
        <w:ind w:left="86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5485130</wp:posOffset>
            </wp:positionH>
            <wp:positionV relativeFrom="paragraph">
              <wp:posOffset>33020</wp:posOffset>
            </wp:positionV>
            <wp:extent cx="175831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540" w:type="dxa"/>
            <w:vAlign w:val="bottom"/>
          </w:tcPr>
          <w:p>
            <w:pPr>
              <w:spacing w:after="0"/>
              <w:rPr>
                <w:sz w:val="18"/>
                <w:szCs w:val="18"/>
                <w:color w:val="auto"/>
              </w:rPr>
            </w:pPr>
          </w:p>
        </w:tc>
        <w:tc>
          <w:tcPr>
            <w:tcW w:w="880" w:type="dxa"/>
            <w:vAlign w:val="bottom"/>
          </w:tcPr>
          <w:p>
            <w:pPr>
              <w:jc w:val="right"/>
              <w:ind w:right="419"/>
              <w:spacing w:after="0"/>
              <w:rPr>
                <w:sz w:val="20"/>
                <w:szCs w:val="20"/>
                <w:color w:val="auto"/>
              </w:rPr>
            </w:pPr>
            <w:r>
              <w:rPr>
                <w:rFonts w:ascii="Arial" w:cs="Arial" w:eastAsia="Arial" w:hAnsi="Arial"/>
                <w:sz w:val="16"/>
                <w:szCs w:val="16"/>
                <w:b w:val="1"/>
                <w:bCs w:val="1"/>
                <w:color w:val="auto"/>
              </w:rPr>
              <w:t>2018</w:t>
            </w:r>
          </w:p>
        </w:tc>
      </w:tr>
      <w:tr>
        <w:trPr>
          <w:trHeight w:val="33"/>
        </w:trPr>
        <w:tc>
          <w:tcPr>
            <w:tcW w:w="86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8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8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880" w:type="dxa"/>
            <w:vAlign w:val="bottom"/>
          </w:tcPr>
          <w:p>
            <w:pPr>
              <w:spacing w:after="0"/>
              <w:rPr>
                <w:sz w:val="18"/>
                <w:szCs w:val="18"/>
                <w:color w:val="auto"/>
              </w:rPr>
            </w:pP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color w:val="auto"/>
              </w:rPr>
              <w:t>Cash paid for interest</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13,876</w:t>
            </w:r>
          </w:p>
        </w:tc>
        <w:tc>
          <w:tcPr>
            <w:tcW w:w="54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79"/>
              <w:spacing w:after="0"/>
              <w:rPr>
                <w:sz w:val="20"/>
                <w:szCs w:val="20"/>
                <w:color w:val="auto"/>
              </w:rPr>
            </w:pPr>
            <w:r>
              <w:rPr>
                <w:rFonts w:ascii="Arial" w:cs="Arial" w:eastAsia="Arial" w:hAnsi="Arial"/>
                <w:sz w:val="16"/>
                <w:szCs w:val="16"/>
                <w:color w:val="auto"/>
              </w:rPr>
              <w:t>11,003</w:t>
            </w: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8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taxes, net of refunds</w:t>
            </w: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938</w:t>
            </w:r>
          </w:p>
        </w:tc>
        <w:tc>
          <w:tcPr>
            <w:tcW w:w="5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2,527</w:t>
            </w:r>
          </w:p>
        </w:tc>
      </w:tr>
      <w:tr>
        <w:trPr>
          <w:trHeight w:val="224"/>
        </w:trPr>
        <w:tc>
          <w:tcPr>
            <w:tcW w:w="8640" w:type="dxa"/>
            <w:vAlign w:val="bottom"/>
          </w:tcPr>
          <w:p>
            <w:pPr>
              <w:ind w:left="20"/>
              <w:spacing w:after="0"/>
              <w:rPr>
                <w:sz w:val="20"/>
                <w:szCs w:val="20"/>
                <w:color w:val="auto"/>
              </w:rPr>
            </w:pPr>
            <w:r>
              <w:rPr>
                <w:rFonts w:ascii="Arial" w:cs="Arial" w:eastAsia="Arial" w:hAnsi="Arial"/>
                <w:sz w:val="16"/>
                <w:szCs w:val="16"/>
                <w:b w:val="1"/>
                <w:bCs w:val="1"/>
                <w:color w:val="auto"/>
              </w:rPr>
              <w:t>Non-cash investing activities:</w:t>
            </w: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33"/>
        </w:trPr>
        <w:tc>
          <w:tcPr>
            <w:tcW w:w="86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24"/>
        </w:trPr>
        <w:tc>
          <w:tcPr>
            <w:tcW w:w="8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Translation loss adjustment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(4,032)</w:t>
            </w:r>
          </w:p>
        </w:tc>
        <w:tc>
          <w:tcPr>
            <w:tcW w:w="54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(1,985)</w:t>
            </w:r>
          </w:p>
        </w:tc>
      </w:tr>
      <w:tr>
        <w:trPr>
          <w:trHeight w:val="33"/>
        </w:trPr>
        <w:tc>
          <w:tcPr>
            <w:tcW w:w="86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8"/>
          <w:szCs w:val="18"/>
          <w:b w:val="1"/>
          <w:bCs w:val="1"/>
          <w:u w:val="single" w:color="auto"/>
          <w:color w:val="0000FF"/>
        </w:rPr>
      </w:pPr>
      <w:hyperlink w:anchor="page1">
        <w:r>
          <w:rPr>
            <w:rFonts w:ascii="Arial" w:cs="Arial" w:eastAsia="Arial" w:hAnsi="Arial"/>
            <w:sz w:val="18"/>
            <w:szCs w:val="18"/>
            <w:b w:val="1"/>
            <w:bCs w:val="1"/>
            <w:u w:val="single" w:color="auto"/>
            <w:color w:val="0000FF"/>
          </w:rPr>
          <w:t>Table of Contents</w:t>
        </w:r>
      </w:hyperlink>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LIFETIME BRANDS,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2019</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accumulated other comprehensive loss, net</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2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60" w:type="dxa"/>
            <w:vAlign w:val="bottom"/>
            <w:gridSpan w:val="4"/>
          </w:tcPr>
          <w:p>
            <w:pPr>
              <w:jc w:val="right"/>
              <w:ind w:right="75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210"/>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gridSpan w:val="3"/>
          </w:tcPr>
          <w:p>
            <w:pPr>
              <w:jc w:val="right"/>
              <w:ind w:right="179"/>
              <w:spacing w:after="0"/>
              <w:rPr>
                <w:sz w:val="20"/>
                <w:szCs w:val="20"/>
                <w:color w:val="auto"/>
              </w:rPr>
            </w:pPr>
            <w:r>
              <w:rPr>
                <w:rFonts w:ascii="Arial" w:cs="Arial" w:eastAsia="Arial" w:hAnsi="Arial"/>
                <w:sz w:val="16"/>
                <w:szCs w:val="16"/>
                <w:b w:val="1"/>
                <w:bCs w:val="1"/>
                <w:color w:val="auto"/>
              </w:rPr>
              <w:t>September 30,</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jc w:val="right"/>
              <w:ind w:right="479"/>
              <w:spacing w:after="0"/>
              <w:rPr>
                <w:sz w:val="20"/>
                <w:szCs w:val="20"/>
                <w:color w:val="auto"/>
              </w:rPr>
            </w:pPr>
            <w:r>
              <w:rPr>
                <w:rFonts w:ascii="Arial" w:cs="Arial" w:eastAsia="Arial" w:hAnsi="Arial"/>
                <w:sz w:val="16"/>
                <w:szCs w:val="16"/>
                <w:b w:val="1"/>
                <w:bCs w:val="1"/>
                <w:color w:val="auto"/>
                <w:w w:val="89"/>
              </w:rPr>
              <w:t>2018</w:t>
            </w: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ind w:right="479"/>
              <w:spacing w:after="0"/>
              <w:rPr>
                <w:sz w:val="20"/>
                <w:szCs w:val="20"/>
                <w:color w:val="auto"/>
              </w:rPr>
            </w:pPr>
            <w:r>
              <w:rPr>
                <w:rFonts w:ascii="Arial" w:cs="Arial" w:eastAsia="Arial" w:hAnsi="Arial"/>
                <w:sz w:val="16"/>
                <w:szCs w:val="16"/>
                <w:b w:val="1"/>
                <w:bCs w:val="1"/>
                <w:color w:val="auto"/>
              </w:rPr>
              <w:t>2019</w:t>
            </w: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ind w:right="47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500" w:type="dxa"/>
            <w:vAlign w:val="bottom"/>
            <w:gridSpan w:val="3"/>
          </w:tcPr>
          <w:p>
            <w:pPr>
              <w:jc w:val="right"/>
              <w:ind w:right="79"/>
              <w:spacing w:after="0"/>
              <w:rPr>
                <w:sz w:val="20"/>
                <w:szCs w:val="20"/>
                <w:color w:val="auto"/>
              </w:rPr>
            </w:pPr>
            <w:r>
              <w:rPr>
                <w:rFonts w:ascii="Arial" w:cs="Arial" w:eastAsia="Arial" w:hAnsi="Arial"/>
                <w:sz w:val="16"/>
                <w:szCs w:val="16"/>
                <w:color w:val="auto"/>
              </w:rPr>
              <w:t>(in thousands)</w:t>
            </w: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translation adjustment:</w:t>
            </w:r>
          </w:p>
        </w:tc>
        <w:tc>
          <w:tcPr>
            <w:tcW w:w="4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(35,374)</w:t>
            </w:r>
          </w:p>
        </w:tc>
        <w:tc>
          <w:tcPr>
            <w:tcW w:w="20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(29,930)</w:t>
            </w:r>
          </w:p>
        </w:tc>
        <w:tc>
          <w:tcPr>
            <w:tcW w:w="1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(33,727)</w:t>
            </w:r>
          </w:p>
        </w:tc>
        <w:tc>
          <w:tcPr>
            <w:tcW w:w="1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(27,821)</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Translation (loss) gain during period</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(2,385)</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124</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(4,032)</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(1,985)</w:t>
            </w: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(37,759)</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(29,806)</w:t>
            </w:r>
          </w:p>
        </w:tc>
        <w:tc>
          <w:tcPr>
            <w:tcW w:w="18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(37,759)</w:t>
            </w:r>
          </w:p>
        </w:tc>
        <w:tc>
          <w:tcPr>
            <w:tcW w:w="18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(29,806)</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Accumulated deferred gains (losses) on cash flow hedges:</w:t>
            </w:r>
          </w:p>
        </w:tc>
        <w:tc>
          <w:tcPr>
            <w:tcW w:w="4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59"/>
              <w:spacing w:after="0"/>
              <w:rPr>
                <w:sz w:val="20"/>
                <w:szCs w:val="20"/>
                <w:color w:val="auto"/>
              </w:rPr>
            </w:pPr>
            <w:r>
              <w:rPr>
                <w:rFonts w:ascii="Arial" w:cs="Arial" w:eastAsia="Arial" w:hAnsi="Arial"/>
                <w:sz w:val="16"/>
                <w:szCs w:val="16"/>
                <w:color w:val="auto"/>
              </w:rPr>
              <w:t>1,739</w:t>
            </w:r>
          </w:p>
        </w:tc>
        <w:tc>
          <w:tcPr>
            <w:tcW w:w="200" w:type="dxa"/>
            <w:vAlign w:val="bottom"/>
          </w:tcPr>
          <w:p>
            <w:pPr>
              <w:spacing w:after="0"/>
              <w:rPr>
                <w:sz w:val="19"/>
                <w:szCs w:val="19"/>
                <w:color w:val="auto"/>
              </w:rPr>
            </w:pPr>
          </w:p>
        </w:tc>
        <w:tc>
          <w:tcPr>
            <w:tcW w:w="540" w:type="dxa"/>
            <w:vAlign w:val="bottom"/>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(263)</w:t>
            </w:r>
          </w:p>
        </w:tc>
        <w:tc>
          <w:tcPr>
            <w:tcW w:w="180" w:type="dxa"/>
            <w:vAlign w:val="bottom"/>
          </w:tcPr>
          <w:p>
            <w:pPr>
              <w:spacing w:after="0"/>
              <w:rPr>
                <w:sz w:val="19"/>
                <w:szCs w:val="19"/>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79"/>
              <w:spacing w:after="0"/>
              <w:rPr>
                <w:sz w:val="20"/>
                <w:szCs w:val="20"/>
                <w:color w:val="auto"/>
              </w:rPr>
            </w:pPr>
            <w:r>
              <w:rPr>
                <w:rFonts w:ascii="Arial" w:cs="Arial" w:eastAsia="Arial" w:hAnsi="Arial"/>
                <w:sz w:val="16"/>
                <w:szCs w:val="16"/>
                <w:color w:val="auto"/>
              </w:rPr>
              <w:t>161</w:t>
            </w:r>
          </w:p>
        </w:tc>
        <w:tc>
          <w:tcPr>
            <w:tcW w:w="18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Amounts reclassified from accumulated other comprehensive loss:</w:t>
            </w:r>
          </w:p>
        </w:tc>
        <w:tc>
          <w:tcPr>
            <w:tcW w:w="4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780" w:type="dxa"/>
            <w:vAlign w:val="bottom"/>
          </w:tcPr>
          <w:p>
            <w:pPr>
              <w:ind w:left="340"/>
              <w:spacing w:after="0"/>
              <w:rPr>
                <w:sz w:val="20"/>
                <w:szCs w:val="20"/>
                <w:color w:val="auto"/>
              </w:rPr>
            </w:pPr>
            <w:r>
              <w:rPr>
                <w:rFonts w:ascii="Arial" w:cs="Arial" w:eastAsia="Arial" w:hAnsi="Arial"/>
                <w:sz w:val="16"/>
                <w:szCs w:val="16"/>
                <w:color w:val="auto"/>
              </w:rPr>
              <w:t>Settlement of cash flow hedge</w:t>
            </w:r>
          </w:p>
        </w:tc>
        <w:tc>
          <w:tcPr>
            <w:tcW w:w="400" w:type="dxa"/>
            <w:vAlign w:val="bottom"/>
          </w:tcPr>
          <w:p>
            <w:pPr>
              <w:spacing w:after="0"/>
              <w:rPr>
                <w:sz w:val="19"/>
                <w:szCs w:val="19"/>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(143)</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20" w:type="dxa"/>
            <w:vAlign w:val="bottom"/>
          </w:tcPr>
          <w:p>
            <w:pPr>
              <w:spacing w:after="0"/>
              <w:rPr>
                <w:sz w:val="19"/>
                <w:szCs w:val="19"/>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Change in unrealized gains (losses)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294</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1,895</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146"/>
        </w:trPr>
        <w:tc>
          <w:tcPr>
            <w:tcW w:w="4780" w:type="dxa"/>
            <w:vAlign w:val="bottom"/>
          </w:tcPr>
          <w:p>
            <w:pPr>
              <w:ind w:left="20"/>
              <w:spacing w:after="0" w:line="146" w:lineRule="exact"/>
              <w:rPr>
                <w:sz w:val="20"/>
                <w:szCs w:val="20"/>
                <w:color w:val="auto"/>
              </w:rPr>
            </w:pPr>
            <w:r>
              <w:rPr>
                <w:rFonts w:ascii="Arial" w:cs="Arial" w:eastAsia="Arial" w:hAnsi="Arial"/>
                <w:sz w:val="16"/>
                <w:szCs w:val="16"/>
                <w:color w:val="auto"/>
                <w:w w:val="96"/>
              </w:rPr>
              <w:t>Net change in cash flow hedges, net of taxes of $36, $127, $531, and</w:t>
            </w:r>
          </w:p>
        </w:tc>
        <w:tc>
          <w:tcPr>
            <w:tcW w:w="40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vMerge w:val="restart"/>
          </w:tcPr>
          <w:p>
            <w:pPr>
              <w:jc w:val="right"/>
              <w:ind w:right="59"/>
              <w:spacing w:after="0"/>
              <w:rPr>
                <w:sz w:val="20"/>
                <w:szCs w:val="20"/>
                <w:color w:val="auto"/>
              </w:rPr>
            </w:pPr>
            <w:r>
              <w:rPr>
                <w:rFonts w:ascii="Arial" w:cs="Arial" w:eastAsia="Arial" w:hAnsi="Arial"/>
                <w:sz w:val="16"/>
                <w:szCs w:val="16"/>
                <w:color w:val="auto"/>
              </w:rPr>
              <w:t>151</w:t>
            </w:r>
          </w:p>
        </w:tc>
        <w:tc>
          <w:tcPr>
            <w:tcW w:w="2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(381)</w:t>
            </w: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vMerge w:val="restart"/>
          </w:tcPr>
          <w:p>
            <w:pPr>
              <w:jc w:val="right"/>
              <w:ind w:right="79"/>
              <w:spacing w:after="0"/>
              <w:rPr>
                <w:sz w:val="20"/>
                <w:szCs w:val="20"/>
                <w:color w:val="auto"/>
              </w:rPr>
            </w:pPr>
            <w:r>
              <w:rPr>
                <w:rFonts w:ascii="Arial" w:cs="Arial" w:eastAsia="Arial" w:hAnsi="Arial"/>
                <w:sz w:val="16"/>
                <w:szCs w:val="16"/>
                <w:color w:val="auto"/>
              </w:rPr>
              <w:t>1,729</w:t>
            </w:r>
          </w:p>
        </w:tc>
        <w:tc>
          <w:tcPr>
            <w:tcW w:w="1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(658)</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$215</w:t>
            </w:r>
          </w:p>
        </w:tc>
        <w:tc>
          <w:tcPr>
            <w:tcW w:w="4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vMerge w:val="continue"/>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8"/>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end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1,890</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(644)</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1,890</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i w:val="1"/>
                <w:iCs w:val="1"/>
                <w:color w:val="auto"/>
              </w:rPr>
              <w:t>Accumulated effect of retirement benefit obligations:</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beginning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w:t>
            </w:r>
          </w:p>
        </w:tc>
        <w:tc>
          <w:tcPr>
            <w:tcW w:w="2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w:t>
            </w:r>
          </w:p>
        </w:tc>
        <w:tc>
          <w:tcPr>
            <w:tcW w:w="1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w:t>
            </w:r>
          </w:p>
        </w:tc>
        <w:tc>
          <w:tcPr>
            <w:tcW w:w="1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(1,518)</w:t>
            </w:r>
          </w:p>
        </w:tc>
        <w:tc>
          <w:tcPr>
            <w:tcW w:w="0" w:type="dxa"/>
            <w:vAlign w:val="bottom"/>
          </w:tcPr>
          <w:p>
            <w:pPr>
              <w:spacing w:after="0"/>
              <w:rPr>
                <w:sz w:val="1"/>
                <w:szCs w:val="1"/>
                <w:color w:val="auto"/>
              </w:rPr>
            </w:pPr>
          </w:p>
        </w:tc>
      </w:tr>
      <w:tr>
        <w:trPr>
          <w:trHeight w:val="216"/>
        </w:trPr>
        <w:tc>
          <w:tcPr>
            <w:tcW w:w="4780" w:type="dxa"/>
            <w:vAlign w:val="bottom"/>
          </w:tcPr>
          <w:p>
            <w:pPr>
              <w:ind w:left="20"/>
              <w:spacing w:after="0" w:line="216" w:lineRule="exact"/>
              <w:rPr>
                <w:sz w:val="20"/>
                <w:szCs w:val="20"/>
                <w:color w:val="auto"/>
              </w:rPr>
            </w:pPr>
            <w:r>
              <w:rPr>
                <w:rFonts w:ascii="Arial" w:cs="Arial" w:eastAsia="Arial" w:hAnsi="Arial"/>
                <w:sz w:val="16"/>
                <w:szCs w:val="16"/>
                <w:color w:val="auto"/>
                <w:w w:val="96"/>
              </w:rPr>
              <w:t xml:space="preserve">Amounts reclassified from accumulated other comprehensive loss: </w:t>
            </w:r>
            <w:r>
              <w:rPr>
                <w:rFonts w:ascii="Arial" w:cs="Arial" w:eastAsia="Arial" w:hAnsi="Arial"/>
                <w:sz w:val="21"/>
                <w:szCs w:val="21"/>
                <w:color w:val="auto"/>
                <w:w w:val="96"/>
                <w:vertAlign w:val="superscript"/>
              </w:rPr>
              <w:t>(1)</w:t>
            </w:r>
          </w:p>
        </w:tc>
        <w:tc>
          <w:tcPr>
            <w:tcW w:w="4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Amortization of actuarial losses, net of taxes</w:t>
            </w:r>
          </w:p>
        </w:tc>
        <w:tc>
          <w:tcPr>
            <w:tcW w:w="4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w:t>
            </w:r>
          </w:p>
        </w:tc>
        <w:tc>
          <w:tcPr>
            <w:tcW w:w="20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w:t>
            </w:r>
          </w:p>
        </w:tc>
        <w:tc>
          <w:tcPr>
            <w:tcW w:w="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38</w:t>
            </w:r>
          </w:p>
        </w:tc>
        <w:tc>
          <w:tcPr>
            <w:tcW w:w="18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17"/>
        </w:trPr>
        <w:tc>
          <w:tcPr>
            <w:tcW w:w="4780" w:type="dxa"/>
            <w:vAlign w:val="bottom"/>
          </w:tcPr>
          <w:p>
            <w:pPr>
              <w:ind w:left="20"/>
              <w:spacing w:after="0"/>
              <w:rPr>
                <w:sz w:val="20"/>
                <w:szCs w:val="20"/>
                <w:color w:val="auto"/>
              </w:rPr>
            </w:pPr>
            <w:r>
              <w:rPr>
                <w:rFonts w:ascii="Arial" w:cs="Arial" w:eastAsia="Arial" w:hAnsi="Arial"/>
                <w:sz w:val="16"/>
                <w:szCs w:val="16"/>
                <w:color w:val="auto"/>
              </w:rPr>
              <w:t>Balance at end of period</w:t>
            </w: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(1,012)</w:t>
            </w:r>
          </w:p>
        </w:tc>
        <w:tc>
          <w:tcPr>
            <w:tcW w:w="200" w:type="dxa"/>
            <w:vAlign w:val="bottom"/>
          </w:tcPr>
          <w:p>
            <w:pPr>
              <w:spacing w:after="0"/>
              <w:rPr>
                <w:sz w:val="18"/>
                <w:szCs w:val="18"/>
                <w:color w:val="auto"/>
              </w:rPr>
            </w:pPr>
          </w:p>
        </w:tc>
        <w:tc>
          <w:tcPr>
            <w:tcW w:w="54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(1,464)</w:t>
            </w:r>
          </w:p>
        </w:tc>
        <w:tc>
          <w:tcPr>
            <w:tcW w:w="18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(1,012)</w:t>
            </w:r>
          </w:p>
        </w:tc>
        <w:tc>
          <w:tcPr>
            <w:tcW w:w="18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(1,464)</w:t>
            </w: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accumulated other comprehensive loss at end of period</w:t>
            </w: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(36,881)</w:t>
            </w:r>
          </w:p>
        </w:tc>
        <w:tc>
          <w:tcPr>
            <w:tcW w:w="2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(31,914)</w:t>
            </w:r>
          </w:p>
        </w:tc>
        <w:tc>
          <w:tcPr>
            <w:tcW w:w="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(36,881)</w:t>
            </w:r>
          </w:p>
        </w:tc>
        <w:tc>
          <w:tcPr>
            <w:tcW w:w="1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(31,914)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Amounts are recorded in selling, general and administrative expense on the unaudited condensed consolidated statements of operations.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7" w:lineRule="exact"/>
        <w:rPr>
          <w:rFonts w:ascii="Arial" w:cs="Arial" w:eastAsia="Arial" w:hAnsi="Arial"/>
          <w:sz w:val="18"/>
          <w:szCs w:val="18"/>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21" w:right="29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This Quarterly Report on Form 10-Q of Lifetime Brands, Inc. (the “Company” and, unless the context otherwise requires, references to the “Company” shall include its consolidated subsidiaries), contains “forward-looking statements” as defined by the Private Securities Litigation Reform Act of 1995. These forward-looking statements include information concerning the Company’s plans, objectives, goals, strategies, future events, future revenues, performance, capital expenditures, financing needs and other information that is not historical information. Many of these statements appear, in particular, in </w:t>
      </w:r>
      <w:r>
        <w:rPr>
          <w:rFonts w:ascii="Arial" w:cs="Arial" w:eastAsia="Arial" w:hAnsi="Arial"/>
          <w:sz w:val="17"/>
          <w:szCs w:val="17"/>
          <w:i w:val="1"/>
          <w:iCs w:val="1"/>
          <w:color w:val="auto"/>
        </w:rPr>
        <w:t>Management’s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Discussion and Analysis of Financial Condition and Results of Operations. </w:t>
      </w:r>
      <w:r>
        <w:rPr>
          <w:rFonts w:ascii="Arial" w:cs="Arial" w:eastAsia="Arial" w:hAnsi="Arial"/>
          <w:sz w:val="17"/>
          <w:szCs w:val="17"/>
          <w:color w:val="auto"/>
        </w:rPr>
        <w:t>When used in this Quarterly Report on Form 10-Q, the words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“expects,” “anticipates,” “projects,” “plans,” “intends,” “believes,” “may,” “should,” “assumes,” “seeks,” and variations of such words or similar expressions are intended to identify forward-looking statements. All forward-looking statements, including, without limitation, those based on the Company’s examination of historical operating trends, are based upon the Company’s current expectations and various assumptions. The Company believes there is a reasonable basis for its expectations and assumptions, but there can be no assurance that the Company will realize its expectations or that the Company’s assumptions will prove correct.</w:t>
      </w:r>
    </w:p>
    <w:p>
      <w:pPr>
        <w:spacing w:after="0" w:line="17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 xml:space="preserve">There are a number of risks and uncertainties that could cause the Company’s actual results to differ materially from the forward-looking statements contained in this Quarterly Report. Important factors that could cause the Company’s actual results to differ materially from those expressed as forward-looking statements are set forth in the Company’s 2018 Annual Report on Form 10-K in Part I, Item 1A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Such risks, uncertainties and other important factors include, among others, risks related to:</w:t>
      </w:r>
    </w:p>
    <w:p>
      <w:pPr>
        <w:spacing w:after="0" w:line="7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factors and political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Exit of the United Kingdom from the European Union;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Tariffs;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Indebtedness and compliance with credit agreements;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integration of our European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Liquidity;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Acquisition integration;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Customer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Intellectual property, brands and licenses;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Goodwill;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Supply chain;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exchange rates;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International trade and transportation;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Regulatory matters;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Stock keeping unit rationalization (“SKU Rationalization”) initiative;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fluctuations;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Business interruptions;</w:t>
      </w:r>
    </w:p>
    <w:p>
      <w:pPr>
        <w:sectPr>
          <w:pgSz w:w="11900" w:h="16838" w:orient="portrait"/>
          <w:cols w:equalWidth="0" w:num="1">
            <w:col w:w="11380"/>
          </w:cols>
          <w:pgMar w:left="240" w:top="125" w:right="27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Projections;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Governance;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Acquisitions and investments.</w:t>
      </w:r>
    </w:p>
    <w:p>
      <w:pPr>
        <w:spacing w:after="0" w:line="22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There may be other factors that may cause the Company’s actual results to differ materially from the forward-looking statements. Except as may be required by law, the Company undertakes no obligation to publicly update or revise forward-looking statements which may be made to reflect events or circumstances after the date made or to reflect the occurrence of unanticipated events.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COMPANY</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designs, sources and sells branded kitchenware, tableware and other products used in the home. The Company’s product categories include two categories of products used to prepare, serve, and consume foods: Kitchenware (kitchen tools and gadgets, cutlery, cutting boards, shears, kitchen scales, thermometers, timers, cookware, pantryware, spice racks, wine accessories, and bakeware) and Tableware (dinnerware, stemware, flatware, wire organization, and giftware); and one category, Home Solutions, which comprises other products used in the home (thermal beverageware, food storage, neoprene travel products, bath scales, weather instruments, and home décor). In 2018, Kitchenware products and Tableware products accounted for approximately 82 % of the Company’s U.S. segment’s net sales and 84 % of the Company’s consolidated net sales.</w:t>
      </w:r>
    </w:p>
    <w:p>
      <w:pPr>
        <w:spacing w:after="0" w:line="17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On March 2, 2018, the Company completed the acquisition of Taylor Holdco LLC and its subsidiaries (doing business as Filament Brands) (“Filament”). Filament primarily designs, markets and distributes consumer and food service precision measurement products, including kitchen scales, thermometers and timers, bath scales, wine accessories, kitchen tools, hydration products, and select outdoor products. The nine months ended September 30, 2018 include the operations of Filament for the period from March 2, 2018 to September 30, 2018.</w:t>
      </w:r>
    </w:p>
    <w:p>
      <w:pPr>
        <w:spacing w:after="0" w:line="187"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The Company markets several product lines within each of its product categories and under most of the Company’s brands, primarily targeting moderate price points through virtually every major level of trade. The Company believes it possesses certain competitive advantages based on its brands, its emphasis on innovation and new product development, and its sourcing capabilities. The Company owns or licenses a number of leading brands in its industry, including Farberware</w:t>
      </w:r>
      <w:r>
        <w:rPr>
          <w:rFonts w:ascii="Arial" w:cs="Arial" w:eastAsia="Arial" w:hAnsi="Arial"/>
          <w:sz w:val="22"/>
          <w:szCs w:val="22"/>
          <w:color w:val="auto"/>
          <w:vertAlign w:val="superscript"/>
        </w:rPr>
        <w:t>®</w:t>
      </w:r>
      <w:r>
        <w:rPr>
          <w:rFonts w:ascii="Arial" w:cs="Arial" w:eastAsia="Arial" w:hAnsi="Arial"/>
          <w:sz w:val="17"/>
          <w:szCs w:val="17"/>
          <w:color w:val="auto"/>
        </w:rPr>
        <w:t>, Mikasa</w:t>
      </w:r>
      <w:r>
        <w:rPr>
          <w:rFonts w:ascii="Arial" w:cs="Arial" w:eastAsia="Arial" w:hAnsi="Arial"/>
          <w:sz w:val="22"/>
          <w:szCs w:val="22"/>
          <w:color w:val="auto"/>
          <w:vertAlign w:val="superscript"/>
        </w:rPr>
        <w:t>®</w:t>
      </w:r>
      <w:r>
        <w:rPr>
          <w:rFonts w:ascii="Arial" w:cs="Arial" w:eastAsia="Arial" w:hAnsi="Arial"/>
          <w:sz w:val="17"/>
          <w:szCs w:val="17"/>
          <w:color w:val="auto"/>
        </w:rPr>
        <w:t>, Taylor</w:t>
      </w:r>
      <w:r>
        <w:rPr>
          <w:rFonts w:ascii="Arial" w:cs="Arial" w:eastAsia="Arial" w:hAnsi="Arial"/>
          <w:sz w:val="22"/>
          <w:szCs w:val="22"/>
          <w:color w:val="auto"/>
          <w:vertAlign w:val="superscript"/>
        </w:rPr>
        <w:t>®</w:t>
      </w:r>
      <w:r>
        <w:rPr>
          <w:rFonts w:ascii="Arial" w:cs="Arial" w:eastAsia="Arial" w:hAnsi="Arial"/>
          <w:sz w:val="17"/>
          <w:szCs w:val="17"/>
          <w:color w:val="auto"/>
        </w:rPr>
        <w:t>, KitchenAid</w:t>
      </w:r>
      <w:r>
        <w:rPr>
          <w:rFonts w:ascii="Arial" w:cs="Arial" w:eastAsia="Arial" w:hAnsi="Arial"/>
          <w:sz w:val="22"/>
          <w:szCs w:val="22"/>
          <w:color w:val="auto"/>
          <w:vertAlign w:val="superscript"/>
        </w:rPr>
        <w:t>®</w:t>
      </w:r>
      <w:r>
        <w:rPr>
          <w:rFonts w:ascii="Arial" w:cs="Arial" w:eastAsia="Arial" w:hAnsi="Arial"/>
          <w:sz w:val="17"/>
          <w:szCs w:val="17"/>
          <w:color w:val="auto"/>
        </w:rPr>
        <w:t>, Pfaltzgraff</w:t>
      </w:r>
      <w:r>
        <w:rPr>
          <w:rFonts w:ascii="Arial" w:cs="Arial" w:eastAsia="Arial" w:hAnsi="Arial"/>
          <w:sz w:val="22"/>
          <w:szCs w:val="22"/>
          <w:color w:val="auto"/>
          <w:vertAlign w:val="superscript"/>
        </w:rPr>
        <w:t>®</w:t>
      </w:r>
      <w:r>
        <w:rPr>
          <w:rFonts w:ascii="Arial" w:cs="Arial" w:eastAsia="Arial" w:hAnsi="Arial"/>
          <w:sz w:val="17"/>
          <w:szCs w:val="17"/>
          <w:color w:val="auto"/>
        </w:rPr>
        <w:t>, KitchenCraft</w:t>
      </w:r>
      <w:r>
        <w:rPr>
          <w:rFonts w:ascii="Arial" w:cs="Arial" w:eastAsia="Arial" w:hAnsi="Arial"/>
          <w:sz w:val="22"/>
          <w:szCs w:val="22"/>
          <w:color w:val="auto"/>
          <w:vertAlign w:val="superscript"/>
        </w:rPr>
        <w:t>®</w:t>
      </w:r>
      <w:r>
        <w:rPr>
          <w:rFonts w:ascii="Arial" w:cs="Arial" w:eastAsia="Arial" w:hAnsi="Arial"/>
          <w:sz w:val="17"/>
          <w:szCs w:val="17"/>
          <w:color w:val="auto"/>
        </w:rPr>
        <w:t>, Fitz and Floyd</w:t>
      </w:r>
      <w:r>
        <w:rPr>
          <w:rFonts w:ascii="Arial" w:cs="Arial" w:eastAsia="Arial" w:hAnsi="Arial"/>
          <w:sz w:val="22"/>
          <w:szCs w:val="22"/>
          <w:color w:val="auto"/>
          <w:vertAlign w:val="superscript"/>
        </w:rPr>
        <w:t>®</w:t>
      </w:r>
      <w:r>
        <w:rPr>
          <w:rFonts w:ascii="Arial" w:cs="Arial" w:eastAsia="Arial" w:hAnsi="Arial"/>
          <w:sz w:val="17"/>
          <w:szCs w:val="17"/>
          <w:color w:val="auto"/>
        </w:rPr>
        <w:t>, Sabatier®, Kamenstein</w:t>
      </w:r>
      <w:r>
        <w:rPr>
          <w:rFonts w:ascii="Arial" w:cs="Arial" w:eastAsia="Arial" w:hAnsi="Arial"/>
          <w:sz w:val="22"/>
          <w:szCs w:val="22"/>
          <w:color w:val="auto"/>
          <w:vertAlign w:val="superscript"/>
        </w:rPr>
        <w:t>®</w:t>
      </w:r>
      <w:r>
        <w:rPr>
          <w:rFonts w:ascii="Arial" w:cs="Arial" w:eastAsia="Arial" w:hAnsi="Arial"/>
          <w:sz w:val="17"/>
          <w:szCs w:val="17"/>
          <w:color w:val="auto"/>
        </w:rPr>
        <w:t>, Built NY</w:t>
      </w:r>
      <w:r>
        <w:rPr>
          <w:rFonts w:ascii="Arial" w:cs="Arial" w:eastAsia="Arial" w:hAnsi="Arial"/>
          <w:sz w:val="22"/>
          <w:szCs w:val="22"/>
          <w:color w:val="auto"/>
          <w:vertAlign w:val="superscript"/>
        </w:rPr>
        <w:t>®</w:t>
      </w:r>
      <w:r>
        <w:rPr>
          <w:rFonts w:ascii="Arial" w:cs="Arial" w:eastAsia="Arial" w:hAnsi="Arial"/>
          <w:sz w:val="17"/>
          <w:szCs w:val="17"/>
          <w:color w:val="auto"/>
        </w:rPr>
        <w:t>, MasterClass®, Fred</w:t>
      </w:r>
      <w:r>
        <w:rPr>
          <w:rFonts w:ascii="Arial" w:cs="Arial" w:eastAsia="Arial" w:hAnsi="Arial"/>
          <w:sz w:val="22"/>
          <w:szCs w:val="22"/>
          <w:color w:val="auto"/>
          <w:vertAlign w:val="superscript"/>
        </w:rPr>
        <w:t>®</w:t>
      </w:r>
      <w:r>
        <w:rPr>
          <w:rFonts w:ascii="Arial" w:cs="Arial" w:eastAsia="Arial" w:hAnsi="Arial"/>
          <w:sz w:val="17"/>
          <w:szCs w:val="17"/>
          <w:color w:val="auto"/>
        </w:rPr>
        <w:t>, Rabbit</w:t>
      </w:r>
      <w:r>
        <w:rPr>
          <w:rFonts w:ascii="Arial" w:cs="Arial" w:eastAsia="Arial" w:hAnsi="Arial"/>
          <w:sz w:val="22"/>
          <w:szCs w:val="22"/>
          <w:color w:val="auto"/>
          <w:vertAlign w:val="superscript"/>
        </w:rPr>
        <w:t>®</w:t>
      </w:r>
      <w:r>
        <w:rPr>
          <w:rFonts w:ascii="Arial" w:cs="Arial" w:eastAsia="Arial" w:hAnsi="Arial"/>
          <w:sz w:val="17"/>
          <w:szCs w:val="17"/>
          <w:color w:val="auto"/>
        </w:rPr>
        <w:t xml:space="preserve"> and LaCafetière</w:t>
      </w:r>
      <w:r>
        <w:rPr>
          <w:rFonts w:ascii="Arial" w:cs="Arial" w:eastAsia="Arial" w:hAnsi="Arial"/>
          <w:sz w:val="22"/>
          <w:szCs w:val="22"/>
          <w:color w:val="auto"/>
          <w:vertAlign w:val="superscript"/>
        </w:rPr>
        <w:t>®</w:t>
      </w:r>
      <w:r>
        <w:rPr>
          <w:rFonts w:ascii="Arial" w:cs="Arial" w:eastAsia="Arial" w:hAnsi="Arial"/>
          <w:sz w:val="17"/>
          <w:szCs w:val="17"/>
          <w:color w:val="auto"/>
        </w:rPr>
        <w:t>. Historically, the Company’s sales growth has come from expanding product offerings within its product categories, by developing existing brands, acquiring new brands, including complementary brands in markets outside the United States, and establishing new product categories. Key factors in the Company’s growth strategy have been the selective use and management of the Company’s brands and the Company’s ability to provide a stream of new products and designs. A significant element of this strategy is the Company’s in-house design and development teams that create new products, packaging and merchandising concepts.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Effective October 1, 2018, the Company operates in two reportable segments: U.S. and International. The U.S. segment is the Company’s primary domestic business that designs, markets and distributes its products to retailers and distributors, as well as directly to consumers through third party and its own internet websites. The International segment consists of certain business operations conducted outside the U.S. The Company has segmented its operations to reflect the manner in which management reviews and evaluates its results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INVESTMENTS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owns approximately a 30 % interest in Grupo Vasconia S.A.B. (“Vasconia”), an integrated manufacturer of aluminum products and one of Mexico’s largest housewares companies. Shares of Vasconia’s capital stock are traded on the Bolsa Mexicana de Valores, the Mexican Stock Exchange. The Quotation Key is VASCONI. The Company accounts for its investment in Vasconia using the equity method of accounting and records its proportionate share of Vasconia’s net income in the Company’s condensed consolidated statements of operations. Accordingly, the Company has recorded its proportionate share of Vasconia’s net income (reduced for amortization expense related to the customer relationships acquired) for the three and nine months ended September 30, 2019 and 2018 in the accompanying unaudited condensed consolidated statements of operations. Pursuant to a Shares Subscription Agreement, the Company may designate four persons to be nominated as</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members of Vasconia’s Board of Directors. As of September 30, 2019, Vasconia’s Board of Directors is comprised of twelve members of whom the Company has designated three members.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Company’s business and working capital needs are highly seasonal, with a majority of sales occurring in the third and fourth quarters. In 2018 and 2017, net sales for the third and fourth quarters accounted for 62 % and 60 % of total annual net sales, respectively. In anticipation of the pre-holiday shipping season, inventory levels increase primarily in the June through October time period. Consistent with the seasonality of the Company’s net sales and inventory levels, the Company also experiences seasonality in its inventory turnover and turnover days from one quarter to the next.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connection with the Company’s March 2018 acquisition of Filament, the Company commenced a restructuring plan to integrate the operations of Filament with the Company’s operations and realize the savings expected from the synergies of the acquisition. During the nine months ended September 30, 2019, the Company incurred $0.4 million of Filament restructuring charges, primarily related to severance. During the three and nine months ended September 30, 2018, the Company incurred $0.6 million and $1.4 million, respectively, of Filament restructuring charges, primarily related to severance, of which $0.8 million was accrued at September 30, 2018.</w:t>
      </w:r>
    </w:p>
    <w:p>
      <w:pPr>
        <w:spacing w:after="0" w:line="8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During the three and nine months ended September 30, 2019, the Company incurred $0.3 million and $0.7 million of restructuring expense, primarily related to severance, for the integration of its legal entities operating in Europe. In 2018, the Company finalized its integration plans for its European operations and took further steps to consolidate its operations. The Company will combine its physical locations in the U.K. in 2019 and expects to incur approximately $0.7 million of additional restructuring and integration charges in 2019. At September 30, 2019, $0.1 million of restructuring charges related to the European restructuring plan were accrued.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 xml:space="preserve">The following is an update to the corresponding critical accounting policies and estimates set forth in the Company’s 2018 Annual Report on Form 10-K. Except as modified below, there have been no material changes to the Company’s critical accounting policies and estimates discussed in the 2018 Annual Report on Form 10-K in Item 7 under the heading </w:t>
      </w:r>
      <w:r>
        <w:rPr>
          <w:rFonts w:ascii="Arial" w:cs="Arial" w:eastAsia="Arial" w:hAnsi="Arial"/>
          <w:sz w:val="18"/>
          <w:szCs w:val="18"/>
          <w:i w:val="1"/>
          <w:iCs w:val="1"/>
          <w:color w:val="auto"/>
        </w:rPr>
        <w:t>Management’s Discussion and Analysis of Financial Condition and Results of Operations – Critical</w:t>
      </w:r>
      <w:r>
        <w:rPr>
          <w:rFonts w:ascii="Arial" w:cs="Arial" w:eastAsia="Arial" w:hAnsi="Arial"/>
          <w:sz w:val="18"/>
          <w:szCs w:val="18"/>
          <w:color w:val="auto"/>
        </w:rPr>
        <w:t xml:space="preserve"> </w:t>
      </w:r>
      <w:r>
        <w:rPr>
          <w:rFonts w:ascii="Arial" w:cs="Arial" w:eastAsia="Arial" w:hAnsi="Arial"/>
          <w:sz w:val="18"/>
          <w:szCs w:val="18"/>
          <w:i w:val="1"/>
          <w:iCs w:val="1"/>
          <w:color w:val="auto"/>
        </w:rPr>
        <w:t>Accounting Policies and Estimates</w:t>
      </w:r>
      <w:r>
        <w:rPr>
          <w:rFonts w:ascii="Arial" w:cs="Arial" w:eastAsia="Arial" w:hAnsi="Arial"/>
          <w:sz w:val="18"/>
          <w:szCs w:val="18"/>
          <w:color w:val="auto"/>
        </w:rPr>
        <w: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implemented programs to improve the productivity of its inventory and simplify its U.S. business. In connection therewith, it initiated a stock keeping unit rationalization (“SKU Rationalization”) initiative to identify inventory to discontinue from active status, consistent with the objectives of these programs. During the nine months ended September 30, 2019, the Company recorded an $8.5 million charge to cost of sales associated with the SKU Rationalization initiative. The inventory charge, which was recognized in cost of sales during the three months ended June 30, 2019, represented approximately 8% of the Company's consolidated inventory at June 30,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determines if an arrangement is a lease at the inception of a contract. Operating lease right-of-use (“ROU”) assets are included in operating lease right-of-use assets on the condensed consolidated balance sheets. The current and long-term components of operating lease liabilities are included in the current portion of operating lease liability and operating lease liabilities, respectively, on the condensed consolidated balance sheets. Finance leases are not material to the Company’s condensed consolidated balance sheets.</w:t>
      </w:r>
    </w:p>
    <w:p>
      <w:pPr>
        <w:spacing w:after="0" w:line="18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lease ROU assets and operating lease liabilities are recognized based on the present value of the future minimum lease payments over the lease term. As most of the Company’s leases do not provide an implicit rate, the Company uses an incremental borrowing rate based on the information available at the commencement date in determining the present value of future payments. The operating lease ROU asset may also include any lease payments made, adjusted for any prepaid or</w:t>
      </w:r>
    </w:p>
    <w:p>
      <w:pPr>
        <w:spacing w:after="0" w:line="200" w:lineRule="exact"/>
        <w:rPr>
          <w:sz w:val="20"/>
          <w:szCs w:val="20"/>
          <w:color w:val="auto"/>
        </w:rPr>
      </w:pPr>
    </w:p>
    <w:p>
      <w:pPr>
        <w:spacing w:after="0" w:line="3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accrued rent payments, lease incentives, and initial direct costs incurred. Certain leases may include options to extend or terminate the lease. Lease expense for minimum lease payments is recognized on a straight-line basis over the lease term.</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certain equipment leases, the Company applies a portfolio approach to effectively account for any ROU assets and lease liabilities. Leases with an initial term of twelve months or less are not recorded on the balance sheet.</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has elected the practical expedient to account for each separate lease component of a contract and its associated non-lease components as a single lease component, thus causing all fixed payments to be capitalized.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statements of operations data of the Company as a percentage of net sales for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00" w:type="dxa"/>
            <w:vAlign w:val="bottom"/>
          </w:tcPr>
          <w:p>
            <w:pPr>
              <w:spacing w:after="0"/>
              <w:rPr>
                <w:sz w:val="17"/>
                <w:szCs w:val="17"/>
                <w:color w:val="auto"/>
              </w:rPr>
            </w:pPr>
          </w:p>
        </w:tc>
        <w:tc>
          <w:tcPr>
            <w:tcW w:w="2340" w:type="dxa"/>
            <w:vAlign w:val="bottom"/>
            <w:gridSpan w:val="4"/>
          </w:tcPr>
          <w:p>
            <w:pPr>
              <w:jc w:val="center"/>
              <w:ind w:left="399"/>
              <w:spacing w:after="0"/>
              <w:rPr>
                <w:sz w:val="20"/>
                <w:szCs w:val="20"/>
                <w:color w:val="auto"/>
              </w:rPr>
            </w:pPr>
            <w:r>
              <w:rPr>
                <w:rFonts w:ascii="Arial" w:cs="Arial" w:eastAsia="Arial" w:hAnsi="Arial"/>
                <w:sz w:val="16"/>
                <w:szCs w:val="16"/>
                <w:b w:val="1"/>
                <w:bCs w:val="1"/>
                <w:color w:val="auto"/>
                <w:w w:val="92"/>
              </w:rPr>
              <w:t>Three Months Ended</w:t>
            </w: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3"/>
              </w:rPr>
              <w:t>Nine Months Ended</w:t>
            </w:r>
          </w:p>
        </w:tc>
      </w:tr>
      <w:tr>
        <w:trPr>
          <w:trHeight w:val="210"/>
        </w:trPr>
        <w:tc>
          <w:tcPr>
            <w:tcW w:w="5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80" w:type="dxa"/>
            <w:vAlign w:val="bottom"/>
            <w:gridSpan w:val="3"/>
          </w:tcPr>
          <w:p>
            <w:pPr>
              <w:jc w:val="center"/>
              <w:ind w:right="380"/>
              <w:spacing w:after="0"/>
              <w:rPr>
                <w:sz w:val="20"/>
                <w:szCs w:val="20"/>
                <w:color w:val="auto"/>
              </w:rPr>
            </w:pPr>
            <w:r>
              <w:rPr>
                <w:rFonts w:ascii="Arial" w:cs="Arial" w:eastAsia="Arial" w:hAnsi="Arial"/>
                <w:sz w:val="16"/>
                <w:szCs w:val="16"/>
                <w:b w:val="1"/>
                <w:bCs w:val="1"/>
                <w:color w:val="auto"/>
                <w:w w:val="89"/>
              </w:rPr>
              <w:t>September 30,</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3"/>
          </w:tcPr>
          <w:p>
            <w:pPr>
              <w:jc w:val="center"/>
              <w:ind w:left="799"/>
              <w:spacing w:after="0"/>
              <w:rPr>
                <w:sz w:val="20"/>
                <w:szCs w:val="20"/>
                <w:color w:val="auto"/>
              </w:rPr>
            </w:pPr>
            <w:r>
              <w:rPr>
                <w:rFonts w:ascii="Arial" w:cs="Arial" w:eastAsia="Arial" w:hAnsi="Arial"/>
                <w:sz w:val="16"/>
                <w:szCs w:val="16"/>
                <w:b w:val="1"/>
                <w:bCs w:val="1"/>
                <w:color w:val="auto"/>
                <w:w w:val="91"/>
              </w:rPr>
              <w:t>September 30,</w:t>
            </w:r>
          </w:p>
        </w:tc>
        <w:tc>
          <w:tcPr>
            <w:tcW w:w="880" w:type="dxa"/>
            <w:vAlign w:val="bottom"/>
          </w:tcPr>
          <w:p>
            <w:pPr>
              <w:spacing w:after="0"/>
              <w:rPr>
                <w:sz w:val="18"/>
                <w:szCs w:val="18"/>
                <w:color w:val="auto"/>
              </w:rPr>
            </w:pPr>
          </w:p>
        </w:tc>
      </w:tr>
      <w:tr>
        <w:trPr>
          <w:trHeight w:val="33"/>
        </w:trPr>
        <w:tc>
          <w:tcPr>
            <w:tcW w:w="56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3"/>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7"/>
        </w:trPr>
        <w:tc>
          <w:tcPr>
            <w:tcW w:w="6460" w:type="dxa"/>
            <w:vAlign w:val="bottom"/>
            <w:gridSpan w:val="2"/>
          </w:tcPr>
          <w:p>
            <w:pPr>
              <w:ind w:left="6120"/>
              <w:spacing w:after="0"/>
              <w:rPr>
                <w:sz w:val="20"/>
                <w:szCs w:val="20"/>
                <w:color w:val="auto"/>
              </w:rPr>
            </w:pPr>
            <w:r>
              <w:rPr>
                <w:rFonts w:ascii="Arial" w:cs="Arial" w:eastAsia="Arial" w:hAnsi="Arial"/>
                <w:sz w:val="16"/>
                <w:szCs w:val="16"/>
                <w:b w:val="1"/>
                <w:bCs w:val="1"/>
                <w:color w:val="auto"/>
                <w:w w:val="89"/>
              </w:rPr>
              <w:t>2019</w:t>
            </w:r>
          </w:p>
        </w:tc>
        <w:tc>
          <w:tcPr>
            <w:tcW w:w="1480" w:type="dxa"/>
            <w:vAlign w:val="bottom"/>
            <w:gridSpan w:val="3"/>
          </w:tcPr>
          <w:p>
            <w:pPr>
              <w:jc w:val="right"/>
              <w:ind w:right="40"/>
              <w:spacing w:after="0"/>
              <w:rPr>
                <w:sz w:val="20"/>
                <w:szCs w:val="20"/>
                <w:color w:val="auto"/>
              </w:rPr>
            </w:pPr>
            <w:r>
              <w:rPr>
                <w:rFonts w:ascii="Arial" w:cs="Arial" w:eastAsia="Arial" w:hAnsi="Arial"/>
                <w:sz w:val="16"/>
                <w:szCs w:val="16"/>
                <w:b w:val="1"/>
                <w:bCs w:val="1"/>
                <w:color w:val="auto"/>
              </w:rPr>
              <w:t>2018</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jc w:val="right"/>
              <w:ind w:right="439"/>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ind w:right="439"/>
              <w:spacing w:after="0"/>
              <w:rPr>
                <w:sz w:val="20"/>
                <w:szCs w:val="20"/>
                <w:color w:val="auto"/>
              </w:rPr>
            </w:pPr>
            <w:r>
              <w:rPr>
                <w:rFonts w:ascii="Arial" w:cs="Arial" w:eastAsia="Arial" w:hAnsi="Arial"/>
                <w:sz w:val="16"/>
                <w:szCs w:val="16"/>
                <w:b w:val="1"/>
                <w:bCs w:val="1"/>
                <w:color w:val="auto"/>
                <w:w w:val="95"/>
              </w:rPr>
              <w:t>2018</w:t>
            </w:r>
          </w:p>
        </w:tc>
      </w:tr>
      <w:tr>
        <w:trPr>
          <w:trHeight w:val="33"/>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6"/>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100 %</w:t>
            </w:r>
          </w:p>
        </w:tc>
      </w:tr>
      <w:tr>
        <w:trPr>
          <w:trHeight w:val="224"/>
        </w:trPr>
        <w:tc>
          <w:tcPr>
            <w:tcW w:w="6460" w:type="dxa"/>
            <w:vAlign w:val="bottom"/>
            <w:gridSpan w:val="2"/>
          </w:tcPr>
          <w:p>
            <w:pPr>
              <w:ind w:left="20"/>
              <w:spacing w:after="0"/>
              <w:rPr>
                <w:sz w:val="20"/>
                <w:szCs w:val="20"/>
                <w:color w:val="auto"/>
              </w:rPr>
            </w:pPr>
            <w:r>
              <w:rPr>
                <w:rFonts w:ascii="Arial" w:cs="Arial" w:eastAsia="Arial" w:hAnsi="Arial"/>
                <w:sz w:val="16"/>
                <w:szCs w:val="16"/>
                <w:color w:val="auto"/>
              </w:rPr>
              <w:t>Cost of sales</w:t>
            </w:r>
          </w:p>
        </w:tc>
        <w:tc>
          <w:tcPr>
            <w:tcW w:w="480" w:type="dxa"/>
            <w:vAlign w:val="bottom"/>
          </w:tcPr>
          <w:p>
            <w:pPr>
              <w:jc w:val="right"/>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64.8</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64.1</w:t>
            </w:r>
          </w:p>
        </w:tc>
      </w:tr>
      <w:tr>
        <w:trPr>
          <w:trHeight w:val="33"/>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0"/>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33.8</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35.2</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33.7</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r>
      <w:tr>
        <w:trPr>
          <w:trHeight w:val="224"/>
        </w:trPr>
        <w:tc>
          <w:tcPr>
            <w:tcW w:w="6460" w:type="dxa"/>
            <w:vAlign w:val="bottom"/>
            <w:gridSpan w:val="2"/>
          </w:tcPr>
          <w:p>
            <w:pPr>
              <w:ind w:left="20"/>
              <w:spacing w:after="0"/>
              <w:rPr>
                <w:sz w:val="20"/>
                <w:szCs w:val="20"/>
                <w:color w:val="auto"/>
              </w:rPr>
            </w:pPr>
            <w:r>
              <w:rPr>
                <w:rFonts w:ascii="Arial" w:cs="Arial" w:eastAsia="Arial" w:hAnsi="Arial"/>
                <w:sz w:val="16"/>
                <w:szCs w:val="16"/>
                <w:color w:val="auto"/>
              </w:rPr>
              <w:t>Distribution expenses</w:t>
            </w:r>
          </w:p>
        </w:tc>
        <w:tc>
          <w:tcPr>
            <w:tcW w:w="480" w:type="dxa"/>
            <w:vAlign w:val="bottom"/>
          </w:tcPr>
          <w:p>
            <w:pPr>
              <w:jc w:val="right"/>
              <w:spacing w:after="0"/>
              <w:rPr>
                <w:sz w:val="20"/>
                <w:szCs w:val="20"/>
                <w:color w:val="auto"/>
              </w:rPr>
            </w:pPr>
            <w:r>
              <w:rPr>
                <w:rFonts w:ascii="Arial" w:cs="Arial" w:eastAsia="Arial" w:hAnsi="Arial"/>
                <w:sz w:val="16"/>
                <w:szCs w:val="16"/>
                <w:color w:val="auto"/>
              </w:rPr>
              <w:t>8.6</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10.4</w:t>
            </w:r>
          </w:p>
        </w:tc>
      </w:tr>
      <w:tr>
        <w:trPr>
          <w:trHeight w:val="33"/>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25.7</w:t>
            </w:r>
          </w:p>
        </w:tc>
      </w:tr>
      <w:tr>
        <w:trPr>
          <w:trHeight w:val="224"/>
        </w:trPr>
        <w:tc>
          <w:tcPr>
            <w:tcW w:w="6460" w:type="dxa"/>
            <w:vAlign w:val="bottom"/>
            <w:gridSpan w:val="2"/>
          </w:tcPr>
          <w:p>
            <w:pPr>
              <w:ind w:left="20"/>
              <w:spacing w:after="0"/>
              <w:rPr>
                <w:sz w:val="20"/>
                <w:szCs w:val="20"/>
                <w:color w:val="auto"/>
              </w:rPr>
            </w:pPr>
            <w:r>
              <w:rPr>
                <w:rFonts w:ascii="Arial" w:cs="Arial" w:eastAsia="Arial" w:hAnsi="Arial"/>
                <w:sz w:val="16"/>
                <w:szCs w:val="16"/>
                <w:color w:val="auto"/>
              </w:rPr>
              <w:t>Restructuring expenses</w:t>
            </w:r>
          </w:p>
        </w:tc>
        <w:tc>
          <w:tcPr>
            <w:tcW w:w="480" w:type="dxa"/>
            <w:vAlign w:val="bottom"/>
          </w:tcPr>
          <w:p>
            <w:pPr>
              <w:jc w:val="right"/>
              <w:spacing w:after="0"/>
              <w:rPr>
                <w:sz w:val="20"/>
                <w:szCs w:val="20"/>
                <w:color w:val="auto"/>
              </w:rPr>
            </w:pPr>
            <w:r>
              <w:rPr>
                <w:rFonts w:ascii="Arial" w:cs="Arial" w:eastAsia="Arial" w:hAnsi="Arial"/>
                <w:sz w:val="16"/>
                <w:szCs w:val="16"/>
                <w:color w:val="auto"/>
              </w:rPr>
              <w:t>0.2</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w:t>
            </w:r>
          </w:p>
        </w:tc>
      </w:tr>
      <w:tr>
        <w:trPr>
          <w:trHeight w:val="33"/>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Impairment of goodwill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Income (loss) from operations</w:t>
            </w: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-0.9</w:t>
            </w:r>
          </w:p>
        </w:tc>
      </w:tr>
      <w:tr>
        <w:trPr>
          <w:trHeight w:val="33"/>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7"/>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14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7"/>
        </w:trPr>
        <w:tc>
          <w:tcPr>
            <w:tcW w:w="5600" w:type="dxa"/>
            <w:vAlign w:val="bottom"/>
          </w:tcPr>
          <w:p>
            <w:pPr>
              <w:ind w:left="20"/>
              <w:spacing w:after="0"/>
              <w:rPr>
                <w:sz w:val="20"/>
                <w:szCs w:val="20"/>
                <w:color w:val="auto"/>
              </w:rPr>
            </w:pPr>
            <w:r>
              <w:rPr>
                <w:rFonts w:ascii="Arial" w:cs="Arial" w:eastAsia="Arial" w:hAnsi="Arial"/>
                <w:sz w:val="16"/>
                <w:szCs w:val="16"/>
                <w:color w:val="auto"/>
              </w:rPr>
              <w:t>Income (loss) before income taxes and equity in earnings (losses)</w:t>
            </w: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r>
      <w:tr>
        <w:trPr>
          <w:trHeight w:val="33"/>
        </w:trPr>
        <w:tc>
          <w:tcPr>
            <w:tcW w:w="56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37"/>
        </w:trPr>
        <w:tc>
          <w:tcPr>
            <w:tcW w:w="6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24"/>
        </w:trPr>
        <w:tc>
          <w:tcPr>
            <w:tcW w:w="6460" w:type="dxa"/>
            <w:vAlign w:val="bottom"/>
            <w:gridSpan w:val="2"/>
          </w:tcPr>
          <w:p>
            <w:pPr>
              <w:ind w:left="20"/>
              <w:spacing w:after="0"/>
              <w:rPr>
                <w:sz w:val="20"/>
                <w:szCs w:val="20"/>
                <w:color w:val="auto"/>
              </w:rPr>
            </w:pPr>
            <w:r>
              <w:rPr>
                <w:rFonts w:ascii="Arial" w:cs="Arial" w:eastAsia="Arial" w:hAnsi="Arial"/>
                <w:sz w:val="16"/>
                <w:szCs w:val="16"/>
                <w:color w:val="auto"/>
              </w:rPr>
              <w:t>Equity in (losses) earnings, net of taxes</w:t>
            </w: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33"/>
        </w:trPr>
        <w:tc>
          <w:tcPr>
            <w:tcW w:w="56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75"/>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300" w:right="1660"/>
        <w:spacing w:after="0" w:line="275" w:lineRule="auto"/>
        <w:rPr>
          <w:sz w:val="20"/>
          <w:szCs w:val="20"/>
          <w:color w:val="auto"/>
        </w:rPr>
      </w:pPr>
      <w:r>
        <w:rPr>
          <w:rFonts w:ascii="Arial" w:cs="Arial" w:eastAsia="Arial" w:hAnsi="Arial"/>
          <w:sz w:val="18"/>
          <w:szCs w:val="18"/>
          <w:b w:val="1"/>
          <w:bCs w:val="1"/>
          <w:color w:val="auto"/>
        </w:rPr>
        <w:t>MANAGEMENT’S DISCUSSION AND ANALYSIS THREE MONTHS ENDED SEPTEMBER 30, 2019 COMPARED TO THE THREE MONTHS ENDED SEPTEMBER 30, 2018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Consolidated net sales for the three months ended September 30, 2019 were $215.5 million, representing an increase of $6.1 million, or 2.9%, as compared to net sales of $209.4 million for the corresponding period in 2018. In constant currency, a non-GAAP financial measure, which excludes the impact of foreign exchange fluctuations and was determined by applying 2019 average rates to 2018 local currency amounts, net sales increased $7.2 million, or 3.5 %, as compared to consolidated net sales in the corresponding period in 2018.</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sales for the U.S. segment for the three months ended September 30, 2019 were $195.2 million, an increase of $9.1 million, or 4.9%, as compared to net sales of $186.1 million for the corresponding period in 2018.</w:t>
      </w:r>
    </w:p>
    <w:p>
      <w:pPr>
        <w:spacing w:after="0" w:line="1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Net sales for the U.S. segment’s Kitchenware product category were $99.3 million for the three months ended September 30, 2019, an increase of $2.4 million, or 2.5%, as compared to $96.9 million for the corresponding period in 2018. The increase was attributable to new promotional programs for cutlery, bakeware, and Taylor branded kitchenware, in addition to higher sales within the warehouse club channel.</w:t>
      </w:r>
    </w:p>
    <w:p>
      <w:pPr>
        <w:spacing w:after="0" w:line="18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Net sales for the U.S. segment’s Tableware product category were $57.3 million for the three months ended September 30, 2019, which was consistent with net sales of $56.9 million for the corresponding period in 2018. The increase was primarily attributable to higher sales in the warehouse club channel.</w:t>
      </w:r>
    </w:p>
    <w:p>
      <w:pPr>
        <w:spacing w:after="0" w:line="12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Net sales for the U.S. segment’s Home Solutions product category were $38.6 million for the three months ended September 30, 2019, an increase of $6.3 million, or 19.5%, as compared to $32.3 million for the corresponding period in 2018. The increase was primarily attributable to increased home décor sales as a result of new program initiatives.</w:t>
      </w:r>
    </w:p>
    <w:p>
      <w:pPr>
        <w:spacing w:after="0" w:line="181"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sales for the International segment were $20.3 million for the three months ended September 30, 2019, a decrease of $3.1 million, or 13.2%, as compared to net sales of $23.4 million for the corresponding period in 2018. In constant currency, which excludes the impact of foreign exchange fluctuations, net sales decreased $1.9 million, or 8.6%, as compared to consolidated net sales in the corresponding period in 2018. The decrease in sales, and sales in constant currency, was primarily due to slower fulfillment of orders as a result of warehouse consolidation efforts performed by the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Gross margin for the three months ended September 30, 2019 was $72.9 million, or 33.8%, as compared to $73.8 million, or 35.2%, for the corresponding period in 2018.</w:t>
      </w:r>
    </w:p>
    <w:p>
      <w:pPr>
        <w:spacing w:after="0" w:line="170"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Gross margin for the U.S. segment was $67.0 million, or 34.3%, for the three months ended September 30, 2019, as compared to $65.7 million, or 35.3%, for the corresponding period in 2018. The decrease in percentage was primarily due to changes in both product and customer mix.</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U.S. segment's gross margin was negatively impacted by higher tariff rates on products imported from the People's Republic of China ("China"). This impact was partially offset by the devalued Chinese Yuan, cost concessions from vendors, packaging redesigns, and higher wholesale price points on affected inventory. Both the tariff environment and the vendor and customer community's response are highly dynamic, which can negatively or positively impact gross margin in future reporting periods.</w:t>
      </w:r>
    </w:p>
    <w:p>
      <w:pPr>
        <w:spacing w:after="0" w:line="187"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Gross margin for the International segment was $5.9 million, or 29.1%, for the three months ended September 30, 2019, as compared to $8.1 million, or 34.6%, for the corresponding period in 2018. The decrease was primarily attributable to changes in customer and product mix.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Distribution expenses for the three months ended September 30, 2019 were $18.5 million, as compared to $16.6 million for the corresponding period in 2018. Distribution expenses as a percentage of net sales were 8.6% for the three months ended September 30, 2019, as compared to 7.9% for the three months ended September 30, 2018.</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Distribution expenses as a percentage of net sales for the U.S. segment were approximately 7.2% and 7.4% for the three months ended September 30, 2019 and 2018, respectively</w:t>
      </w:r>
      <w:r>
        <w:rPr>
          <w:rFonts w:ascii="Arial" w:cs="Arial" w:eastAsia="Arial" w:hAnsi="Arial"/>
          <w:sz w:val="18"/>
          <w:szCs w:val="18"/>
          <w:i w:val="1"/>
          <w:iCs w:val="1"/>
          <w:color w:val="auto"/>
        </w:rPr>
        <w:t>.</w:t>
      </w:r>
      <w:r>
        <w:rPr>
          <w:rFonts w:ascii="Arial" w:cs="Arial" w:eastAsia="Arial" w:hAnsi="Arial"/>
          <w:sz w:val="18"/>
          <w:szCs w:val="18"/>
          <w:color w:val="auto"/>
        </w:rPr>
        <w:t xml:space="preserve"> As a percentage of sales shipped from the Company’s warehouses, distribution expenses were 8.8 % and 8.9 % for the three months ended September 30, 2019 and 2018, respectively.</w:t>
      </w:r>
    </w:p>
    <w:p>
      <w:pPr>
        <w:spacing w:after="0" w:line="18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Distribution expenses as a percentage of net sales for the International segment were 22.2% for the three months ended September 30, 2019, compared to 12.0% for the corresponding period in 2018. Distribution expenses as a percentage of sales shipped from the Company’s U.K. warehouses (excluding the moving and relocation costs for UK operations) approximated 19.1 % for the three months ended September 30, 2019 and 11.9 % for the three months ended September 30, 2018. The increase is primarily attributed to the slower fulfillment of orders and labor inefficiencies associated with setting up the new U.K. warehouse but not directly attributable to relocation costs.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Selling, general and administrative expenses for the three months ended September 30, 2019 were $37.4 million, a decrease of $4.7 million, or 11.2%, as compared to $42.1 million for the corresponding period in 2018.</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for the U.S. segment were $28.7 million for the three months ended September 30, 2019, as compared to $31.4 million for the three months ended September 30, 2018. As a percentage of net sales, selling, general and administrative expenses were 14.7% and 16.9% for the three months ended September 30, 2019 and 2018, respectively. The 2019 period reflects the synergy savings from the Filament acquisition, primarily from efficiencies in labor reduction initiatives.</w:t>
      </w:r>
    </w:p>
    <w:p>
      <w:pPr>
        <w:spacing w:after="0" w:line="18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Selling, general and administrative expenses for the three months ended September 30, 2019 for the International segment were $4.2 million, a decrease of $1.3 million, from $5.5 million for the corresponding period in 2018. The decrease was primarily due to lower overhead expenses as a result of office consolidation efforts in addition to lower direct selling expenses in the current period.</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Unallocated corporate expenses for the three months ended September 30, 2019 were $4.5 million, as compared to $5.2 million for the corresponding period in 2018. The decrease was mainly attributable to lower professional fees.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364" w:lineRule="exact"/>
        <w:rPr>
          <w:sz w:val="20"/>
          <w:szCs w:val="20"/>
          <w:color w:val="auto"/>
        </w:rPr>
      </w:pPr>
    </w:p>
    <w:p>
      <w:pPr>
        <w:jc w:val="both"/>
        <w:ind w:right="220"/>
        <w:spacing w:after="0" w:line="276" w:lineRule="auto"/>
        <w:rPr>
          <w:sz w:val="20"/>
          <w:szCs w:val="20"/>
          <w:color w:val="auto"/>
        </w:rPr>
      </w:pPr>
      <w:r>
        <w:rPr>
          <w:rFonts w:ascii="Arial" w:cs="Arial" w:eastAsia="Arial" w:hAnsi="Arial"/>
          <w:sz w:val="17"/>
          <w:szCs w:val="17"/>
          <w:color w:val="auto"/>
        </w:rPr>
        <w:t>During the third quarter of 2019, the Company’s qualitative assessment of goodwill indicated triggering events in its European kitchenware reporting unit, resulting in the Company performing a quantitative assessment, that resulted in a $9.7 million non-cash goodwill impairment charge. In the third quarter of 2018 the Company incurred a non-cash goodwill impairment charge of $2.2 million related to the European tableware business. As a result of the goodwill impairment charges taken in both the third quarter of 2019 and 2018, the Company wrote off to zero the amount of goodwill associated with the European kitchenware and tableware reporting units, acquired in 2014 and 2011, respectively.</w:t>
      </w:r>
    </w:p>
    <w:p>
      <w:pPr>
        <w:spacing w:after="0" w:line="20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Several impairment indicators for the European kitchenware business were considered by the Company including the continued uncertainties of the macro-environment in Europe as a result of the ongoing Brexit negotiations. In addition, the Company considered the decline in operating performance for the European kitchenware business, which included slower fulfillment of orders and labor inefficiencies associated with setting up the new warehouse in the U.K. While the warehouse consolidation and integration efforts were substantially complete as of September 30, 2019, the operational improvements anticipated from the consolidation of locations had not yet been fully realized as of September 30, 2019. These factors resulted in a decline in the long-term forecast for the European kitchenware business.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Interest expense was $5.2 million for three months ended September 30, 2019 and $5.6 million for the three months ended September 30, 2018. This reflects the benefit from mark to market changes from interest rate swaps not designated as effective hedges.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Income tax (provision) for the three months ended September 30, 2019 was $(15.1) million as compared to $(0.9) million for the corresponding period in 2018. The Company’s effective income tax provision rate for the three months ended September 30, 2019 was 857.5% as compared to 13.6% for the corresponding 2018 period. The effective tax rate for the three months ended September 30, 2019 differs from the federal statutory rate of 21% primarily due to state and local taxes and the</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impact of non-deductible expenses offset by a benefit for federal credits. Included within the non-deductible expenses is the European goodwill impairment of $9.7 million recorded in the three months ended September 30, 2019, which is not deductible for income tax purposes in the foreign jurisdiction. The effective tax rate for the three months ended September 30, 2018 reflects the reduced U.S. corporate income tax rate offset by state and local taxes and the impact of non-deductible expenses and increased by foreign income taxes relating to uncertain tax positions and a reduced benefit for a carryback claim in a foreign jurisdiction.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right="280"/>
        <w:spacing w:after="0" w:line="293" w:lineRule="auto"/>
        <w:rPr>
          <w:sz w:val="20"/>
          <w:szCs w:val="20"/>
          <w:color w:val="auto"/>
        </w:rPr>
      </w:pPr>
      <w:r>
        <w:rPr>
          <w:rFonts w:ascii="Arial" w:cs="Arial" w:eastAsia="Arial" w:hAnsi="Arial"/>
          <w:sz w:val="16"/>
          <w:szCs w:val="16"/>
          <w:color w:val="auto"/>
        </w:rPr>
        <w:t>Equity in (losses) earnings of Vasconia, net of taxes, was $(0.2) million for the three months ended September 30, 2019, as compared to equity in (losses) earnings of Vasconia, net of taxes, of $0.2 million for the three months ended September 30, 2018. Equity in (losses) earnings for the three months ended September 30, 2018 includes a deferred tax expense of $0.6 million due to the requirement to record tax benefits for foreign currency translation gains and losses through other comprehensive (loss) income, with a corresponding adjustment to deferred tax liabilities. Vasconia reported losses from operations of $(0.6) for the three months ended September 30, 2019, as compared to income from operations of $1.1 million for the three months ended September 30, 2018. The decrease in income from operations is primarily due to a decrease in operating income from the aluminum division.</w:t>
      </w:r>
    </w:p>
    <w:p>
      <w:pPr>
        <w:spacing w:after="0" w:line="53" w:lineRule="exact"/>
        <w:rPr>
          <w:sz w:val="20"/>
          <w:szCs w:val="20"/>
          <w:color w:val="auto"/>
        </w:rPr>
      </w:pPr>
    </w:p>
    <w:p>
      <w:pPr>
        <w:jc w:val="center"/>
        <w:ind w:left="260" w:right="1880"/>
        <w:spacing w:after="0" w:line="275" w:lineRule="auto"/>
        <w:rPr>
          <w:sz w:val="20"/>
          <w:szCs w:val="20"/>
          <w:color w:val="auto"/>
        </w:rPr>
      </w:pPr>
      <w:r>
        <w:rPr>
          <w:rFonts w:ascii="Arial" w:cs="Arial" w:eastAsia="Arial" w:hAnsi="Arial"/>
          <w:sz w:val="18"/>
          <w:szCs w:val="18"/>
          <w:b w:val="1"/>
          <w:bCs w:val="1"/>
          <w:color w:val="auto"/>
        </w:rPr>
        <w:t>MANAGEMENT’S DISCUSSION AND ANALYSIS NINE MONTHS ENDED SEPTEMBER 30, 2019 COMPARED TO THE NINE MONTHS ENDED SEPTEMBER 30, 2018</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Sales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Consolidated net sales for the nine months ended September 30, 2019 were $508.0 million, an increase of $31.7 million, or 6.7%, as compared to net sales of $476.3 million for the corresponding period in 2018. The nine months ended September 30, 2018 includes sales of $77.2 million from Filament for the period from March 2, 2018, the date of the acquisition. In constant currency, which excludes the impact of foreign exchange fluctuations, net sales increased $35.3 million, or 7.5 %, as compared to consolidated net sales in the corresponding period in 2018.</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Net sales for the U.S. segment for the nine months ended September 30, 2019 were $445.3 million, an increase of $34.3 million, or 8.3%, as compared to net sales of $411.0 million for the corresponding period in 2018.</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sales for the U.S. segment’s Kitchenware product category were $234.2 million for the nine months ended September 30, 2019, an increase of $5.8 million, or 2.6%, as compared to $228.4 million for the corresponding period in 2018. The increase was attributable to the inclusion of Filament for a full nine months in 2019, which added $11.3 million of net sales. Additionally, sale increases were driven by new program initiatives and increasing sales to the warehouse club channel, offset by lower sales for cutlery, bakeware, and pantryware products.</w:t>
      </w:r>
    </w:p>
    <w:p>
      <w:pPr>
        <w:spacing w:after="0" w:line="18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Net sales for the U.S. segment’s Tableware product category were $112.5 million for the nine months ended September 30, 2019, an increase of $0.7 million, or 0.7%, as compared to $111.8 million for the corresponding period in 2018. The increase is primarily related to higher e-commerce sales offset by sales in certain retailer programs, including close-outs, not repeating in 2019.</w:t>
      </w:r>
    </w:p>
    <w:p>
      <w:pPr>
        <w:spacing w:after="0" w:line="181"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Net sales for the U.S. segment’s Home Solutions product category were $98.6 million for the nine months ended September 30, 2019, an increase of $27.8 million, or 39.3%, as compared to $70.8 million for the corresponding period in 2018. The increase was primarily attributable to the inclusion of Filament for a full nine months in 2019, which added $16.9 million of net sales. In addition, home décor sales increased as a result of new program initiatives.</w:t>
      </w:r>
    </w:p>
    <w:p>
      <w:pPr>
        <w:spacing w:after="0" w:line="147"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color w:val="auto"/>
        </w:rPr>
        <w:t>Net sales for the International segment were $62.7 million for the nine months ended September 30, 2019, a decrease of $2.6 million, or 3.9%, as compared to net sales of $65.3 million for the corresponding period in 2018. In constant currency, which excludes the impact of foreign exchange fluctuations, net sales increased $0.9 million, or 1.4 %, as compared to consolidated net sales in the corresponding period in 2018. Both net sales and net sales in constant currency were negatively impacted by the slower fulfillment of orders as a result of warehouse consolidation efforts performed by the business.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Gross margin for the nine months ended September 30, 2019 was $171.3 million, or 33.7%, as compared to $171.0 million, or 35.9%, for the corresponding period in 2018.</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Gross margin for the U.S. segment was $149.9 million, or 33.7%, for the nine months ended September 30, 2019, as compared to $148.6 million, or 36.2%, for the corresponding period in 2018. The gross margin decrease reflects an $8.5 million charge for the SKU Rationalization initiative, offset by the $1.5 million non-recurring inventory step-up adjustment incurred in the comparative 2018 period. Excluding the SKU Rationalization and the step-up adjustment, gross margin would have been 31.2 % and 31.5 % in the 2019 and 2018 periods, respectively. The decrease was attributable to changes in customer and product mix.</w:t>
      </w:r>
    </w:p>
    <w:p>
      <w:pPr>
        <w:spacing w:after="0" w:line="18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U.S. segment's gross margin was negatively impacted by higher tariff rates on products imported from China. This impact was partially offset by the devalued Chinese Yuan, cost concessions from vendors, packaging redesigns, and higher wholesale price points on affected inventory. Both the tariff environment and the vendor and customer community's response are highly dynamic, which can negatively or positively impact gross margin in future reporting periods.</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Gross margin for the International segment was $21.4 million, or 34.1%, for the nine months ended September 30, 2019, as compared to $22.4 million, or 34.3%, for the corresponding period in 2018. The decrease was primarily attributable to changes in customer and product mix.</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expenses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Distribution expenses for the nine months ended September 30, 2019 were $49.9 million, as compared to $49.4 million for the corresponding period in 2018. Distribution expenses as a percentage of net sales were 9.8% for the nine months ended September 30, 2019, as compared to 10.4% for the nine months ended September 30, 2018.</w:t>
      </w:r>
    </w:p>
    <w:p>
      <w:pPr>
        <w:spacing w:after="0" w:line="181" w:lineRule="exact"/>
        <w:rPr>
          <w:sz w:val="20"/>
          <w:szCs w:val="20"/>
          <w:color w:val="auto"/>
        </w:rPr>
      </w:pPr>
    </w:p>
    <w:p>
      <w:pPr>
        <w:ind w:right="280"/>
        <w:spacing w:after="0" w:line="302" w:lineRule="auto"/>
        <w:rPr>
          <w:sz w:val="20"/>
          <w:szCs w:val="20"/>
          <w:color w:val="auto"/>
        </w:rPr>
      </w:pPr>
      <w:r>
        <w:rPr>
          <w:rFonts w:ascii="Arial" w:cs="Arial" w:eastAsia="Arial" w:hAnsi="Arial"/>
          <w:sz w:val="16"/>
          <w:szCs w:val="16"/>
          <w:color w:val="auto"/>
        </w:rPr>
        <w:t>Distribution expenses as a percentage of net sales for the U.S. segment were approximately 7.1% and 8.3% for the nine months ended September 30, 2019 and 2018, respectively</w:t>
      </w:r>
      <w:r>
        <w:rPr>
          <w:rFonts w:ascii="Arial" w:cs="Arial" w:eastAsia="Arial" w:hAnsi="Arial"/>
          <w:sz w:val="16"/>
          <w:szCs w:val="16"/>
          <w:i w:val="1"/>
          <w:iCs w:val="1"/>
          <w:color w:val="auto"/>
        </w:rPr>
        <w:t>.</w:t>
      </w:r>
      <w:r>
        <w:rPr>
          <w:rFonts w:ascii="Arial" w:cs="Arial" w:eastAsia="Arial" w:hAnsi="Arial"/>
          <w:sz w:val="16"/>
          <w:szCs w:val="16"/>
          <w:color w:val="auto"/>
        </w:rPr>
        <w:t xml:space="preserve"> Distribution expenses in the 2019 and 2018 periods include $0.2 million and $2.6 million, respectively, of costs related to the Company’s facility relocation efforts. As a percentage of sales shipped from the Company’s warehouses, distribution expenses, excluding the moving and relocation costs for the U.S. segment, were 10.3 % and 10.5 % for the nine months ended September 30, 2019 and 2018, respectively.</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Distribution expenses as a percentage of net sales for the International segment were approximately 15.9% and 12.7% for the nine months ended September 30, 2019 and 2018, respectively. Distribution expenses as a percentage of sales shipped from the Company’s U.K. warehouses were 14.7 % and 13.2 % for the nine months ended September 30, 2019 and 2018, respectively.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Selling, general and administrative expenses for the nine months ended September 30, 2019 were $118.4 million, a decrease of $3.9 million, or 3.1%, as compared to $122.3 million for the corresponding period in 2018.</w:t>
      </w:r>
    </w:p>
    <w:p>
      <w:pPr>
        <w:spacing w:after="0" w:line="170"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Selling, general and administrative expenses for the U.S. segment were $85.7 million for the nine months ended September 30, 2019, as compared to $90.1 million for the nine months ended September 30, 2018. As a percentage of net sales, selling, general and administrative expenses were 19.2% and 21.9% for the nine months ended September 30, 2019 and 2018, respectively. The 2019 period reflects the synergy savings from the Filament acquisition, primarily from efficiencies in labor reduction initiatives and lower rent expense. The 2018 period includes Filament from the date of acquisition only.</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Selling, general and administrative expenses for the nine months ended September 30, 2019 for the International segment were $17.6 million, an increase of $0.2 million, from $17.4 million for the corresponding period in 2018. The increase is primarily due to higher professional recruitment expenses in addition to lower market foreign exchange rate favorability experienced during the nine months ended September 30, 2018 as compared to the nine months ended September 30, 2019.</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Unallocated corporate expenses for the nine months ended September 30, 2019 were $15.1 million, as compared to $14.8 million for the corresponding period in 2018 mainly attributable to increased professional fees, partially offset by lower acquisition related expenses.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w:t>
      </w:r>
    </w:p>
    <w:p>
      <w:pPr>
        <w:spacing w:after="0" w:line="364"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During the third quarter of 2019, the Company’s qualitative assessment of goodwill indicated triggering events in its European kitchenware reporting unit, resulting in the Company performing a quantitative assessment, that resulted in a $9.7 million non-cash goodwill impairment charge. In the third quarter of 2018 the Company incurred a non-cash goodwill impairment charge of $2.2 million related to the European tableware business. As a result of the goodwill impairment charges taken in both the third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2720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quarter of 2019 and 2018, the Company wrote off to zero the amount of goodwill associated with the European kitchenware and tableware reporting units, acquired in 2014 and 2011, respectively.</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Several impairment indicators for the European kitchenware business were considered by the Company including the continued uncertainties of the macro-environment in Europe as a result of the ongoing Brexit negotiations. In addition, the Company considered the decline in operating performance for the European kitchenware business, which included slower fulfillment of orders and labor inefficiencies associated with setting up the new warehouse in the U.K. While the warehouse consolidation and integration efforts were substantially complete as of September 30, 2019, the operational improvements anticipated from the consolidation of locations had not yet been fully realized as of September 30, 2019. These factors resulted in a decline in the long-term forecast for the European kitchenware business.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21"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Interest expense for the nine months ended September 30, 2019 was $14.8 million, an decrease of $2.4 million, from $12.4 million for the nine months ended September 30, 2018. The decrease in interest expense was primarily attributable to the financing obtained in connection with the acquisition of Filament.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(provision) benefit</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Income tax (provision) benefit for the nine months ended September 30, 2019 was $(6.8) million as compared to $4.7 million for the corresponding period in 2018. The Company’s effective income tax expense rate for the nine months ended September 30, 2019 was (30.0)%, which reflects a tax expense on a pretax book loss, as compared to the effective income tax benefit rate of 27.8 % for the corresponding 2018 period. The effective tax rate for the nine months ended September 30, 2019 differs from the federal statutory rate of 21% primarily due to state and local taxes and the impact of non-deductible expenses, offset by a benefit for federal credits. Included within the non-deductible expenses is the European goodwill impairment of $9.7 million recorded in the three months ended September 30, 2019, which is not deductible for income tax purposes in the foreign jurisdiction. The effective tax rate for the nine months ended September 30, 2018 reflects the reduced statutory U.S. corporate income tax rate, increased by state and local taxes and the impact of nondeductible expenses and offset by foreign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(losses) earnings</w:t>
      </w:r>
    </w:p>
    <w:p>
      <w:pPr>
        <w:spacing w:after="0" w:line="121"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Equity in (losses) earnings of Vasconia, net of taxes, was $(0.4) million for the nine months ended September 30, 2019, as compared to equity in (losses) earnings of Vasconia, net of taxes, of $0.4 million for the nine months ended September 30, 2018. Equity in (losses) earnings for the nine months ended September 30, 2018 includes a deferred tax expense of $0.3 million due to the requirement to record tax benefits for foreign currency translation gains and losses through other comprehensive (loss) income, with a corresponding adjustment to deferred tax liabilities. Vasconia reported income from operations of $4.1 million for the nine months ended September 30, 2019, as compared to $5.9 million for the nine months ended September 30, 2018.</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Company’s principal sources of cash to fund liquidity needs are: (i) cash provided by operating activities and (ii) borrowings available under its revolving credit facility under the ABL Agreement, as defined below. The Company’s primary uses of funds consist of working capital requirements, capital expenditures, acquisitions and investments, and payments of principal and interest on its debt.</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At September 30, 2019, the Company had cash and cash equivalents of $4.8 million, compared to $7.6 million at December 31, 2018. Working capital was $261.0 million at September 30, 2019, compared to $233.9 million at December 31, 2018. Liquidity, which includes cash and cash equivalents and availability under the ABL Agreement, was approximately $60.4 million at September 30, 2019.</w:t>
      </w:r>
    </w:p>
    <w:p>
      <w:pPr>
        <w:spacing w:after="0" w:line="18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Inventory, a large component of the Company’s working capital, is expected to fluctuate from period to period, with inventory levels higher primarily in the June through October time period. The Company also expects inventory turnover to fluctuate from period to period based on product and customer mix. Certain product categories have lower inventory turnover rates as a result of minimum order quantities from the Company’s vendors or customer replenishment needs. Certain other product categories experience higher inventory turns due to lower minimum order quantities or trending sale demands. In addition, recent tariff increases resulted in higher inventory carrying costs at September 30, 2019. For the three months ended September 30, 2019, inventory turnover was 2.6 times, or 142 days, as compared to 2.7 times, or 137 days, for the three months ended September 30, 2018. The Company expects the SKU Rationalization initiative to generate increased liquidity through the</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sale of inventory during the fourth quarter of 2019. Liquidation of low-margin products should improve inventory turnover rates and reduce overall carrying costs.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27"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Company’s credit agreement (the “ABL Agreement”) with JPMorgan Chase Bank, N.A. (“JPMorgan”), includes a senior secured asset-based revolving credit facility in the maximum aggregate principal amount of $150.0 million, which will mature on February 28, 2025. The Term Loan facility will be repaid in quarterly payments, which commenced June 30, 2018, of principal equal to $275.0 million, which will mature on February 28, 2025. The Term Loan facility will be repaid in quarterly payments, which commenced June 30, 2018, of principal equal to 0.25%of the original aggregate principal amount of the Term Loan facility. The Term Loan requires the Company to make an annual prepayment of principal based upon excess cash flow (the “Excess Cash Flow”), if any. This estimated amount is recorded in the current maturity of term loan on the unaudited condensed consolidated balance sheets. The maximum borrowing amount under the ABL Agreement may be increased to up to $200.0 million, if certain conditions are met. One or more tranches of additional term loans (the “Incremental Facilities”) may be added under the Term Loan if certain conditions are met. The Incremental Facilities may not exceed the sum of</w:t>
      </w:r>
    </w:p>
    <w:p>
      <w:pPr>
        <w:spacing w:after="0" w:line="3" w:lineRule="exact"/>
        <w:rPr>
          <w:sz w:val="20"/>
          <w:szCs w:val="20"/>
          <w:color w:val="auto"/>
        </w:rPr>
      </w:pPr>
    </w:p>
    <w:p>
      <w:pPr>
        <w:ind w:right="520" w:firstLine="8"/>
        <w:spacing w:after="0" w:line="303"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$50.0 million plus (ii) an unlimited amount so long as, in the case of (ii) only, the Company’s secured net leverage ratio, as defined in and computed pursuant to the Term Loan, is no greater than 3.75 to 1.00, subject to certain limitations and for the period defined pursuant to the Term Loan.</w:t>
      </w:r>
    </w:p>
    <w:p>
      <w:pPr>
        <w:spacing w:after="0" w:line="168"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At September 30, 2019 and December 31, 2018, borrowings outstanding under the ABL Agreement were $91.2 million and $42.1 million, respectively, and open letters of credit were $3.2 million and $3.4 million, respectively. At September 30, 2019, availability under the ABL Agreement was approximately $55.6 million. 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 under may not represent actual borrowing capacity.</w:t>
      </w:r>
    </w:p>
    <w:p>
      <w:pPr>
        <w:spacing w:after="0" w:line="203"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current and non current portions of the Company’s Term Loan facility included in the condensed consolidated balance sheets are presented as follows (in thousands):</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20" w:type="dxa"/>
            <w:vAlign w:val="bottom"/>
          </w:tcPr>
          <w:p>
            <w:pPr>
              <w:spacing w:after="0"/>
              <w:rPr>
                <w:sz w:val="20"/>
                <w:szCs w:val="20"/>
                <w:color w:val="auto"/>
              </w:rPr>
            </w:pPr>
          </w:p>
        </w:tc>
        <w:tc>
          <w:tcPr>
            <w:tcW w:w="2380" w:type="dxa"/>
            <w:vAlign w:val="bottom"/>
            <w:gridSpan w:val="2"/>
          </w:tcPr>
          <w:p>
            <w:pPr>
              <w:ind w:left="360"/>
              <w:spacing w:after="0"/>
              <w:rPr>
                <w:sz w:val="20"/>
                <w:szCs w:val="20"/>
                <w:color w:val="auto"/>
              </w:rPr>
            </w:pPr>
            <w:r>
              <w:rPr>
                <w:rFonts w:ascii="Arial" w:cs="Arial" w:eastAsia="Arial" w:hAnsi="Arial"/>
                <w:sz w:val="18"/>
                <w:szCs w:val="18"/>
                <w:b w:val="1"/>
                <w:bCs w:val="1"/>
                <w:color w:val="auto"/>
              </w:rPr>
              <w:t>September 30, 2019</w:t>
            </w:r>
          </w:p>
        </w:tc>
        <w:tc>
          <w:tcPr>
            <w:tcW w:w="2300" w:type="dxa"/>
            <w:vAlign w:val="bottom"/>
          </w:tcPr>
          <w:p>
            <w:pPr>
              <w:jc w:val="right"/>
              <w:ind w:right="330"/>
              <w:spacing w:after="0"/>
              <w:rPr>
                <w:sz w:val="20"/>
                <w:szCs w:val="20"/>
                <w:color w:val="auto"/>
              </w:rPr>
            </w:pPr>
            <w:r>
              <w:rPr>
                <w:rFonts w:ascii="Arial" w:cs="Arial" w:eastAsia="Arial" w:hAnsi="Arial"/>
                <w:sz w:val="18"/>
                <w:szCs w:val="18"/>
                <w:b w:val="1"/>
                <w:bCs w:val="1"/>
                <w:color w:val="auto"/>
              </w:rPr>
              <w:t>December 31, 2018</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Term Loan facility:</w:t>
            </w:r>
          </w:p>
        </w:tc>
        <w:tc>
          <w:tcPr>
            <w:tcW w:w="22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Term Loan facility</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2,750</w:t>
            </w:r>
          </w:p>
        </w:tc>
        <w:tc>
          <w:tcPr>
            <w:tcW w:w="140" w:type="dxa"/>
            <w:vAlign w:val="bottom"/>
          </w:tcPr>
          <w:p>
            <w:pPr>
              <w:spacing w:after="0"/>
              <w:rPr>
                <w:sz w:val="21"/>
                <w:szCs w:val="21"/>
                <w:color w:val="auto"/>
              </w:rPr>
            </w:pPr>
          </w:p>
        </w:tc>
        <w:tc>
          <w:tcPr>
            <w:tcW w:w="2300" w:type="dxa"/>
            <w:vAlign w:val="bottom"/>
          </w:tcPr>
          <w:p>
            <w:pPr>
              <w:jc w:val="right"/>
              <w:ind w:right="50"/>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Estimated Excess Cash Flow payment</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c>
          <w:tcPr>
            <w:tcW w:w="1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Unamortized debt issuance costs</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(1,486)</w:t>
            </w:r>
          </w:p>
        </w:tc>
        <w:tc>
          <w:tcPr>
            <w:tcW w:w="14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portion of Term Loan facility</w:t>
            </w:r>
          </w:p>
        </w:tc>
        <w:tc>
          <w:tcPr>
            <w:tcW w:w="2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4,264</w:t>
            </w:r>
          </w:p>
        </w:tc>
        <w:tc>
          <w:tcPr>
            <w:tcW w:w="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Non Current portion of Term Loan facility:</w:t>
            </w: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672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Term Loan facility</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265,125</w:t>
            </w:r>
          </w:p>
        </w:tc>
        <w:tc>
          <w:tcPr>
            <w:tcW w:w="14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270,188</w:t>
            </w:r>
          </w:p>
        </w:tc>
        <w:tc>
          <w:tcPr>
            <w:tcW w:w="0" w:type="dxa"/>
            <w:vAlign w:val="bottom"/>
          </w:tcPr>
          <w:p>
            <w:pPr>
              <w:spacing w:after="0"/>
              <w:rPr>
                <w:sz w:val="1"/>
                <w:szCs w:val="1"/>
                <w:color w:val="auto"/>
              </w:rPr>
            </w:pP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Unamortized debt issuance costs</w:t>
            </w:r>
          </w:p>
        </w:tc>
        <w:tc>
          <w:tcPr>
            <w:tcW w:w="2240" w:type="dxa"/>
            <w:vAlign w:val="bottom"/>
          </w:tcPr>
          <w:p>
            <w:pPr>
              <w:jc w:val="right"/>
              <w:ind w:right="10"/>
              <w:spacing w:after="0"/>
              <w:rPr>
                <w:sz w:val="20"/>
                <w:szCs w:val="20"/>
                <w:color w:val="auto"/>
              </w:rPr>
            </w:pPr>
            <w:r>
              <w:rPr>
                <w:rFonts w:ascii="Arial" w:cs="Arial" w:eastAsia="Arial" w:hAnsi="Arial"/>
                <w:sz w:val="18"/>
                <w:szCs w:val="18"/>
                <w:color w:val="auto"/>
              </w:rPr>
              <w:t>(6,380)</w:t>
            </w:r>
          </w:p>
        </w:tc>
        <w:tc>
          <w:tcPr>
            <w:tcW w:w="14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(7,493)</w:t>
            </w:r>
          </w:p>
        </w:tc>
        <w:tc>
          <w:tcPr>
            <w:tcW w:w="0" w:type="dxa"/>
            <w:vAlign w:val="bottom"/>
          </w:tcPr>
          <w:p>
            <w:pPr>
              <w:spacing w:after="0"/>
              <w:rPr>
                <w:sz w:val="1"/>
                <w:szCs w:val="1"/>
                <w:color w:val="auto"/>
              </w:rPr>
            </w:pPr>
          </w:p>
        </w:tc>
      </w:tr>
      <w:tr>
        <w:trPr>
          <w:trHeight w:val="27"/>
        </w:trPr>
        <w:tc>
          <w:tcPr>
            <w:tcW w:w="672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Non Current portion of Term Loan facility</w:t>
            </w:r>
          </w:p>
        </w:tc>
        <w:tc>
          <w:tcPr>
            <w:tcW w:w="2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258,745</w:t>
            </w:r>
          </w:p>
        </w:tc>
        <w:tc>
          <w:tcPr>
            <w:tcW w:w="140" w:type="dxa"/>
            <w:vAlign w:val="bottom"/>
            <w:tcBorders>
              <w:bottom w:val="single" w:sz="8" w:color="CCEEFF"/>
            </w:tcBorders>
            <w:shd w:val="clear" w:color="auto" w:fill="CCEEFF"/>
          </w:tcPr>
          <w:p>
            <w:pPr>
              <w:spacing w:after="0"/>
              <w:rPr>
                <w:sz w:val="24"/>
                <w:szCs w:val="24"/>
                <w:color w:val="auto"/>
              </w:rPr>
            </w:pPr>
          </w:p>
        </w:tc>
        <w:tc>
          <w:tcPr>
            <w:tcW w:w="2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262,695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580"/>
        <w:spacing w:after="0" w:line="263" w:lineRule="auto"/>
        <w:rPr>
          <w:sz w:val="20"/>
          <w:szCs w:val="20"/>
          <w:color w:val="auto"/>
        </w:rPr>
      </w:pPr>
      <w:r>
        <w:rPr>
          <w:rFonts w:ascii="Arial" w:cs="Arial" w:eastAsia="Arial" w:hAnsi="Arial"/>
          <w:sz w:val="17"/>
          <w:szCs w:val="17"/>
          <w:color w:val="auto"/>
        </w:rPr>
        <w:t>Availability under the ABL Agreement depends on the valuation of certain current assets comprising the borrowing base. Due to the seasonality of the Company’s business, this may mean that the Company will have greater borrowing availability during the third and fourth quarters of each year. The borrowing capacity under the ABL Agreement will depend, in part, on eligible levels of accounts receivable and inventory that fluctuate regularly. Consequently, the $150.0 million commitment there under may not represent actual borrowing capacity.</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Company’s payment obligations under its Debt Agreements are unconditionally guaranteed by its existing and future U.S. subsidiaries with certain minor exceptions. Certain payment obligations under the ABL Agreement are also direct obligations of its foreign subsidiary borrowers designated as such under the ABL Agreement and, subject to limitations on such guaranty, are guaranteed by the foreign subsidiary borrowers, as well as by the Company. The obligations of the Company under the Debt Agreements and any hedging arrangements and cash management services and the guarantees by its domestic subsidiaries in respect of those obligations are secured by substantially all of the assets and stock (but in the case of foreign subsidiaries, limited to 65 % of the capital stock in first-tier foreign subsidiaries and not including the stock of subsidiaries of such first-tier foreign subsidiaries) owned by the Company and the U.S. subsidiary guarantors, subject to certain exceptions. Such security</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interest consists of (1) a first-priority lien, subject to certain permitted liens, with respect to certain assets of the Company and its domestic subsidiaries (the “ABL Collateral”) pledged as collateral in favor of lenders under the ABL Agreement and a second-priority lien in the ABL Collateral in favor of the lenders under the Term Loan and (2) a first-priority lien, subject to certain permitted liens, with respect to certain assets of the Company and its domestic subsidiaries (the “Term Loan Collateral”) pledged as collateral in favor of lenders under the Term Loan and a second-priority lien in the Term Loan Collateral in favor of the lenders under the ABL Agreement.</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Borrowings under the revolving credit facility bear interest, at the Company’s option, at one of the following rates: (i) alternate base rate, defined, for any day, as the greater of the prime rate, a federal funds and overnight bank funding based rate plus 0.5 % or one-month LIBOR plus 1.0 %, plus a margin of 0.25 % to 0.75 %, or (ii) LIBOR plus a margin of 1.25 % to 1.75 %. The respective margins are based upon the Company’s total leverage ratio, as defined in and computed pursuant to the ABL Agreement. Interest rates on outstanding borrowings under the ABL Agreement at September 30, 2019 ranged from 2.60 % to 6.00 %. In addition, the Company paid a commitment fee of 0.250 % to 0.375 % on the unused portion of the ABL Agreement during the nine months ended September 30, 2019.</w:t>
      </w:r>
    </w:p>
    <w:p>
      <w:pPr>
        <w:spacing w:after="0" w:line="193"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The term loan facility bears interest, at the Company’s option, at one of the following rates: (i) alternate base rate, defined, for any day, as the greater of the prime rate, a federal funds and overnight bank funding based rate plus 0.50 % or one-month LIBOR plus 1 %, plus a margin of 2.50 % or (ii) LIBOR plus a margin of 3.50 %. The interest rate on outstanding borrowings under the Term Loan at September 30, 2019 was 5.60 %.</w:t>
      </w:r>
    </w:p>
    <w:p>
      <w:pPr>
        <w:spacing w:after="0" w:line="166"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Debt Agreements provide for customary restrictions and events of default. Restrictions include limitations on additional indebtedness, acquisitions, investments and payment of dividends, among other things. Further, the ABL Agreement provides that during any period (a) commencing on the last day of the most recently ended four consecutive fiscal quarters on or prior to the date availability under the ABL Agreement is less than the greater of $15.0 million and 10 % of the aggregate commitment under the ABL Agreement at any time and (b) ending on the day after such availability has exceeded the greater of $15.0 million and 10 % of the aggregate commitment under the ABL Agreement for forty-five (45) consecutive days, the Company is required to maintain a minimum fixed charge coverage ratio of 1.10 to 1.00 as of the last day of any period of four consecutive fiscal quarters.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the covenants of the Debt Agreements at September 30, 2019.</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expects that it will continue to borrow, subject to availability, and repay funds under the ABL Agreement based on working capital and other corporate needs.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Calculations</w:t>
      </w:r>
    </w:p>
    <w:p>
      <w:pPr>
        <w:spacing w:after="0" w:line="11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Consolidated adjusted EBITDA (a non-GAAP financial measure), which is defined in the Company’s Debt Agreements, is used in the calculation of the Fixed Charge Coverage Ratio, Secured Net Leverage Ratio, Total Leverage Ratio and Total Net Leverage Ratio, which are required to be provided to the Company’s lenders pursuant to its Debt Agreements.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Company’s consolidated adjusted EBITDA, for the last four fiscal quarters: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Consolidated adjusted EBITDA</w:t>
            </w:r>
          </w:p>
        </w:tc>
      </w:tr>
      <w:tr>
        <w:trPr>
          <w:trHeight w:val="149"/>
        </w:trPr>
        <w:tc>
          <w:tcPr>
            <w:tcW w:w="9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4"/>
              </w:rPr>
              <w:t>for the Four Quarters Ended</w:t>
            </w:r>
          </w:p>
        </w:tc>
      </w:tr>
      <w:tr>
        <w:trPr>
          <w:trHeight w:val="192"/>
        </w:trPr>
        <w:tc>
          <w:tcPr>
            <w:tcW w:w="9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1"/>
              </w:rPr>
              <w:t>September 30, 2019</w:t>
            </w:r>
          </w:p>
        </w:tc>
      </w:tr>
      <w:tr>
        <w:trPr>
          <w:trHeight w:val="196"/>
        </w:trPr>
        <w:tc>
          <w:tcPr>
            <w:tcW w:w="9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60" w:type="dxa"/>
            <w:vAlign w:val="bottom"/>
          </w:tcPr>
          <w:p>
            <w:pPr>
              <w:jc w:val="center"/>
              <w:ind w:right="55"/>
              <w:spacing w:after="0"/>
              <w:rPr>
                <w:sz w:val="20"/>
                <w:szCs w:val="20"/>
                <w:color w:val="auto"/>
              </w:rPr>
            </w:pPr>
            <w:r>
              <w:rPr>
                <w:rFonts w:ascii="Arial" w:cs="Arial" w:eastAsia="Arial" w:hAnsi="Arial"/>
                <w:sz w:val="14"/>
                <w:szCs w:val="14"/>
                <w:color w:val="auto"/>
                <w:w w:val="92"/>
              </w:rPr>
              <w:t>(in thousands)</w:t>
            </w:r>
          </w:p>
        </w:tc>
      </w:tr>
      <w:tr>
        <w:trPr>
          <w:trHeight w:val="256"/>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September 30, 2019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25,758</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Three months ended June 30, 2019</w:t>
            </w:r>
          </w:p>
        </w:tc>
        <w:tc>
          <w:tcPr>
            <w:tcW w:w="140" w:type="dxa"/>
            <w:vAlign w:val="bottom"/>
          </w:tcPr>
          <w:p>
            <w:pPr>
              <w:spacing w:after="0"/>
              <w:rPr>
                <w:sz w:val="21"/>
                <w:szCs w:val="21"/>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4,306</w:t>
            </w:r>
          </w:p>
        </w:tc>
      </w:tr>
      <w:tr>
        <w:trPr>
          <w:trHeight w:val="27"/>
        </w:trPr>
        <w:tc>
          <w:tcPr>
            <w:tcW w:w="9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2019</w:t>
            </w:r>
          </w:p>
        </w:tc>
        <w:tc>
          <w:tcPr>
            <w:tcW w:w="1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6,127</w:t>
            </w:r>
          </w:p>
        </w:tc>
      </w:tr>
      <w:tr>
        <w:trPr>
          <w:trHeight w:val="243"/>
        </w:trPr>
        <w:tc>
          <w:tcPr>
            <w:tcW w:w="9300" w:type="dxa"/>
            <w:vAlign w:val="bottom"/>
          </w:tcPr>
          <w:p>
            <w:pPr>
              <w:ind w:left="20"/>
              <w:spacing w:after="0"/>
              <w:rPr>
                <w:sz w:val="20"/>
                <w:szCs w:val="20"/>
                <w:color w:val="auto"/>
              </w:rPr>
            </w:pPr>
            <w:r>
              <w:rPr>
                <w:rFonts w:ascii="Arial" w:cs="Arial" w:eastAsia="Arial" w:hAnsi="Arial"/>
                <w:sz w:val="18"/>
                <w:szCs w:val="18"/>
                <w:color w:val="auto"/>
              </w:rPr>
              <w:t>Three months ended December 31, 2018</w:t>
            </w:r>
          </w:p>
        </w:tc>
        <w:tc>
          <w:tcPr>
            <w:tcW w:w="140" w:type="dxa"/>
            <w:vAlign w:val="bottom"/>
          </w:tcPr>
          <w:p>
            <w:pPr>
              <w:spacing w:after="0"/>
              <w:rPr>
                <w:sz w:val="21"/>
                <w:szCs w:val="21"/>
                <w:color w:val="auto"/>
              </w:rPr>
            </w:pPr>
          </w:p>
        </w:tc>
        <w:tc>
          <w:tcPr>
            <w:tcW w:w="1960" w:type="dxa"/>
            <w:vAlign w:val="bottom"/>
          </w:tcPr>
          <w:p>
            <w:pPr>
              <w:jc w:val="right"/>
              <w:ind w:right="55"/>
              <w:spacing w:after="0"/>
              <w:rPr>
                <w:sz w:val="20"/>
                <w:szCs w:val="20"/>
                <w:color w:val="auto"/>
              </w:rPr>
            </w:pPr>
            <w:r>
              <w:rPr>
                <w:rFonts w:ascii="Arial" w:cs="Arial" w:eastAsia="Arial" w:hAnsi="Arial"/>
                <w:sz w:val="18"/>
                <w:szCs w:val="18"/>
                <w:color w:val="auto"/>
              </w:rPr>
              <w:t>30,876</w:t>
            </w:r>
          </w:p>
        </w:tc>
      </w:tr>
      <w:tr>
        <w:trPr>
          <w:trHeight w:val="27"/>
        </w:trPr>
        <w:tc>
          <w:tcPr>
            <w:tcW w:w="9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projected synergies</w:t>
            </w: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2,523</w:t>
            </w:r>
          </w:p>
        </w:tc>
      </w:tr>
      <w:tr>
        <w:trPr>
          <w:trHeight w:val="237"/>
        </w:trPr>
        <w:tc>
          <w:tcPr>
            <w:tcW w:w="9300" w:type="dxa"/>
            <w:vAlign w:val="bottom"/>
          </w:tcPr>
          <w:p>
            <w:pPr>
              <w:ind w:left="20"/>
              <w:spacing w:after="0"/>
              <w:rPr>
                <w:sz w:val="20"/>
                <w:szCs w:val="20"/>
                <w:color w:val="auto"/>
              </w:rPr>
            </w:pPr>
            <w:r>
              <w:rPr>
                <w:rFonts w:ascii="Arial" w:cs="Arial" w:eastAsia="Arial" w:hAnsi="Arial"/>
                <w:sz w:val="18"/>
                <w:szCs w:val="18"/>
                <w:color w:val="auto"/>
              </w:rPr>
              <w:t>Consolidated adjusted EBITDA, before limitation</w:t>
            </w:r>
          </w:p>
        </w:tc>
        <w:tc>
          <w:tcPr>
            <w:tcW w:w="140" w:type="dxa"/>
            <w:vAlign w:val="bottom"/>
            <w:tcBorders>
              <w:top w:val="single" w:sz="8" w:color="auto"/>
            </w:tcBorders>
          </w:tcPr>
          <w:p>
            <w:pPr>
              <w:spacing w:after="0"/>
              <w:rPr>
                <w:sz w:val="20"/>
                <w:szCs w:val="20"/>
                <w:color w:val="auto"/>
              </w:rPr>
            </w:pPr>
          </w:p>
        </w:tc>
        <w:tc>
          <w:tcPr>
            <w:tcW w:w="1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69,590</w:t>
            </w:r>
          </w:p>
        </w:tc>
      </w:tr>
      <w:tr>
        <w:trPr>
          <w:trHeight w:val="27"/>
        </w:trPr>
        <w:tc>
          <w:tcPr>
            <w:tcW w:w="9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70"/>
        </w:trPr>
        <w:tc>
          <w:tcPr>
            <w:tcW w:w="93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Permitted non-recurring charge limitation</w:t>
            </w:r>
          </w:p>
        </w:tc>
        <w:tc>
          <w:tcPr>
            <w:tcW w:w="14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(8,471)</w:t>
            </w:r>
          </w:p>
        </w:tc>
      </w:tr>
      <w:tr>
        <w:trPr>
          <w:trHeight w:val="237"/>
        </w:trPr>
        <w:tc>
          <w:tcPr>
            <w:tcW w:w="9300" w:type="dxa"/>
            <w:vAlign w:val="bottom"/>
          </w:tcPr>
          <w:p>
            <w:pPr>
              <w:ind w:left="20"/>
              <w:spacing w:after="0"/>
              <w:rPr>
                <w:sz w:val="20"/>
                <w:szCs w:val="20"/>
                <w:color w:val="auto"/>
              </w:rPr>
            </w:pPr>
            <w:r>
              <w:rPr>
                <w:rFonts w:ascii="Arial" w:cs="Arial" w:eastAsia="Arial" w:hAnsi="Arial"/>
                <w:sz w:val="18"/>
                <w:szCs w:val="18"/>
                <w:color w:val="auto"/>
              </w:rPr>
              <w:t>Consolidated adjusted EBITDA</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61,119</w:t>
            </w:r>
          </w:p>
        </w:tc>
      </w:tr>
      <w:tr>
        <w:trPr>
          <w:trHeight w:val="27"/>
        </w:trPr>
        <w:tc>
          <w:tcPr>
            <w:tcW w:w="9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1"/>
        </w:trPr>
        <w:tc>
          <w:tcPr>
            <w:tcW w:w="9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for the nine months ended September 30, 2019 were $7.6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financial measure</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Consolidated adjusted EBITDA is a non-GAAP financial measure within the meaning of Regulation G and Item 10(e) of Regulation S-K, each promulgated by the Securities and Exchange Commission. This measure is provided because management of the Company uses this financial measure in evaluating the Company’s on-going financial results and trends, and management believes that exclusion of certain items allows for more accurate comparison of the Company’s operating performance by investors and analysts. Management also uses this non-GAAP information as an indicator of business performance. Consolidated adjusted EBITDA, as discussed above, is also one of the measures used to calculate financial covenants required to be provided to the Company’s lenders pursuant to its Debt Agreements.</w:t>
      </w:r>
    </w:p>
    <w:p>
      <w:pPr>
        <w:spacing w:after="0" w:line="19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Investors should consider this non-GAAP financial measure in addition to, and not as a substitute for, the Company’s financial performance measures prepared in accordance with GAAP. Further, the Company’s non-GAAP information may be different from the non-GAAP information provided by other companies including other companies within the home retail industry.</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net (loss) income, as reported, to consolidated adjusted EBITDA, for the four quarters ended September 30, 2019:</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50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6"/>
                <w:szCs w:val="16"/>
                <w:b w:val="1"/>
                <w:bCs w:val="1"/>
                <w:color w:val="auto"/>
                <w:w w:val="92"/>
              </w:rPr>
              <w:t>Twelve Months</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22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30,</w:t>
            </w:r>
          </w:p>
        </w:tc>
        <w:tc>
          <w:tcPr>
            <w:tcW w:w="16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auto"/>
                <w:w w:val="91"/>
              </w:rPr>
              <w:t>Ended September</w:t>
            </w:r>
          </w:p>
        </w:tc>
        <w:tc>
          <w:tcPr>
            <w:tcW w:w="0" w:type="dxa"/>
            <w:vAlign w:val="bottom"/>
          </w:tcPr>
          <w:p>
            <w:pPr>
              <w:spacing w:after="0"/>
              <w:rPr>
                <w:sz w:val="1"/>
                <w:szCs w:val="1"/>
                <w:color w:val="auto"/>
              </w:rPr>
            </w:pPr>
          </w:p>
        </w:tc>
      </w:tr>
      <w:tr>
        <w:trPr>
          <w:trHeight w:val="234"/>
        </w:trPr>
        <w:tc>
          <w:tcPr>
            <w:tcW w:w="3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58"/>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8"/>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jc w:val="right"/>
              <w:ind w:right="458"/>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8"/>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center"/>
              <w:ind w:right="19"/>
              <w:spacing w:after="0"/>
              <w:rPr>
                <w:sz w:val="20"/>
                <w:szCs w:val="20"/>
                <w:color w:val="auto"/>
              </w:rPr>
            </w:pPr>
            <w:r>
              <w:rPr>
                <w:rFonts w:ascii="Arial" w:cs="Arial" w:eastAsia="Arial" w:hAnsi="Arial"/>
                <w:sz w:val="16"/>
                <w:szCs w:val="16"/>
                <w:b w:val="1"/>
                <w:bCs w:val="1"/>
                <w:color w:val="auto"/>
                <w:w w:val="89"/>
              </w:rPr>
              <w:t>30, 2019</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6"/>
                <w:szCs w:val="16"/>
                <w:color w:val="auto"/>
              </w:rPr>
              <w:t>(in thousands)</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4"/>
        </w:trPr>
        <w:tc>
          <w:tcPr>
            <w:tcW w:w="3660" w:type="dxa"/>
            <w:vAlign w:val="bottom"/>
          </w:tcPr>
          <w:p>
            <w:pPr>
              <w:ind w:left="20"/>
              <w:spacing w:after="0"/>
              <w:rPr>
                <w:sz w:val="20"/>
                <w:szCs w:val="20"/>
                <w:color w:val="auto"/>
              </w:rPr>
            </w:pPr>
            <w:r>
              <w:rPr>
                <w:rFonts w:ascii="Arial" w:cs="Arial" w:eastAsia="Arial" w:hAnsi="Arial"/>
                <w:sz w:val="16"/>
                <w:szCs w:val="16"/>
                <w:color w:val="auto"/>
              </w:rPr>
              <w:t>Net (loss) income as reported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9,987</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(4,867)</w:t>
            </w:r>
          </w:p>
        </w:tc>
        <w:tc>
          <w:tcPr>
            <w:tcW w:w="120" w:type="dxa"/>
            <w:vAlign w:val="bottom"/>
          </w:tcPr>
          <w:p>
            <w:pPr>
              <w:spacing w:after="0"/>
              <w:rPr>
                <w:sz w:val="22"/>
                <w:szCs w:val="22"/>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(11,513)</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8"/>
              <w:spacing w:after="0"/>
              <w:rPr>
                <w:sz w:val="20"/>
                <w:szCs w:val="20"/>
                <w:color w:val="auto"/>
              </w:rPr>
            </w:pPr>
            <w:r>
              <w:rPr>
                <w:rFonts w:ascii="Arial" w:cs="Arial" w:eastAsia="Arial" w:hAnsi="Arial"/>
                <w:sz w:val="16"/>
                <w:szCs w:val="16"/>
                <w:color w:val="auto"/>
              </w:rPr>
              <w:t>(13,519)</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(19,912)</w:t>
            </w:r>
          </w:p>
        </w:tc>
        <w:tc>
          <w:tcPr>
            <w:tcW w:w="0" w:type="dxa"/>
            <w:vAlign w:val="bottom"/>
          </w:tcPr>
          <w:p>
            <w:pPr>
              <w:spacing w:after="0"/>
              <w:rPr>
                <w:sz w:val="1"/>
                <w:szCs w:val="1"/>
                <w:color w:val="auto"/>
              </w:rPr>
            </w:pPr>
          </w:p>
        </w:tc>
      </w:tr>
      <w:tr>
        <w:trPr>
          <w:trHeight w:val="260"/>
        </w:trPr>
        <w:tc>
          <w:tcPr>
            <w:tcW w:w="36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Undistributed equity (earnings) losses, net</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6"/>
                <w:szCs w:val="16"/>
                <w:color w:val="auto"/>
              </w:rPr>
              <w:t>(128)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116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254"/>
        </w:trPr>
        <w:tc>
          <w:tcPr>
            <w:tcW w:w="3660" w:type="dxa"/>
            <w:vAlign w:val="bottom"/>
          </w:tcPr>
          <w:p>
            <w:pPr>
              <w:ind w:left="360"/>
              <w:spacing w:after="0"/>
              <w:rPr>
                <w:sz w:val="20"/>
                <w:szCs w:val="20"/>
                <w:color w:val="auto"/>
              </w:rPr>
            </w:pPr>
            <w:r>
              <w:rPr>
                <w:rFonts w:ascii="Arial" w:cs="Arial" w:eastAsia="Arial" w:hAnsi="Arial"/>
                <w:sz w:val="16"/>
                <w:szCs w:val="16"/>
                <w:color w:val="auto"/>
              </w:rPr>
              <w:t>Income tax (provision) benefit</w:t>
            </w:r>
          </w:p>
        </w:tc>
        <w:tc>
          <w:tcPr>
            <w:tcW w:w="160" w:type="dxa"/>
            <w:vAlign w:val="bottom"/>
          </w:tcPr>
          <w:p>
            <w:pPr>
              <w:spacing w:after="0"/>
              <w:rPr>
                <w:sz w:val="22"/>
                <w:szCs w:val="22"/>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7,558</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18"/>
              <w:spacing w:after="0"/>
              <w:rPr>
                <w:sz w:val="20"/>
                <w:szCs w:val="20"/>
                <w:color w:val="auto"/>
              </w:rPr>
            </w:pPr>
            <w:r>
              <w:rPr>
                <w:rFonts w:ascii="Arial" w:cs="Arial" w:eastAsia="Arial" w:hAnsi="Arial"/>
                <w:sz w:val="16"/>
                <w:szCs w:val="16"/>
                <w:color w:val="auto"/>
              </w:rPr>
              <w:t>(2,458)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18"/>
              <w:spacing w:after="0"/>
              <w:rPr>
                <w:sz w:val="20"/>
                <w:szCs w:val="20"/>
                <w:color w:val="auto"/>
              </w:rPr>
            </w:pPr>
            <w:r>
              <w:rPr>
                <w:rFonts w:ascii="Arial" w:cs="Arial" w:eastAsia="Arial" w:hAnsi="Arial"/>
                <w:sz w:val="16"/>
                <w:szCs w:val="16"/>
                <w:color w:val="auto"/>
              </w:rPr>
              <w:t>(5,795)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15,066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14,371</w:t>
            </w:r>
          </w:p>
        </w:tc>
        <w:tc>
          <w:tcPr>
            <w:tcW w:w="0" w:type="dxa"/>
            <w:vAlign w:val="bottom"/>
          </w:tcPr>
          <w:p>
            <w:pPr>
              <w:spacing w:after="0"/>
              <w:rPr>
                <w:sz w:val="1"/>
                <w:szCs w:val="1"/>
                <w:color w:val="auto"/>
              </w:rPr>
            </w:pPr>
          </w:p>
        </w:tc>
      </w:tr>
      <w:tr>
        <w:trPr>
          <w:trHeight w:val="240"/>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6"/>
                <w:szCs w:val="16"/>
                <w:color w:val="auto"/>
              </w:rPr>
              <w:t>5,591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4,922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4,694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5,172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20,379</w:t>
            </w:r>
          </w:p>
        </w:tc>
        <w:tc>
          <w:tcPr>
            <w:tcW w:w="0" w:type="dxa"/>
            <w:vAlign w:val="bottom"/>
          </w:tcPr>
          <w:p>
            <w:pPr>
              <w:spacing w:after="0"/>
              <w:rPr>
                <w:sz w:val="1"/>
                <w:szCs w:val="1"/>
                <w:color w:val="auto"/>
              </w:rPr>
            </w:pPr>
          </w:p>
        </w:tc>
      </w:tr>
      <w:tr>
        <w:trPr>
          <w:trHeight w:val="224"/>
        </w:trPr>
        <w:tc>
          <w:tcPr>
            <w:tcW w:w="366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6,522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6,359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6,290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6,122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25,293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Impairment of goodwill</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9,748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9,748</w:t>
            </w:r>
          </w:p>
        </w:tc>
        <w:tc>
          <w:tcPr>
            <w:tcW w:w="0" w:type="dxa"/>
            <w:vAlign w:val="bottom"/>
          </w:tcPr>
          <w:p>
            <w:pPr>
              <w:spacing w:after="0"/>
              <w:rPr>
                <w:sz w:val="1"/>
                <w:szCs w:val="1"/>
                <w:color w:val="auto"/>
              </w:rPr>
            </w:pPr>
          </w:p>
        </w:tc>
      </w:tr>
      <w:tr>
        <w:trPr>
          <w:trHeight w:val="224"/>
        </w:trPr>
        <w:tc>
          <w:tcPr>
            <w:tcW w:w="3660" w:type="dxa"/>
            <w:vAlign w:val="bottom"/>
          </w:tcPr>
          <w:p>
            <w:pPr>
              <w:ind w:left="34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1,108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1,193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1,505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4,713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Contingent consideration fair value adjustment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6"/>
                <w:szCs w:val="16"/>
                <w:color w:val="auto"/>
              </w:rPr>
              <w:t>(1,774)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(1,774)</w:t>
            </w:r>
          </w:p>
        </w:tc>
        <w:tc>
          <w:tcPr>
            <w:tcW w:w="0" w:type="dxa"/>
            <w:vAlign w:val="bottom"/>
          </w:tcPr>
          <w:p>
            <w:pPr>
              <w:spacing w:after="0"/>
              <w:rPr>
                <w:sz w:val="1"/>
                <w:szCs w:val="1"/>
                <w:color w:val="auto"/>
              </w:rPr>
            </w:pPr>
          </w:p>
        </w:tc>
      </w:tr>
      <w:tr>
        <w:trPr>
          <w:trHeight w:val="224"/>
        </w:trPr>
        <w:tc>
          <w:tcPr>
            <w:tcW w:w="3660" w:type="dxa"/>
            <w:vAlign w:val="bottom"/>
          </w:tcPr>
          <w:p>
            <w:pPr>
              <w:ind w:left="340"/>
              <w:spacing w:after="0"/>
              <w:rPr>
                <w:sz w:val="20"/>
                <w:szCs w:val="20"/>
                <w:color w:val="auto"/>
              </w:rPr>
            </w:pPr>
            <w:r>
              <w:rPr>
                <w:rFonts w:ascii="Arial" w:cs="Arial" w:eastAsia="Arial" w:hAnsi="Arial"/>
                <w:sz w:val="16"/>
                <w:szCs w:val="16"/>
                <w:color w:val="auto"/>
              </w:rPr>
              <w:t>Unrealized gain on foreign currency contracts</w:t>
            </w:r>
          </w:p>
        </w:tc>
        <w:tc>
          <w:tcPr>
            <w:tcW w:w="160" w:type="dxa"/>
            <w:vAlign w:val="bottom"/>
          </w:tcPr>
          <w:p>
            <w:pPr>
              <w:spacing w:after="0"/>
              <w:rPr>
                <w:sz w:val="19"/>
                <w:szCs w:val="19"/>
                <w:color w:val="auto"/>
              </w:rPr>
            </w:pPr>
          </w:p>
        </w:tc>
        <w:tc>
          <w:tcPr>
            <w:tcW w:w="1300" w:type="dxa"/>
            <w:vAlign w:val="bottom"/>
          </w:tcPr>
          <w:p>
            <w:pPr>
              <w:jc w:val="right"/>
              <w:ind w:right="38"/>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36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SKU Rationalization (1)</w:t>
            </w:r>
          </w:p>
        </w:tc>
        <w:tc>
          <w:tcPr>
            <w:tcW w:w="16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8,500</w:t>
            </w:r>
          </w:p>
        </w:tc>
        <w:tc>
          <w:tcPr>
            <w:tcW w:w="0" w:type="dxa"/>
            <w:vAlign w:val="bottom"/>
          </w:tcPr>
          <w:p>
            <w:pPr>
              <w:spacing w:after="0"/>
              <w:rPr>
                <w:sz w:val="1"/>
                <w:szCs w:val="1"/>
                <w:color w:val="auto"/>
              </w:rPr>
            </w:pPr>
          </w:p>
        </w:tc>
      </w:tr>
      <w:tr>
        <w:trPr>
          <w:trHeight w:val="224"/>
        </w:trPr>
        <w:tc>
          <w:tcPr>
            <w:tcW w:w="3660" w:type="dxa"/>
            <w:vAlign w:val="bottom"/>
          </w:tcPr>
          <w:p>
            <w:pPr>
              <w:ind w:left="340"/>
              <w:spacing w:after="0"/>
              <w:rPr>
                <w:sz w:val="20"/>
                <w:szCs w:val="20"/>
                <w:color w:val="auto"/>
              </w:rPr>
            </w:pPr>
            <w:r>
              <w:rPr>
                <w:rFonts w:ascii="Arial" w:cs="Arial" w:eastAsia="Arial" w:hAnsi="Arial"/>
                <w:sz w:val="16"/>
                <w:szCs w:val="16"/>
                <w:color w:val="auto"/>
              </w:rPr>
              <w:t>Acquisition related expenses and divestments</w:t>
            </w:r>
          </w:p>
        </w:tc>
        <w:tc>
          <w:tcPr>
            <w:tcW w:w="160" w:type="dxa"/>
            <w:vAlign w:val="bottom"/>
          </w:tcPr>
          <w:p>
            <w:pPr>
              <w:spacing w:after="0"/>
              <w:rPr>
                <w:sz w:val="19"/>
                <w:szCs w:val="19"/>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523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674</w:t>
            </w:r>
          </w:p>
        </w:tc>
        <w:tc>
          <w:tcPr>
            <w:tcW w:w="0" w:type="dxa"/>
            <w:vAlign w:val="bottom"/>
          </w:tcPr>
          <w:p>
            <w:pPr>
              <w:spacing w:after="0"/>
              <w:rPr>
                <w:sz w:val="1"/>
                <w:szCs w:val="1"/>
                <w:color w:val="auto"/>
              </w:rPr>
            </w:pPr>
          </w:p>
        </w:tc>
      </w:tr>
      <w:tr>
        <w:trPr>
          <w:trHeight w:val="33"/>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3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Restructuring expenses (1)</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971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173</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338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54"/>
        </w:trPr>
        <w:tc>
          <w:tcPr>
            <w:tcW w:w="3660" w:type="dxa"/>
            <w:vAlign w:val="bottom"/>
          </w:tcPr>
          <w:p>
            <w:pPr>
              <w:ind w:left="400"/>
              <w:spacing w:after="0"/>
              <w:rPr>
                <w:sz w:val="20"/>
                <w:szCs w:val="20"/>
                <w:color w:val="auto"/>
              </w:rPr>
            </w:pPr>
            <w:r>
              <w:rPr>
                <w:rFonts w:ascii="Arial" w:cs="Arial" w:eastAsia="Arial" w:hAnsi="Arial"/>
                <w:sz w:val="16"/>
                <w:szCs w:val="16"/>
                <w:color w:val="auto"/>
              </w:rPr>
              <w:t>Integration charges (1)</w:t>
            </w:r>
          </w:p>
        </w:tc>
        <w:tc>
          <w:tcPr>
            <w:tcW w:w="160" w:type="dxa"/>
            <w:vAlign w:val="bottom"/>
          </w:tcPr>
          <w:p>
            <w:pPr>
              <w:spacing w:after="0"/>
              <w:rPr>
                <w:sz w:val="22"/>
                <w:szCs w:val="22"/>
                <w:color w:val="auto"/>
              </w:rPr>
            </w:pPr>
          </w:p>
        </w:tc>
        <w:tc>
          <w:tcPr>
            <w:tcW w:w="1300" w:type="dxa"/>
            <w:vAlign w:val="bottom"/>
          </w:tcPr>
          <w:p>
            <w:pPr>
              <w:jc w:val="right"/>
              <w:ind w:right="78"/>
              <w:spacing w:after="0"/>
              <w:rPr>
                <w:sz w:val="20"/>
                <w:szCs w:val="20"/>
                <w:color w:val="auto"/>
              </w:rPr>
            </w:pPr>
            <w:r>
              <w:rPr>
                <w:rFonts w:ascii="Arial" w:cs="Arial" w:eastAsia="Arial" w:hAnsi="Arial"/>
                <w:sz w:val="16"/>
                <w:szCs w:val="16"/>
                <w:color w:val="auto"/>
              </w:rPr>
              <w:t>433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jc w:val="right"/>
              <w:ind w:right="58"/>
              <w:spacing w:after="0"/>
              <w:rPr>
                <w:sz w:val="20"/>
                <w:szCs w:val="20"/>
                <w:color w:val="auto"/>
              </w:rPr>
            </w:pPr>
            <w:r>
              <w:rPr>
                <w:rFonts w:ascii="Arial" w:cs="Arial" w:eastAsia="Arial" w:hAnsi="Arial"/>
                <w:sz w:val="16"/>
                <w:szCs w:val="16"/>
                <w:color w:val="auto"/>
              </w:rPr>
              <w:t>174</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tcPr>
          <w:p>
            <w:pPr>
              <w:jc w:val="right"/>
              <w:ind w:right="58"/>
              <w:spacing w:after="0"/>
              <w:rPr>
                <w:sz w:val="20"/>
                <w:szCs w:val="20"/>
                <w:color w:val="auto"/>
              </w:rPr>
            </w:pPr>
            <w:r>
              <w:rPr>
                <w:rFonts w:ascii="Arial" w:cs="Arial" w:eastAsia="Arial" w:hAnsi="Arial"/>
                <w:sz w:val="16"/>
                <w:szCs w:val="16"/>
                <w:color w:val="auto"/>
              </w:rPr>
              <w:t>695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jc w:val="right"/>
              <w:ind w:right="58"/>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1,537</w:t>
            </w:r>
          </w:p>
        </w:tc>
        <w:tc>
          <w:tcPr>
            <w:tcW w:w="0" w:type="dxa"/>
            <w:vAlign w:val="bottom"/>
          </w:tcPr>
          <w:p>
            <w:pPr>
              <w:spacing w:after="0"/>
              <w:rPr>
                <w:sz w:val="1"/>
                <w:szCs w:val="1"/>
                <w:color w:val="auto"/>
              </w:rPr>
            </w:pPr>
          </w:p>
        </w:tc>
      </w:tr>
      <w:tr>
        <w:trPr>
          <w:trHeight w:val="260"/>
        </w:trPr>
        <w:tc>
          <w:tcPr>
            <w:tcW w:w="3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Warehouse relocation (1)</w:t>
            </w: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8"/>
              <w:spacing w:after="0"/>
              <w:rPr>
                <w:sz w:val="20"/>
                <w:szCs w:val="20"/>
                <w:color w:val="auto"/>
              </w:rPr>
            </w:pPr>
            <w:r>
              <w:rPr>
                <w:rFonts w:ascii="Arial" w:cs="Arial" w:eastAsia="Arial" w:hAnsi="Arial"/>
                <w:sz w:val="16"/>
                <w:szCs w:val="16"/>
                <w:color w:val="auto"/>
              </w:rPr>
              <w:t>881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54"/>
        </w:trPr>
        <w:tc>
          <w:tcPr>
            <w:tcW w:w="3660" w:type="dxa"/>
            <w:vAlign w:val="bottom"/>
          </w:tcPr>
          <w:p>
            <w:pPr>
              <w:ind w:left="400"/>
              <w:spacing w:after="0"/>
              <w:rPr>
                <w:sz w:val="20"/>
                <w:szCs w:val="20"/>
                <w:color w:val="auto"/>
              </w:rPr>
            </w:pPr>
            <w:r>
              <w:rPr>
                <w:rFonts w:ascii="Arial" w:cs="Arial" w:eastAsia="Arial" w:hAnsi="Arial"/>
                <w:sz w:val="16"/>
                <w:szCs w:val="16"/>
                <w:color w:val="auto"/>
              </w:rPr>
              <w:t>Projected synergies (2)</w:t>
            </w:r>
          </w:p>
        </w:tc>
        <w:tc>
          <w:tcPr>
            <w:tcW w:w="160" w:type="dxa"/>
            <w:vAlign w:val="bottom"/>
          </w:tcPr>
          <w:p>
            <w:pPr>
              <w:spacing w:after="0"/>
              <w:rPr>
                <w:sz w:val="22"/>
                <w:szCs w:val="22"/>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340" w:type="dxa"/>
            <w:vAlign w:val="bottom"/>
          </w:tcPr>
          <w:p>
            <w:pPr>
              <w:jc w:val="right"/>
              <w:ind w:right="59"/>
              <w:spacing w:after="0"/>
              <w:rPr>
                <w:sz w:val="20"/>
                <w:szCs w:val="20"/>
                <w:color w:val="auto"/>
              </w:rPr>
            </w:pPr>
            <w:r>
              <w:rPr>
                <w:rFonts w:ascii="Arial" w:cs="Arial" w:eastAsia="Arial" w:hAnsi="Arial"/>
                <w:sz w:val="16"/>
                <w:szCs w:val="16"/>
                <w:color w:val="auto"/>
              </w:rPr>
              <w:t>2,523</w:t>
            </w:r>
          </w:p>
        </w:tc>
        <w:tc>
          <w:tcPr>
            <w:tcW w:w="0" w:type="dxa"/>
            <w:vAlign w:val="bottom"/>
          </w:tcPr>
          <w:p>
            <w:pPr>
              <w:spacing w:after="0"/>
              <w:rPr>
                <w:sz w:val="1"/>
                <w:szCs w:val="1"/>
                <w:color w:val="auto"/>
              </w:rPr>
            </w:pPr>
          </w:p>
        </w:tc>
      </w:tr>
      <w:tr>
        <w:trPr>
          <w:trHeight w:val="294"/>
        </w:trPr>
        <w:tc>
          <w:tcPr>
            <w:tcW w:w="36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Consolidated adjusted EBITDA, before limitation</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bottom w:val="single" w:sz="8" w:color="auto"/>
            </w:tcBorders>
            <w:shd w:val="clear" w:color="auto" w:fill="CCEEFF"/>
          </w:tcPr>
          <w:p>
            <w:pPr>
              <w:jc w:val="right"/>
              <w:ind w:right="78"/>
              <w:spacing w:after="0"/>
              <w:rPr>
                <w:sz w:val="20"/>
                <w:szCs w:val="20"/>
                <w:color w:val="auto"/>
              </w:rPr>
            </w:pPr>
            <w:r>
              <w:rPr>
                <w:rFonts w:ascii="Arial" w:cs="Arial" w:eastAsia="Arial" w:hAnsi="Arial"/>
                <w:sz w:val="16"/>
                <w:szCs w:val="16"/>
                <w:color w:val="auto"/>
              </w:rPr>
              <w:t>30,876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6,127</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4,306</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6"/>
                <w:szCs w:val="16"/>
                <w:color w:val="auto"/>
              </w:rPr>
              <w:t>25,758</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69,590</w:t>
            </w:r>
          </w:p>
        </w:tc>
        <w:tc>
          <w:tcPr>
            <w:tcW w:w="0" w:type="dxa"/>
            <w:vAlign w:val="bottom"/>
          </w:tcPr>
          <w:p>
            <w:pPr>
              <w:spacing w:after="0"/>
              <w:rPr>
                <w:sz w:val="1"/>
                <w:szCs w:val="1"/>
                <w:color w:val="auto"/>
              </w:rPr>
            </w:pPr>
          </w:p>
        </w:tc>
      </w:tr>
      <w:tr>
        <w:trPr>
          <w:trHeight w:val="247"/>
        </w:trPr>
        <w:tc>
          <w:tcPr>
            <w:tcW w:w="366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Permitted non-recurring charge limitation (1)</w:t>
            </w:r>
          </w:p>
        </w:tc>
        <w:tc>
          <w:tcPr>
            <w:tcW w:w="16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(8,471)</w:t>
            </w:r>
          </w:p>
        </w:tc>
        <w:tc>
          <w:tcPr>
            <w:tcW w:w="0" w:type="dxa"/>
            <w:vAlign w:val="bottom"/>
          </w:tcPr>
          <w:p>
            <w:pPr>
              <w:spacing w:after="0"/>
              <w:rPr>
                <w:sz w:val="1"/>
                <w:szCs w:val="1"/>
                <w:color w:val="auto"/>
              </w:rPr>
            </w:pPr>
          </w:p>
        </w:tc>
      </w:tr>
      <w:tr>
        <w:trPr>
          <w:trHeight w:val="250"/>
        </w:trPr>
        <w:tc>
          <w:tcPr>
            <w:tcW w:w="3660" w:type="dxa"/>
            <w:vAlign w:val="bottom"/>
          </w:tcPr>
          <w:p>
            <w:pPr>
              <w:ind w:left="20"/>
              <w:spacing w:after="0"/>
              <w:rPr>
                <w:sz w:val="20"/>
                <w:szCs w:val="20"/>
                <w:color w:val="auto"/>
              </w:rPr>
            </w:pPr>
            <w:r>
              <w:rPr>
                <w:rFonts w:ascii="Arial" w:cs="Arial" w:eastAsia="Arial" w:hAnsi="Arial"/>
                <w:sz w:val="16"/>
                <w:szCs w:val="16"/>
                <w:color w:val="auto"/>
              </w:rPr>
              <w:t>Consolidated adjusted EBITDA</w:t>
            </w: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61,119</w:t>
            </w:r>
          </w:p>
        </w:tc>
        <w:tc>
          <w:tcPr>
            <w:tcW w:w="0" w:type="dxa"/>
            <w:vAlign w:val="bottom"/>
          </w:tcPr>
          <w:p>
            <w:pPr>
              <w:spacing w:after="0"/>
              <w:rPr>
                <w:sz w:val="1"/>
                <w:szCs w:val="1"/>
                <w:color w:val="auto"/>
              </w:rPr>
            </w:pPr>
          </w:p>
        </w:tc>
      </w:tr>
      <w:tr>
        <w:trPr>
          <w:trHeight w:val="24"/>
        </w:trPr>
        <w:tc>
          <w:tcPr>
            <w:tcW w:w="3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500" w:right="80" w:hanging="492"/>
        <w:spacing w:after="0" w:line="256" w:lineRule="auto"/>
        <w:tabs>
          <w:tab w:leader="none" w:pos="494"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Permitted non-recurring charges include SKU Rationalization, severance expense, warehouse relocation costs, transition expenses and restructuring expenses. These are permitted exclusions from the Company’s consolidated adjusted EBITDA, subject to limitations, pursuant to the Company’s Debt Agreements.</w:t>
      </w:r>
    </w:p>
    <w:p>
      <w:pPr>
        <w:ind w:left="500" w:right="120" w:hanging="492"/>
        <w:spacing w:after="0" w:line="273" w:lineRule="auto"/>
        <w:tabs>
          <w:tab w:leader="none" w:pos="494" w:val="left"/>
        </w:tabs>
        <w:numPr>
          <w:ilvl w:val="0"/>
          <w:numId w:val="11"/>
        </w:numPr>
        <w:rPr>
          <w:rFonts w:ascii="Arial" w:cs="Arial" w:eastAsia="Arial" w:hAnsi="Arial"/>
          <w:sz w:val="17"/>
          <w:szCs w:val="17"/>
          <w:color w:val="auto"/>
        </w:rPr>
      </w:pPr>
      <w:r>
        <w:rPr>
          <w:rFonts w:ascii="Arial" w:cs="Arial" w:eastAsia="Arial" w:hAnsi="Arial"/>
          <w:sz w:val="17"/>
          <w:szCs w:val="17"/>
          <w:color w:val="auto"/>
        </w:rPr>
        <w:t>Projected synergies represents the amount of projected cost savings, operating expense reductions, restructuring charges and expenses and cost saving synergies projected by the Company as a result of actions taken through September 30, 2019 or expected to be taken as of September 30, 2019, net of the benefits realized during the twelve months ended September 30, 2019. Projected synergies is a permitted exclusion from the Company’s consolidated adjusted EBITDA, subject to limitations, pursuant to the Company’s Debt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Purchase Agreement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To improve its liquidity during seasonally high working capital periods, the Company has an uncommitted Receivables Purchase Agreement with HSBC Bank USA, National Association (“HSBC”) as Purchaser (the “Receivables Purchase Agreement”). Under the Receivables Purchase Agreement, the Company may offer to sell certain eligible accounts receivable (the “Receivables”) to HSBC, which may accept such offer, and purchase the offered Receivables. Under the Receivables Purchase Agreement, following each purchase of Receivables, the outstanding aggregate purchased Receivables shall not exceed $25.0 million. HSBC will assume the credit risk of the Receivables purchased; and the Company will continue to be responsible for all non-credit risk matters. The Company will service the Receivables, and as such servicer, collect and otherwise enforce the Receivables on behalf of HSBC. The term of the agreement is for 364 days and shall automatically be extended for annual successive terms unless terminated. Either party may terminate the agreement at any time upon sixty days’ prior written notice to the other party. Pursuant to this agreement, the Company sold to HSBC $32.5 million and $81.7 million of receivables during the three and nine months ended September 30, 2019, respectively, and $20.7 million and $59.4 million of receivables during the three and nine months ended September 30, 2018, respectively. Charges of $0.2 million and $0.4 million related to the sale of the receivables are included in selling, general and administrative expenses in the unaudited condensed consolidated statements of operations for the three and nine months ended September 30, 2019, respectively. Charges of $0.1 million and $0.3 million related to the sale of the receivables are included in selling, general and administrative expenses in the unaudited condensed consolidated statements of operations for the three and nine months ended September 30, 2018, respectively. At September 30, 2019 and September 30, 2018, $17.8 million and $13.6 million, respectively, of receivables sold were outstanding and are due to HSBC Bank USA from customers.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is a party to interest rate swap agreements with an aggregate notional value of $100.0 million at September 30, 2019. The Company designated the interest rate swaps as cash flow hedges of the Company’s exposure to the variability of the payment of interest on a portion of its Term Loan borrowings. The hedge periods of these agreements commenced in April 2018 and expire in March 2023. The notional amounts are reduced over these periods. In June 2019, the Company entered into new interest rate swap agreements, with an aggregate notional value of $25.0 million at September 30, 2019. These non-designated interest rate swaps serve as cash flow hedges of the Company’s exposure to the variability of the payment of interest on a portion of its Term Loan borrowings and expire in February 2025.</w:t>
      </w:r>
    </w:p>
    <w:p>
      <w:pPr>
        <w:spacing w:after="0" w:line="19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The Company has also entered into certain foreign exchange contracts, to primarily offset the earnings impact related to fluctuations in foreign currency exchange rates associated with sales and inventory purchases denominated in foreign currencies. Beginning on January 29, 2019, these foreign exchange contracts have been designated as hedges as required in order to apply hedge accounting, and accordingly, the changes in the fair value of these contracts are recorded in accumulated other comprehensive loss in the unaudited condensed consolidated statements of stockholders equity. Prior to January 29, 2019, these foreign exchange contracts were not designated as hedges as required in order to apply hedge accounting. The changes in the fair value of these contracts were recorded in the unaudited condensed consolidated statements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12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Net cash used in operating activities was $40.0 million for the nine months ended September 30, 2019, as compared to net cash used in operating activities of $30.4 million for the corresponding 2018 period. The change from 2019 as compared to 2018 was primarily attributable to timing of collections related to the Company's accounts receivable.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Net cash used in investing activities was $7.6 million and $222.9 million for the nine months ended September 30, 2019 and 2018, respectively. The 2018 investing activity includes the cash consideration paid for the acquisition of Filament of $217.5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Net cash provided by financing activities was $44.9 million for the nine months ended September 30, 2019, as compared to net cash provided by financing activities of $251.7 million for the corresponding 2018 period. The change in financing activities was attributable to the new Debt Agreements entered into in order to finance the acquisition of Filament in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There were no material changes in market risk for changes in foreign currency exchange rates and interest rates from the information provided in Item 7A – Quantitative and Qualitative Disclosures About Market Risk in the 2018 Annual Report on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Evaluation of Disclosure Controls and Procedures</w:t>
      </w:r>
    </w:p>
    <w:p>
      <w:pPr>
        <w:spacing w:after="0" w:line="121" w:lineRule="exact"/>
        <w:rPr>
          <w:rFonts w:ascii="Arial" w:cs="Arial" w:eastAsia="Arial" w:hAnsi="Arial"/>
          <w:sz w:val="18"/>
          <w:szCs w:val="18"/>
          <w:b w:val="1"/>
          <w:bCs w:val="1"/>
          <w:color w:val="auto"/>
        </w:rPr>
      </w:pPr>
    </w:p>
    <w:p>
      <w:pPr>
        <w:ind w:left="50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Chief Executive Officer and the Chief Financial Officer of the Company (its principal executive officer and principal financial officer, respectively) have concluded, based on their evaluation as of September 30, 2019, that the Company’s disclosure controls and procedures are effective to ensure that information required to be disclosed by the Company in the reports filed by it under the Securities and Exchange Act of 1934, as amended, is recorded, processed, summarized and reported within the time periods specified in the Securities and Exchange Commission’s rules and forms, and include controls and procedures designed to ensure that information required to be disclosed by the Company in such reports is accumulated and communicated to the Company’s management, including the Chief Executive Officer and Chief Financial Officer of the Company, as appropriate to allow timely decisions regarding required disclosure.</w:t>
      </w:r>
    </w:p>
    <w:p>
      <w:pPr>
        <w:spacing w:after="0" w:line="65" w:lineRule="exact"/>
        <w:rPr>
          <w:rFonts w:ascii="Arial" w:cs="Arial" w:eastAsia="Arial" w:hAnsi="Arial"/>
          <w:sz w:val="18"/>
          <w:szCs w:val="18"/>
          <w:b w:val="1"/>
          <w:bCs w:val="1"/>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Changes in Internal Controls</w:t>
      </w:r>
    </w:p>
    <w:p>
      <w:pPr>
        <w:spacing w:after="0" w:line="121" w:lineRule="exact"/>
        <w:rPr>
          <w:rFonts w:ascii="Arial" w:cs="Arial" w:eastAsia="Arial" w:hAnsi="Arial"/>
          <w:sz w:val="18"/>
          <w:szCs w:val="18"/>
          <w:b w:val="1"/>
          <w:bCs w:val="1"/>
          <w:color w:val="auto"/>
        </w:rPr>
      </w:pPr>
    </w:p>
    <w:p>
      <w:pPr>
        <w:ind w:left="500" w:right="58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implemented the new lease standard under ASC 842 as of January 1, 2019. In connection with these changes, the Company implemented certain modifications to internal controls over financial reporting, including the documentation of the policy regarding the new accounting for leases, implementation of processes to address various judgments and assessments necessary during the life of a lease, as well as implementing new controls to capture the expanded disclosures required under ASC 842.</w:t>
      </w:r>
    </w:p>
    <w:p>
      <w:pPr>
        <w:spacing w:after="0" w:line="78" w:lineRule="exact"/>
        <w:rPr>
          <w:rFonts w:ascii="Arial" w:cs="Arial" w:eastAsia="Arial" w:hAnsi="Arial"/>
          <w:sz w:val="18"/>
          <w:szCs w:val="18"/>
          <w:b w:val="1"/>
          <w:bCs w:val="1"/>
          <w:color w:val="auto"/>
        </w:rPr>
      </w:pPr>
    </w:p>
    <w:p>
      <w:pPr>
        <w:ind w:left="500"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Except as described above, there have been no other changes in the Company’s internal controls over financial reporting during the quarter ended September 30, 2019 that have materially affected, or are reasonably likely to materially affect, the Company’s internal control over financial reporting.</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Wallace Silversmiths de Puerto Rico, Ltd. (“WSPR”), a wholly-owned subsidiary of the Company, operates a manufacturing facility in San Germán, Puerto Rico that is leased from the Puerto Rico Industrial Development Company (“PRIDCO”). In March 2008, the United States Environmental Protection Agency (the “EPA”) announced that the San Germán Ground Water Contamination site in Puerto Rico (the “Site”) had been added to the Superfund National Priorities List.</w:t>
      </w:r>
    </w:p>
    <w:p>
      <w:pPr>
        <w:spacing w:after="0" w:line="21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August 13, 2015, the EPA released its remedial investigation and feasibility study (“RI/FS”) for the Site. On December 11, 2015, the EPA issued the Record of Decision (“ROD”) for an initial operable unit, electing to implement its preferred remedy which consists of soil vapor extraction and dual-phase extraction/in-situ treatment. This selected remedy includes soil vapor extraction (“SVE”) to address soil (vadose zone) source areas at the Site, impermeable cover as necessary for the implementation of SVE, dual phase extraction in the shallow saprolite zone, and in-situ treatment as needed to address residual sources. The EPA’s estimated total net present worth cost for its selected remedy is $7.3 million. In February 2017, the EPA indicated that it planned to expand its field investigation for the RI/FS to a second operable unit to further determine the nature and extent of the groundwater damage at and from the Site and to determine the nature of the remedial action needed. The EPA requested access to the property occupied by WSPR to install monitoring wells and to undertake groundwater sampling as part of this expanded investigation. WSPR consented to the EPA’s access request, subject to PRIDCO’s consent, as the property owner.</w:t>
      </w:r>
    </w:p>
    <w:p>
      <w:pPr>
        <w:spacing w:after="0" w:line="219"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December 2018, the Company, WSPR, and other identified Potentially Responsible Parties affiliated with the Site entered into tolling agreements to extend the statute of limitations for potential claims for the recovery of response costs for the initial operable unit under Section 107 of CERCLA. The tolling agreements do not constitute in any way an admission or acknowledgment of any fact, conclusion of law or liability by the parties to the agreements.</w:t>
      </w:r>
    </w:p>
    <w:p>
      <w:pPr>
        <w:spacing w:after="0" w:line="175" w:lineRule="exact"/>
        <w:rPr>
          <w:sz w:val="20"/>
          <w:szCs w:val="20"/>
          <w:color w:val="auto"/>
        </w:rPr>
      </w:pPr>
    </w:p>
    <w:p>
      <w:pPr>
        <w:jc w:val="both"/>
        <w:ind w:right="100"/>
        <w:spacing w:after="0" w:line="248" w:lineRule="auto"/>
        <w:rPr>
          <w:sz w:val="20"/>
          <w:szCs w:val="20"/>
          <w:color w:val="auto"/>
        </w:rPr>
      </w:pPr>
      <w:r>
        <w:rPr>
          <w:rFonts w:ascii="Arial" w:cs="Arial" w:eastAsia="Arial" w:hAnsi="Arial"/>
          <w:sz w:val="18"/>
          <w:szCs w:val="18"/>
          <w:color w:val="auto"/>
        </w:rPr>
        <w:t>EPA released its proposed plan for a second operable unit in July 2019. The public comment period for the proposed plan ended on September 10, 2019. On September 30, 2019, the EPA issued the ROD for operable unit 2 (“OU-2”), electing to implement its preferred remedy which consists of in-situ treatment of groundwater and a monitored natural attenuation (MNA) program</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including monitoring of the plume fringe at the Site. The EPA’s estimated total net present worth cost for its selected remedy is $17.3 million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18"/>
          <w:szCs w:val="18"/>
          <w:color w:val="auto"/>
        </w:rPr>
        <w:t>WSPR never used the primary constituents of concern and did not take up its tenancy at the Site until after EPA had discovered the damage to the local water supply. The EPA has also issued notices of potential liability to numerous other entities affiliated with the Site, which used the constituents of concern. Accordingly, based on the above uncertainties and variables, it is not possible at this time for the Company to estimate its share of liability, if any, related to this matter. However, in the event of one or more definitive claims because of property damage asserted against the Company and adverse determinations related to this matter, it is possible that the ultimate liability resulting from this matter and the impact on the Company’s results of operations could be material.</w:t>
      </w:r>
    </w:p>
    <w:p>
      <w:pPr>
        <w:spacing w:after="0" w:line="217" w:lineRule="exact"/>
        <w:rPr>
          <w:sz w:val="20"/>
          <w:szCs w:val="20"/>
          <w:color w:val="auto"/>
        </w:rPr>
      </w:pPr>
    </w:p>
    <w:p>
      <w:pPr>
        <w:jc w:val="both"/>
        <w:ind w:right="40"/>
        <w:spacing w:after="0" w:line="248" w:lineRule="auto"/>
        <w:rPr>
          <w:sz w:val="20"/>
          <w:szCs w:val="20"/>
          <w:color w:val="auto"/>
        </w:rPr>
      </w:pPr>
      <w:r>
        <w:rPr>
          <w:rFonts w:ascii="Arial" w:cs="Arial" w:eastAsia="Arial" w:hAnsi="Arial"/>
          <w:sz w:val="18"/>
          <w:szCs w:val="18"/>
          <w:color w:val="auto"/>
        </w:rPr>
        <w:t>The Company is, from time to time, involved in other legal proceedings. The Company believes that other current litigation is routine in nature and incidental to the conduct of the Company’s business and that none of this litigation, individually or collectively, would have a material adverse effect on the Company’s consolidated financial position, results of operations or cash flows.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in the Company’s risk factors from those disclosed in the Company’s 2018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4" w:name="page45"/>
    <w:bookmarkEnd w:id="4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 below, which is incorporated by reference herein.</w:t>
      </w:r>
    </w:p>
    <w:p>
      <w:pPr>
        <w:spacing w:after="0" w:line="32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Exhibit Index</w:t>
      </w:r>
    </w:p>
    <w:p>
      <w:pPr>
        <w:spacing w:after="0" w:line="7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w:t>
      </w:r>
    </w:p>
    <w:p>
      <w:pPr>
        <w:sectPr>
          <w:pgSz w:w="11900" w:h="16838" w:orient="portrait"/>
          <w:cols w:equalWidth="0" w:num="1">
            <w:col w:w="11340"/>
          </w:cols>
          <w:pgMar w:left="240" w:top="125" w:right="319" w:bottom="1440" w:gutter="0" w:footer="0" w:header="0"/>
        </w:sectPr>
      </w:pPr>
    </w:p>
    <w:p>
      <w:pPr>
        <w:spacing w:after="0" w:line="6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10.2</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10.3</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10.4</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10.6</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color w:val="auto"/>
        </w:rPr>
        <w:t>31.1</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ind w:right="680"/>
        <w:spacing w:after="0" w:line="264" w:lineRule="auto"/>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Amended and Restated Employment Agreement dated October 11, 2019 between Lifetime Brands, Inc. and Taylor Parent, LLC</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(incorporated by reference from Exhibit 10.1 to the Company’s Current Report on Form 8-K filed October 15, 2019)</w:t>
        </w:r>
      </w:hyperlink>
    </w:p>
    <w:p>
      <w:pPr>
        <w:spacing w:after="0" w:line="1" w:lineRule="exact"/>
        <w:rPr>
          <w:sz w:val="20"/>
          <w:szCs w:val="20"/>
          <w:color w:val="auto"/>
        </w:rPr>
      </w:pPr>
    </w:p>
    <w:p>
      <w:pPr>
        <w:ind w:right="20"/>
        <w:spacing w:after="0" w:line="234" w:lineRule="auto"/>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Amended and Restated Employment Agreement dated October 11, 2019 between Lifetime Brands, Inc. and Robert B. Kay (incorporated</w:t>
        </w:r>
      </w:hyperlink>
      <w:r>
        <w:rPr>
          <w:rFonts w:ascii="Arial" w:cs="Arial" w:eastAsia="Arial" w:hAnsi="Arial"/>
          <w:sz w:val="18"/>
          <w:szCs w:val="18"/>
          <w:u w:val="single" w:color="auto"/>
          <w:color w:val="0000FF"/>
        </w:rPr>
        <w:t xml:space="preserve"> </w:t>
      </w:r>
      <w:hyperlink r:id="rId63">
        <w:r>
          <w:rPr>
            <w:rFonts w:ascii="Arial" w:cs="Arial" w:eastAsia="Arial" w:hAnsi="Arial"/>
            <w:sz w:val="18"/>
            <w:szCs w:val="18"/>
            <w:u w:val="single" w:color="auto"/>
            <w:color w:val="0000FF"/>
          </w:rPr>
          <w:t>by reference from Exhibit 10.2 to the Company’s Current Report on Form 8-K filed October 15, 2019)</w:t>
        </w:r>
      </w:hyperlink>
    </w:p>
    <w:p>
      <w:pPr>
        <w:spacing w:after="0" w:line="2" w:lineRule="exact"/>
        <w:rPr>
          <w:sz w:val="20"/>
          <w:szCs w:val="20"/>
          <w:color w:val="auto"/>
        </w:rPr>
      </w:pPr>
    </w:p>
    <w:p>
      <w:pPr>
        <w:spacing w:after="0" w:line="234" w:lineRule="auto"/>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Amended and Restated Employment Agreement dated October 11, 2019 between Lifetime Brands, Inc. and Jefferey Siegel (incorporated</w:t>
        </w:r>
      </w:hyperlink>
      <w:r>
        <w:rPr>
          <w:rFonts w:ascii="Arial" w:cs="Arial" w:eastAsia="Arial" w:hAnsi="Arial"/>
          <w:sz w:val="18"/>
          <w:szCs w:val="18"/>
          <w:u w:val="single" w:color="auto"/>
          <w:color w:val="0000FF"/>
        </w:rPr>
        <w:t xml:space="preserve"> </w:t>
      </w:r>
      <w:hyperlink r:id="rId64">
        <w:r>
          <w:rPr>
            <w:rFonts w:ascii="Arial" w:cs="Arial" w:eastAsia="Arial" w:hAnsi="Arial"/>
            <w:sz w:val="18"/>
            <w:szCs w:val="18"/>
            <w:u w:val="single" w:color="auto"/>
            <w:color w:val="0000FF"/>
          </w:rPr>
          <w:t>by reference from Exhibit 10.3 to the Company’s Current Report on Form 8-K filed October 15, 2019)</w:t>
        </w:r>
      </w:hyperlink>
    </w:p>
    <w:p>
      <w:pPr>
        <w:spacing w:after="0" w:line="2" w:lineRule="exact"/>
        <w:rPr>
          <w:sz w:val="20"/>
          <w:szCs w:val="20"/>
          <w:color w:val="auto"/>
        </w:rPr>
      </w:pPr>
    </w:p>
    <w:p>
      <w:pPr>
        <w:ind w:right="740"/>
        <w:spacing w:after="0" w:line="264" w:lineRule="auto"/>
        <w:rPr>
          <w:rFonts w:ascii="Arial" w:cs="Arial" w:eastAsia="Arial" w:hAnsi="Arial"/>
          <w:sz w:val="16"/>
          <w:szCs w:val="16"/>
          <w:u w:val="single" w:color="auto"/>
          <w:color w:val="0000FF"/>
        </w:rPr>
      </w:pPr>
      <w:hyperlink r:id="rId65">
        <w:r>
          <w:rPr>
            <w:rFonts w:ascii="Arial" w:cs="Arial" w:eastAsia="Arial" w:hAnsi="Arial"/>
            <w:sz w:val="16"/>
            <w:szCs w:val="16"/>
            <w:u w:val="single" w:color="auto"/>
            <w:color w:val="0000FF"/>
          </w:rPr>
          <w:t>Amended and Restated Employment Agreement dated October 11, 2019 between Lifetime Brands, Inc. and Laurence Winoker</w:t>
        </w:r>
      </w:hyperlink>
      <w:r>
        <w:rPr>
          <w:rFonts w:ascii="Arial" w:cs="Arial" w:eastAsia="Arial" w:hAnsi="Arial"/>
          <w:sz w:val="16"/>
          <w:szCs w:val="16"/>
          <w:u w:val="single" w:color="auto"/>
          <w:color w:val="0000FF"/>
        </w:rPr>
        <w:t xml:space="preserve"> </w:t>
      </w:r>
      <w:hyperlink r:id="rId65">
        <w:r>
          <w:rPr>
            <w:rFonts w:ascii="Arial" w:cs="Arial" w:eastAsia="Arial" w:hAnsi="Arial"/>
            <w:sz w:val="16"/>
            <w:szCs w:val="16"/>
            <w:u w:val="single" w:color="auto"/>
            <w:color w:val="0000FF"/>
          </w:rPr>
          <w:t>(incorporated by reference from Exhibit 10.4 to the Company’s Current Report on Form 8-K filed October 15, 2019)</w:t>
        </w:r>
      </w:hyperlink>
    </w:p>
    <w:p>
      <w:pPr>
        <w:ind w:right="100"/>
        <w:spacing w:after="0" w:line="234" w:lineRule="auto"/>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Amended and Restated Employment Agreement dated October 11, 2019 between Lifetime Brands, Inc. and Daniel Siegel (incorporated</w:t>
        </w:r>
      </w:hyperlink>
      <w:r>
        <w:rPr>
          <w:rFonts w:ascii="Arial" w:cs="Arial" w:eastAsia="Arial" w:hAnsi="Arial"/>
          <w:sz w:val="18"/>
          <w:szCs w:val="18"/>
          <w:u w:val="single" w:color="auto"/>
          <w:color w:val="0000FF"/>
        </w:rPr>
        <w:t xml:space="preserve"> </w:t>
      </w:r>
      <w:hyperlink r:id="rId66">
        <w:r>
          <w:rPr>
            <w:rFonts w:ascii="Arial" w:cs="Arial" w:eastAsia="Arial" w:hAnsi="Arial"/>
            <w:sz w:val="18"/>
            <w:szCs w:val="18"/>
            <w:u w:val="single" w:color="auto"/>
            <w:color w:val="0000FF"/>
          </w:rPr>
          <w:t>by reference from Exhibit 10.5 to the Company’s Current Report on Form 8-K filed October 15, 2019)</w:t>
        </w:r>
      </w:hyperlink>
    </w:p>
    <w:p>
      <w:pPr>
        <w:spacing w:after="0" w:line="2" w:lineRule="exact"/>
        <w:rPr>
          <w:sz w:val="20"/>
          <w:szCs w:val="20"/>
          <w:color w:val="auto"/>
        </w:rPr>
      </w:pPr>
    </w:p>
    <w:p>
      <w:pPr>
        <w:spacing w:after="0" w:line="234" w:lineRule="auto"/>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Amended and Restated Employment Agreement dated October 11, 2019 between Lifetime Brands, Inc. and Jefferey Siegel (incorporated</w:t>
        </w:r>
      </w:hyperlink>
      <w:r>
        <w:rPr>
          <w:rFonts w:ascii="Arial" w:cs="Arial" w:eastAsia="Arial" w:hAnsi="Arial"/>
          <w:sz w:val="18"/>
          <w:szCs w:val="18"/>
          <w:u w:val="single" w:color="auto"/>
          <w:color w:val="0000FF"/>
        </w:rPr>
        <w:t xml:space="preserve"> </w:t>
      </w:r>
      <w:hyperlink r:id="rId67">
        <w:r>
          <w:rPr>
            <w:rFonts w:ascii="Arial" w:cs="Arial" w:eastAsia="Arial" w:hAnsi="Arial"/>
            <w:sz w:val="18"/>
            <w:szCs w:val="18"/>
            <w:u w:val="single" w:color="auto"/>
            <w:color w:val="0000FF"/>
          </w:rPr>
          <w:t>by reference from Exhibit 10.6 to the Company’s Current Report on Form 8-K filed October 15, 2019)</w:t>
        </w:r>
      </w:hyperlink>
    </w:p>
    <w:p>
      <w:pPr>
        <w:spacing w:after="0" w:line="2" w:lineRule="exact"/>
        <w:rPr>
          <w:sz w:val="20"/>
          <w:szCs w:val="20"/>
          <w:color w:val="auto"/>
        </w:rPr>
      </w:pPr>
    </w:p>
    <w:p>
      <w:pPr>
        <w:ind w:right="40"/>
        <w:spacing w:after="0" w:line="234" w:lineRule="auto"/>
        <w:rPr>
          <w:sz w:val="20"/>
          <w:szCs w:val="20"/>
          <w:color w:val="auto"/>
        </w:rPr>
      </w:pPr>
      <w:r>
        <w:rPr>
          <w:rFonts w:ascii="Arial" w:cs="Arial" w:eastAsia="Arial" w:hAnsi="Arial"/>
          <w:sz w:val="18"/>
          <w:szCs w:val="18"/>
          <w:u w:val="single" w:color="auto"/>
          <w:color w:val="0000FF"/>
        </w:rPr>
        <w:t>Certification by Robert B. Kay, Chief Executive Officer and Director, pursuant to Rule 13a-14(a) or Rule 15d-14(a) of the Securities and Exchange Act of 1934, as adopted pursuant to Section 302 of the Sarbanes-Oxley Act of 2002</w:t>
      </w:r>
    </w:p>
    <w:p>
      <w:pPr>
        <w:spacing w:after="0" w:line="18" w:lineRule="exact"/>
        <w:rPr>
          <w:sz w:val="20"/>
          <w:szCs w:val="20"/>
          <w:color w:val="auto"/>
        </w:rPr>
      </w:pPr>
    </w:p>
    <w:p>
      <w:pPr>
        <w:sectPr>
          <w:pgSz w:w="11900" w:h="16838" w:orient="portrait"/>
          <w:cols w:equalWidth="0" w:num="2">
            <w:col w:w="740" w:space="720"/>
            <w:col w:w="9880"/>
          </w:cols>
          <w:pgMar w:left="240" w:top="125" w:right="319" w:bottom="1440" w:gutter="0" w:footer="0" w:header="0"/>
          <w:type w:val="continuous"/>
        </w:sectPr>
      </w:pPr>
    </w:p>
    <w:tbl>
      <w:tblPr>
        <w:tblLayout w:type="fixed"/>
        <w:tblInd w:w="20" w:type="dxa"/>
        <w:tblCellMar>
          <w:top w:w="0" w:type="dxa"/>
          <w:left w:w="0" w:type="dxa"/>
          <w:bottom w:w="0" w:type="dxa"/>
          <w:right w:w="0" w:type="dxa"/>
        </w:tblCellMar>
      </w:tblPr>
      <w:tr>
        <w:trPr>
          <w:trHeight w:val="227"/>
        </w:trPr>
        <w:tc>
          <w:tcPr>
            <w:tcW w:w="1440" w:type="dxa"/>
            <w:vAlign w:val="bottom"/>
          </w:tcPr>
          <w:p>
            <w:pPr>
              <w:spacing w:after="0"/>
              <w:rPr>
                <w:sz w:val="20"/>
                <w:szCs w:val="20"/>
                <w:color w:val="auto"/>
              </w:rPr>
            </w:pPr>
            <w:r>
              <w:rPr>
                <w:rFonts w:ascii="Arial" w:cs="Arial" w:eastAsia="Arial" w:hAnsi="Arial"/>
                <w:sz w:val="18"/>
                <w:szCs w:val="18"/>
                <w:color w:val="auto"/>
              </w:rPr>
              <w:t>31.2</w:t>
            </w:r>
          </w:p>
        </w:tc>
        <w:tc>
          <w:tcPr>
            <w:tcW w:w="9880" w:type="dxa"/>
            <w:vAlign w:val="bottom"/>
            <w:gridSpan w:val="5"/>
          </w:tcPr>
          <w:p>
            <w:pPr>
              <w:spacing w:after="0"/>
              <w:rPr>
                <w:sz w:val="20"/>
                <w:szCs w:val="20"/>
                <w:color w:val="auto"/>
              </w:rPr>
            </w:pPr>
            <w:r>
              <w:rPr>
                <w:rFonts w:ascii="Arial" w:cs="Arial" w:eastAsia="Arial" w:hAnsi="Arial"/>
                <w:sz w:val="18"/>
                <w:szCs w:val="18"/>
                <w:color w:val="0000FF"/>
                <w:w w:val="92"/>
              </w:rPr>
              <w:t>Certification by Laurence Winoker, Senior Vice President – Finance, Treasurer and Chief Financial Officer, pursuant to Rule 13a-14(a)</w:t>
            </w:r>
          </w:p>
        </w:tc>
      </w:tr>
      <w:tr>
        <w:trPr>
          <w:trHeight w:val="156"/>
        </w:trPr>
        <w:tc>
          <w:tcPr>
            <w:tcW w:w="1440" w:type="dxa"/>
            <w:vAlign w:val="bottom"/>
          </w:tcPr>
          <w:p>
            <w:pPr>
              <w:spacing w:after="0"/>
              <w:rPr>
                <w:sz w:val="13"/>
                <w:szCs w:val="13"/>
                <w:color w:val="auto"/>
              </w:rPr>
            </w:pPr>
          </w:p>
        </w:tc>
        <w:tc>
          <w:tcPr>
            <w:tcW w:w="9640" w:type="dxa"/>
            <w:vAlign w:val="bottom"/>
            <w:tcBorders>
              <w:top w:val="single" w:sz="8" w:color="0000FF"/>
              <w:bottom w:val="single" w:sz="8" w:color="0000FF"/>
            </w:tcBorders>
          </w:tcPr>
          <w:p>
            <w:pPr>
              <w:spacing w:after="0" w:line="156" w:lineRule="exact"/>
              <w:rPr>
                <w:sz w:val="20"/>
                <w:szCs w:val="20"/>
                <w:color w:val="auto"/>
              </w:rPr>
            </w:pPr>
            <w:r>
              <w:rPr>
                <w:rFonts w:ascii="Arial" w:cs="Arial" w:eastAsia="Arial" w:hAnsi="Arial"/>
                <w:sz w:val="18"/>
                <w:szCs w:val="18"/>
                <w:color w:val="0000FF"/>
                <w:w w:val="90"/>
              </w:rPr>
              <w:t>or Rule 15d-14(a) of the Securities and Exchange Act of 1934, as adopted pursuant to Section 302 of the Sarbanes-Oxley Act of 2002</w:t>
            </w:r>
          </w:p>
        </w:tc>
        <w:tc>
          <w:tcPr>
            <w:tcW w:w="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4"/>
        </w:trPr>
        <w:tc>
          <w:tcPr>
            <w:tcW w:w="1440" w:type="dxa"/>
            <w:vAlign w:val="bottom"/>
          </w:tcPr>
          <w:p>
            <w:pPr>
              <w:spacing w:after="0"/>
              <w:rPr>
                <w:sz w:val="20"/>
                <w:szCs w:val="20"/>
                <w:color w:val="auto"/>
              </w:rPr>
            </w:pPr>
            <w:r>
              <w:rPr>
                <w:rFonts w:ascii="Arial" w:cs="Arial" w:eastAsia="Arial" w:hAnsi="Arial"/>
                <w:sz w:val="18"/>
                <w:szCs w:val="18"/>
                <w:color w:val="auto"/>
              </w:rPr>
              <w:t>32.1</w:t>
            </w:r>
          </w:p>
        </w:tc>
        <w:tc>
          <w:tcPr>
            <w:tcW w:w="986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by Robert B. Kay, Chief Executive Officer and Director, and Laurence Winoker, Senior Vice President – Finance, Treasurer</w:t>
            </w:r>
          </w:p>
        </w:tc>
        <w:tc>
          <w:tcPr>
            <w:tcW w:w="20" w:type="dxa"/>
            <w:vAlign w:val="bottom"/>
          </w:tcPr>
          <w:p>
            <w:pPr>
              <w:spacing w:after="0"/>
              <w:rPr>
                <w:sz w:val="22"/>
                <w:szCs w:val="22"/>
                <w:color w:val="auto"/>
              </w:rPr>
            </w:pPr>
          </w:p>
        </w:tc>
      </w:tr>
      <w:tr>
        <w:trPr>
          <w:trHeight w:val="156"/>
        </w:trPr>
        <w:tc>
          <w:tcPr>
            <w:tcW w:w="1440" w:type="dxa"/>
            <w:vAlign w:val="bottom"/>
          </w:tcPr>
          <w:p>
            <w:pPr>
              <w:spacing w:after="0"/>
              <w:rPr>
                <w:sz w:val="13"/>
                <w:szCs w:val="13"/>
                <w:color w:val="auto"/>
              </w:rPr>
            </w:pPr>
          </w:p>
        </w:tc>
        <w:tc>
          <w:tcPr>
            <w:tcW w:w="978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0"/>
              </w:rPr>
              <w:t>and Chief Financial Officer, pursuant to 18 U.S.C. Section 1350, as adopted pursuant to Section 906 of the Sarbanes-Oxley Act of 2002</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303"/>
        </w:trPr>
        <w:tc>
          <w:tcPr>
            <w:tcW w:w="1440" w:type="dxa"/>
            <w:vAlign w:val="bottom"/>
          </w:tcPr>
          <w:p>
            <w:pPr>
              <w:spacing w:after="0"/>
              <w:rPr>
                <w:sz w:val="20"/>
                <w:szCs w:val="20"/>
                <w:color w:val="auto"/>
              </w:rPr>
            </w:pPr>
            <w:r>
              <w:rPr>
                <w:rFonts w:ascii="Arial" w:cs="Arial" w:eastAsia="Arial" w:hAnsi="Arial"/>
                <w:sz w:val="18"/>
                <w:szCs w:val="18"/>
                <w:color w:val="auto"/>
              </w:rPr>
              <w:t>101.INS</w:t>
            </w:r>
          </w:p>
        </w:tc>
        <w:tc>
          <w:tcPr>
            <w:tcW w:w="9880" w:type="dxa"/>
            <w:vAlign w:val="bottom"/>
            <w:gridSpan w:val="5"/>
          </w:tcPr>
          <w:p>
            <w:pPr>
              <w:spacing w:after="0"/>
              <w:rPr>
                <w:sz w:val="20"/>
                <w:szCs w:val="20"/>
                <w:color w:val="auto"/>
              </w:rPr>
            </w:pPr>
            <w:r>
              <w:rPr>
                <w:rFonts w:ascii="Arial" w:cs="Arial" w:eastAsia="Arial" w:hAnsi="Arial"/>
                <w:sz w:val="18"/>
                <w:szCs w:val="18"/>
                <w:color w:val="auto"/>
                <w:w w:val="97"/>
              </w:rPr>
              <w:t>Inline XBRL Instance Document (the instance document does not appear in the Interactive Data File because its XBRL tags are</w:t>
            </w:r>
          </w:p>
        </w:tc>
      </w:tr>
      <w:tr>
        <w:trPr>
          <w:trHeight w:val="230"/>
        </w:trPr>
        <w:tc>
          <w:tcPr>
            <w:tcW w:w="1440" w:type="dxa"/>
            <w:vAlign w:val="bottom"/>
          </w:tcPr>
          <w:p>
            <w:pPr>
              <w:spacing w:after="0"/>
              <w:rPr>
                <w:sz w:val="20"/>
                <w:szCs w:val="20"/>
                <w:color w:val="auto"/>
              </w:rPr>
            </w:pPr>
          </w:p>
        </w:tc>
        <w:tc>
          <w:tcPr>
            <w:tcW w:w="9880" w:type="dxa"/>
            <w:vAlign w:val="bottom"/>
            <w:gridSpan w:val="5"/>
          </w:tcPr>
          <w:p>
            <w:pPr>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101.SCH</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101.DEF</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101.CAL</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101.LAB</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Labels Linkbase Document</w:t>
            </w:r>
          </w:p>
        </w:tc>
      </w:tr>
      <w:tr>
        <w:trPr>
          <w:trHeight w:val="324"/>
        </w:trPr>
        <w:tc>
          <w:tcPr>
            <w:tcW w:w="1440" w:type="dxa"/>
            <w:vAlign w:val="bottom"/>
          </w:tcPr>
          <w:p>
            <w:pPr>
              <w:spacing w:after="0"/>
              <w:rPr>
                <w:sz w:val="20"/>
                <w:szCs w:val="20"/>
                <w:color w:val="auto"/>
              </w:rPr>
            </w:pPr>
            <w:r>
              <w:rPr>
                <w:rFonts w:ascii="Arial" w:cs="Arial" w:eastAsia="Arial" w:hAnsi="Arial"/>
                <w:sz w:val="18"/>
                <w:szCs w:val="18"/>
                <w:color w:val="auto"/>
              </w:rPr>
              <w:t>101.PRE</w:t>
            </w:r>
          </w:p>
        </w:tc>
        <w:tc>
          <w:tcPr>
            <w:tcW w:w="9880" w:type="dxa"/>
            <w:vAlign w:val="bottom"/>
            <w:gridSpan w:val="5"/>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40" w:lineRule="exact"/>
        <w:rPr>
          <w:sz w:val="20"/>
          <w:szCs w:val="20"/>
          <w:color w:val="auto"/>
        </w:rPr>
      </w:pPr>
    </w:p>
    <w:p>
      <w:pPr>
        <w:ind w:left="1460" w:hanging="1434"/>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cover page from this Quarterly Report on Form 10-Q, formatted in Inline XBRL</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65" w:lineRule="exact"/>
        <w:rPr>
          <w:rFonts w:ascii="Arial" w:cs="Arial" w:eastAsia="Arial" w:hAnsi="Arial"/>
          <w:sz w:val="18"/>
          <w:szCs w:val="18"/>
          <w:color w:val="auto"/>
        </w:rPr>
      </w:pPr>
    </w:p>
    <w:p>
      <w:pPr>
        <w:ind w:left="5620" w:hanging="101"/>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type w:val="continuous"/>
        </w:sectPr>
      </w:pPr>
    </w:p>
    <w:bookmarkStart w:id="45" w:name="page46"/>
    <w:bookmarkEnd w:id="4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 w:lineRule="exact"/>
        <w:rPr>
          <w:sz w:val="20"/>
          <w:szCs w:val="20"/>
          <w:color w:val="auto"/>
        </w:rPr>
      </w:pPr>
    </w:p>
    <w:tbl>
      <w:tblPr>
        <w:tblLayout w:type="fixed"/>
        <w:tblInd w:w="5960" w:type="dxa"/>
        <w:tblCellMar>
          <w:top w:w="0" w:type="dxa"/>
          <w:left w:w="0" w:type="dxa"/>
          <w:bottom w:w="0" w:type="dxa"/>
          <w:right w:w="0" w:type="dxa"/>
        </w:tblCellMar>
      </w:tblP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Lifetime Brands, Inc.</w:t>
            </w:r>
          </w:p>
        </w:tc>
        <w:tc>
          <w:tcPr>
            <w:tcW w:w="1900" w:type="dxa"/>
            <w:vAlign w:val="bottom"/>
          </w:tcPr>
          <w:p>
            <w:pPr>
              <w:spacing w:after="0"/>
              <w:rPr>
                <w:sz w:val="20"/>
                <w:szCs w:val="20"/>
                <w:color w:val="auto"/>
              </w:rPr>
            </w:pPr>
          </w:p>
        </w:tc>
      </w:tr>
      <w:tr>
        <w:trPr>
          <w:trHeight w:val="561"/>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B. Kay</w:t>
            </w:r>
          </w:p>
        </w:tc>
        <w:tc>
          <w:tcPr>
            <w:tcW w:w="1900" w:type="dxa"/>
            <w:vAlign w:val="bottom"/>
          </w:tcPr>
          <w:p>
            <w:pPr>
              <w:ind w:left="420"/>
              <w:spacing w:after="0"/>
              <w:rPr>
                <w:sz w:val="20"/>
                <w:szCs w:val="20"/>
                <w:color w:val="auto"/>
              </w:rPr>
            </w:pPr>
            <w:r>
              <w:rPr>
                <w:rFonts w:ascii="Arial" w:cs="Arial" w:eastAsia="Arial" w:hAnsi="Arial"/>
                <w:sz w:val="18"/>
                <w:szCs w:val="18"/>
                <w:color w:val="auto"/>
                <w:w w:val="98"/>
              </w:rPr>
              <w:t>November 7, 2019</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Robert B. Kay</w:t>
            </w:r>
          </w:p>
        </w:tc>
        <w:tc>
          <w:tcPr>
            <w:tcW w:w="1900" w:type="dxa"/>
            <w:vAlign w:val="bottom"/>
          </w:tcPr>
          <w:p>
            <w:pPr>
              <w:spacing w:after="0"/>
              <w:rPr>
                <w:sz w:val="21"/>
                <w:szCs w:val="21"/>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c>
          <w:tcPr>
            <w:tcW w:w="1900" w:type="dxa"/>
            <w:vAlign w:val="bottom"/>
          </w:tcPr>
          <w:p>
            <w:pPr>
              <w:spacing w:after="0"/>
              <w:rPr>
                <w:sz w:val="23"/>
                <w:szCs w:val="23"/>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1900" w:type="dxa"/>
            <w:vAlign w:val="bottom"/>
          </w:tcPr>
          <w:p>
            <w:pPr>
              <w:spacing w:after="0"/>
              <w:rPr>
                <w:sz w:val="23"/>
                <w:szCs w:val="23"/>
                <w:color w:val="auto"/>
              </w:rPr>
            </w:pPr>
          </w:p>
        </w:tc>
      </w:tr>
      <w:tr>
        <w:trPr>
          <w:trHeight w:val="561"/>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Laurence Winoker</w:t>
            </w:r>
          </w:p>
        </w:tc>
        <w:tc>
          <w:tcPr>
            <w:tcW w:w="1900" w:type="dxa"/>
            <w:vAlign w:val="bottom"/>
          </w:tcPr>
          <w:p>
            <w:pPr>
              <w:ind w:left="420"/>
              <w:spacing w:after="0"/>
              <w:rPr>
                <w:sz w:val="20"/>
                <w:szCs w:val="20"/>
                <w:color w:val="auto"/>
              </w:rPr>
            </w:pPr>
            <w:r>
              <w:rPr>
                <w:rFonts w:ascii="Arial" w:cs="Arial" w:eastAsia="Arial" w:hAnsi="Arial"/>
                <w:sz w:val="18"/>
                <w:szCs w:val="18"/>
                <w:color w:val="auto"/>
                <w:w w:val="98"/>
              </w:rPr>
              <w:t>November 7, 2019</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Laurence Winoker</w:t>
            </w:r>
          </w:p>
        </w:tc>
        <w:tc>
          <w:tcPr>
            <w:tcW w:w="1900" w:type="dxa"/>
            <w:vAlign w:val="bottom"/>
          </w:tcPr>
          <w:p>
            <w:pPr>
              <w:spacing w:after="0"/>
              <w:rPr>
                <w:sz w:val="21"/>
                <w:szCs w:val="21"/>
                <w:color w:val="auto"/>
              </w:rPr>
            </w:pPr>
          </w:p>
        </w:tc>
      </w:tr>
      <w:tr>
        <w:trPr>
          <w:trHeight w:val="256"/>
        </w:trPr>
        <w:tc>
          <w:tcPr>
            <w:tcW w:w="3520" w:type="dxa"/>
            <w:vAlign w:val="bottom"/>
          </w:tcPr>
          <w:p>
            <w:pPr>
              <w:ind w:left="20"/>
              <w:spacing w:after="0"/>
              <w:rPr>
                <w:sz w:val="20"/>
                <w:szCs w:val="20"/>
                <w:color w:val="auto"/>
              </w:rPr>
            </w:pPr>
            <w:r>
              <w:rPr>
                <w:rFonts w:ascii="Arial" w:cs="Arial" w:eastAsia="Arial" w:hAnsi="Arial"/>
                <w:sz w:val="18"/>
                <w:szCs w:val="18"/>
                <w:color w:val="auto"/>
                <w:w w:val="91"/>
              </w:rPr>
              <w:t>Senior Vice President – Finance, Treasurer and</w:t>
            </w:r>
          </w:p>
        </w:tc>
        <w:tc>
          <w:tcPr>
            <w:tcW w:w="1900" w:type="dxa"/>
            <w:vAlign w:val="bottom"/>
          </w:tcPr>
          <w:p>
            <w:pPr>
              <w:spacing w:after="0"/>
              <w:rPr>
                <w:sz w:val="22"/>
                <w:szCs w:val="22"/>
                <w:color w:val="auto"/>
              </w:rPr>
            </w:pPr>
          </w:p>
        </w:tc>
      </w:tr>
      <w:tr>
        <w:trPr>
          <w:trHeight w:val="230"/>
        </w:trPr>
        <w:tc>
          <w:tcPr>
            <w:tcW w:w="35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1900" w:type="dxa"/>
            <w:vAlign w:val="bottom"/>
          </w:tcPr>
          <w:p>
            <w:pPr>
              <w:spacing w:after="0"/>
              <w:rPr>
                <w:sz w:val="20"/>
                <w:szCs w:val="20"/>
                <w:color w:val="auto"/>
              </w:rPr>
            </w:pPr>
          </w:p>
        </w:tc>
      </w:tr>
      <w:tr>
        <w:trPr>
          <w:trHeight w:val="270"/>
        </w:trPr>
        <w:tc>
          <w:tcPr>
            <w:tcW w:w="352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190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380"/>
          </w:cols>
          <w:pgMar w:left="240" w:top="125" w:right="27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Robert B. Kay, certify that:</w:t>
      </w:r>
    </w:p>
    <w:p>
      <w:pPr>
        <w:spacing w:after="0" w:line="117" w:lineRule="exact"/>
        <w:rPr>
          <w:sz w:val="20"/>
          <w:szCs w:val="20"/>
          <w:color w:val="auto"/>
        </w:rPr>
      </w:pPr>
    </w:p>
    <w:p>
      <w:pPr>
        <w:ind w:left="980" w:hanging="648"/>
        <w:spacing w:after="0"/>
        <w:tabs>
          <w:tab w:leader="none" w:pos="9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20" w:hanging="648"/>
        <w:spacing w:after="0" w:line="264" w:lineRule="auto"/>
        <w:tabs>
          <w:tab w:leader="none" w:pos="1025"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jc w:val="both"/>
        <w:ind w:left="980" w:right="20" w:hanging="648"/>
        <w:spacing w:after="0" w:line="342" w:lineRule="auto"/>
        <w:tabs>
          <w:tab w:leader="none" w:pos="10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980" w:right="40" w:hanging="648"/>
        <w:spacing w:after="0" w:line="291" w:lineRule="auto"/>
        <w:tabs>
          <w:tab w:leader="none" w:pos="102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960" w:right="80" w:hanging="655"/>
        <w:spacing w:after="0" w:line="286" w:lineRule="auto"/>
        <w:tabs>
          <w:tab w:leader="none" w:pos="195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right="60" w:hanging="655"/>
        <w:spacing w:after="0" w:line="264" w:lineRule="auto"/>
        <w:tabs>
          <w:tab w:leader="none" w:pos="1950" w:val="left"/>
        </w:tabs>
        <w:numPr>
          <w:ilvl w:val="1"/>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sz w:val="20"/>
          <w:szCs w:val="20"/>
          <w:color w:val="auto"/>
        </w:rPr>
      </w:pPr>
    </w:p>
    <w:p>
      <w:pPr>
        <w:ind w:left="980" w:right="60" w:hanging="648"/>
        <w:spacing w:after="0" w:line="342" w:lineRule="auto"/>
        <w:tabs>
          <w:tab w:leader="none" w:pos="9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80" w:hanging="655"/>
        <w:spacing w:after="0" w:line="342" w:lineRule="auto"/>
        <w:tabs>
          <w:tab w:leader="none" w:pos="1950" w:val="left"/>
        </w:tabs>
        <w:numPr>
          <w:ilvl w:val="1"/>
          <w:numId w:val="15"/>
        </w:numPr>
        <w:rPr>
          <w:rFonts w:ascii="Arial" w:cs="Arial" w:eastAsia="Arial" w:hAnsi="Arial"/>
          <w:sz w:val="16"/>
          <w:szCs w:val="16"/>
          <w:color w:val="auto"/>
        </w:rPr>
      </w:pPr>
      <w:r>
        <w:rPr>
          <w:rFonts w:ascii="Arial" w:cs="Arial" w:eastAsia="Arial" w:hAnsi="Arial"/>
          <w:sz w:val="16"/>
          <w:szCs w:val="16"/>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960" w:right="140" w:hanging="655"/>
        <w:spacing w:after="0" w:line="277" w:lineRule="auto"/>
        <w:tabs>
          <w:tab w:leader="none" w:pos="19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 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Robert B. 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Robert B. Kay</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Chief Executive Officer and Director</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420"/>
          </w:cols>
          <w:pgMar w:left="240" w:top="891"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Laurence Winoker, certify that:</w:t>
      </w:r>
    </w:p>
    <w:p>
      <w:pPr>
        <w:spacing w:after="0" w:line="103" w:lineRule="exact"/>
        <w:rPr>
          <w:sz w:val="20"/>
          <w:szCs w:val="20"/>
          <w:color w:val="auto"/>
        </w:rPr>
      </w:pPr>
    </w:p>
    <w:p>
      <w:pPr>
        <w:ind w:left="980" w:hanging="648"/>
        <w:spacing w:after="0"/>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Lifetime Brands, Inc. (“the registrant”);</w:t>
      </w:r>
    </w:p>
    <w:p>
      <w:pPr>
        <w:spacing w:after="0" w:line="117" w:lineRule="exact"/>
        <w:rPr>
          <w:rFonts w:ascii="Arial" w:cs="Arial" w:eastAsia="Arial" w:hAnsi="Arial"/>
          <w:sz w:val="18"/>
          <w:szCs w:val="18"/>
          <w:color w:val="auto"/>
        </w:rPr>
      </w:pPr>
    </w:p>
    <w:p>
      <w:pPr>
        <w:ind w:left="980" w:right="160" w:hanging="648"/>
        <w:spacing w:after="0" w:line="264" w:lineRule="auto"/>
        <w:tabs>
          <w:tab w:leader="none" w:pos="9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73" w:lineRule="exact"/>
        <w:rPr>
          <w:rFonts w:ascii="Arial" w:cs="Arial" w:eastAsia="Arial" w:hAnsi="Arial"/>
          <w:sz w:val="18"/>
          <w:szCs w:val="18"/>
          <w:color w:val="auto"/>
        </w:rPr>
      </w:pPr>
    </w:p>
    <w:p>
      <w:pPr>
        <w:ind w:left="980" w:right="20" w:hanging="648"/>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5" w:lineRule="exact"/>
        <w:rPr>
          <w:rFonts w:ascii="Arial" w:cs="Arial" w:eastAsia="Arial" w:hAnsi="Arial"/>
          <w:sz w:val="16"/>
          <w:szCs w:val="16"/>
          <w:color w:val="auto"/>
        </w:rPr>
      </w:pPr>
    </w:p>
    <w:p>
      <w:pPr>
        <w:ind w:left="980" w:right="100" w:hanging="648"/>
        <w:spacing w:after="0" w:line="291"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15d-15(e)4)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02" w:lineRule="exact"/>
        <w:rPr>
          <w:rFonts w:ascii="Arial" w:cs="Arial" w:eastAsia="Arial" w:hAnsi="Arial"/>
          <w:sz w:val="16"/>
          <w:szCs w:val="16"/>
          <w:color w:val="auto"/>
        </w:rPr>
      </w:pPr>
    </w:p>
    <w:p>
      <w:pPr>
        <w:ind w:left="1960" w:right="80" w:hanging="655"/>
        <w:spacing w:after="0" w:line="286" w:lineRule="auto"/>
        <w:tabs>
          <w:tab w:leader="none" w:pos="195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57" w:lineRule="exact"/>
        <w:rPr>
          <w:rFonts w:ascii="Arial" w:cs="Arial" w:eastAsia="Arial" w:hAnsi="Arial"/>
          <w:sz w:val="17"/>
          <w:szCs w:val="17"/>
          <w:color w:val="auto"/>
        </w:rPr>
      </w:pPr>
    </w:p>
    <w:p>
      <w:pPr>
        <w:ind w:left="1960" w:right="440" w:hanging="655"/>
        <w:spacing w:after="0" w:line="286" w:lineRule="auto"/>
        <w:tabs>
          <w:tab w:leader="none" w:pos="1960" w:val="left"/>
        </w:tabs>
        <w:numPr>
          <w:ilvl w:val="1"/>
          <w:numId w:val="1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7" w:lineRule="exact"/>
        <w:rPr>
          <w:rFonts w:ascii="Arial" w:cs="Arial" w:eastAsia="Arial" w:hAnsi="Arial"/>
          <w:sz w:val="17"/>
          <w:szCs w:val="17"/>
          <w:color w:val="auto"/>
        </w:rPr>
      </w:pPr>
    </w:p>
    <w:p>
      <w:pPr>
        <w:ind w:left="1960" w:right="60" w:hanging="655"/>
        <w:spacing w:after="0" w:line="264" w:lineRule="auto"/>
        <w:tabs>
          <w:tab w:leader="none" w:pos="195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3" w:lineRule="exact"/>
        <w:rPr>
          <w:rFonts w:ascii="Arial" w:cs="Arial" w:eastAsia="Arial" w:hAnsi="Arial"/>
          <w:sz w:val="18"/>
          <w:szCs w:val="18"/>
          <w:color w:val="auto"/>
        </w:rPr>
      </w:pPr>
    </w:p>
    <w:p>
      <w:pPr>
        <w:ind w:left="1960" w:right="180" w:hanging="655"/>
        <w:spacing w:after="0" w:line="264"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980" w:right="60" w:hanging="648"/>
        <w:spacing w:after="0" w:line="342"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960" w:right="40" w:hanging="655"/>
        <w:spacing w:after="0" w:line="342" w:lineRule="auto"/>
        <w:tabs>
          <w:tab w:leader="none" w:pos="195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960" w:right="320" w:hanging="655"/>
        <w:spacing w:after="0" w:line="277" w:lineRule="auto"/>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Laurence Winoker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263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Laurence Winoker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 Finance,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Treasurer and Chief Financial Officer</w:t>
      </w:r>
    </w:p>
    <w:p>
      <w:pPr>
        <w:spacing w:after="0" w:line="1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August 8, 2019</w:t>
      </w:r>
    </w:p>
    <w:p>
      <w:pPr>
        <w:sectPr>
          <w:pgSz w:w="11900" w:h="16838" w:orient="portrait"/>
          <w:cols w:equalWidth="0" w:num="1">
            <w:col w:w="11420"/>
          </w:cols>
          <w:pgMar w:left="240" w:top="891" w:right="239" w:bottom="1440" w:gutter="0" w:footer="0" w:header="0"/>
        </w:sectPr>
      </w:pPr>
    </w:p>
    <w:bookmarkStart w:id="48" w:name="page49"/>
    <w:bookmarkEnd w:id="48"/>
    <w:p>
      <w:pPr>
        <w:ind w:left="10480"/>
        <w:spacing w:after="0"/>
        <w:rPr>
          <w:sz w:val="20"/>
          <w:szCs w:val="20"/>
          <w:color w:val="auto"/>
        </w:rPr>
      </w:pPr>
      <w:r>
        <w:rPr>
          <w:rFonts w:ascii="Arial" w:cs="Arial" w:eastAsia="Arial" w:hAnsi="Arial"/>
          <w:sz w:val="16"/>
          <w:szCs w:val="16"/>
          <w:b w:val="1"/>
          <w:bCs w:val="1"/>
          <w:color w:val="auto"/>
        </w:rPr>
        <w:t>Exhibit 32.1</w:t>
      </w:r>
    </w:p>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Certification by Robert B. Kay, Chief Executive Officer and Director, and Laurence Winoker, Senior Vice President – Finance, Treasurer and Chief Financial Officer, Pursuant to 18 U.S.C. Section 1350, as Adopted Pursuant to Section 906 of the Sarbanes-Oxley Act of 2002.</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color w:val="auto"/>
        </w:rPr>
        <w:t>I, Robert B. Kay, Chief Executive Officer and Director, and I, Laurence Winoker, Senior Vice President – Finance, Treasurer and Chief Financial Officer,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Lifetime Brands, Inc., a Delaware corporation (the “Company”), each hereby certify that:</w:t>
      </w:r>
    </w:p>
    <w:p>
      <w:pPr>
        <w:spacing w:after="0" w:line="103" w:lineRule="exact"/>
        <w:rPr>
          <w:sz w:val="20"/>
          <w:szCs w:val="20"/>
          <w:color w:val="auto"/>
        </w:rPr>
      </w:pPr>
    </w:p>
    <w:p>
      <w:pPr>
        <w:ind w:left="980" w:right="280" w:hanging="486"/>
        <w:spacing w:after="0" w:line="277"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Company’s periodic report on Form 10-Q for the period ended June 30, 2019 (the “Form 10-Q”) fully complies with the requirements of Section 13(a) or 15(d) of the Securities Exchange Act of 1934, as amended; and</w:t>
      </w:r>
    </w:p>
    <w:p>
      <w:pPr>
        <w:spacing w:after="0" w:line="62" w:lineRule="exact"/>
        <w:rPr>
          <w:rFonts w:ascii="Arial" w:cs="Arial" w:eastAsia="Arial" w:hAnsi="Arial"/>
          <w:sz w:val="18"/>
          <w:szCs w:val="18"/>
          <w:color w:val="auto"/>
        </w:rPr>
      </w:pPr>
    </w:p>
    <w:p>
      <w:pPr>
        <w:ind w:left="980" w:right="460" w:hanging="486"/>
        <w:spacing w:after="0" w:line="277" w:lineRule="auto"/>
        <w:tabs>
          <w:tab w:leader="none" w:pos="974"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information contained in the Form 10-Q fairly presents, in all material respects, the financial condition and results of operations of the Company.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/s/ Robert B. Kay</w:t>
            </w:r>
          </w:p>
        </w:tc>
        <w:tc>
          <w:tcPr>
            <w:tcW w:w="5580" w:type="dxa"/>
            <w:vAlign w:val="bottom"/>
          </w:tcPr>
          <w:p>
            <w:pPr>
              <w:ind w:left="20"/>
              <w:spacing w:after="0"/>
              <w:rPr>
                <w:sz w:val="20"/>
                <w:szCs w:val="20"/>
                <w:color w:val="auto"/>
              </w:rPr>
            </w:pPr>
            <w:r>
              <w:rPr>
                <w:rFonts w:ascii="Arial" w:cs="Arial" w:eastAsia="Arial" w:hAnsi="Arial"/>
                <w:sz w:val="18"/>
                <w:szCs w:val="18"/>
                <w:color w:val="auto"/>
              </w:rPr>
              <w:t>/s/ Laurence Winoker</w:t>
            </w:r>
          </w:p>
        </w:tc>
      </w:tr>
      <w:tr>
        <w:trPr>
          <w:trHeight w:val="27"/>
        </w:trPr>
        <w:tc>
          <w:tcPr>
            <w:tcW w:w="55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5580" w:type="dxa"/>
            <w:vAlign w:val="bottom"/>
            <w:tcBorders>
              <w:bottom w:val="single" w:sz="8" w:color="auto"/>
            </w:tcBorders>
          </w:tcPr>
          <w:p>
            <w:pPr>
              <w:spacing w:after="0"/>
              <w:rPr>
                <w:sz w:val="2"/>
                <w:szCs w:val="2"/>
                <w:color w:val="auto"/>
              </w:rPr>
            </w:pPr>
          </w:p>
        </w:tc>
      </w:tr>
      <w:tr>
        <w:trPr>
          <w:trHeight w:val="222"/>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Robert B. Kay</w:t>
            </w:r>
          </w:p>
        </w:tc>
        <w:tc>
          <w:tcPr>
            <w:tcW w:w="5580" w:type="dxa"/>
            <w:vAlign w:val="bottom"/>
          </w:tcPr>
          <w:p>
            <w:pPr>
              <w:ind w:left="20"/>
              <w:spacing w:after="0"/>
              <w:rPr>
                <w:sz w:val="20"/>
                <w:szCs w:val="20"/>
                <w:color w:val="auto"/>
              </w:rPr>
            </w:pPr>
            <w:r>
              <w:rPr>
                <w:rFonts w:ascii="Arial" w:cs="Arial" w:eastAsia="Arial" w:hAnsi="Arial"/>
                <w:sz w:val="18"/>
                <w:szCs w:val="18"/>
                <w:color w:val="auto"/>
              </w:rPr>
              <w:t>Laurence Winoker</w:t>
            </w:r>
          </w:p>
        </w:tc>
      </w:tr>
      <w:tr>
        <w:trPr>
          <w:trHeight w:val="230"/>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Chief Executive Officer and Director</w:t>
            </w:r>
          </w:p>
        </w:tc>
        <w:tc>
          <w:tcPr>
            <w:tcW w:w="5580" w:type="dxa"/>
            <w:vAlign w:val="bottom"/>
          </w:tcPr>
          <w:p>
            <w:pPr>
              <w:ind w:left="20"/>
              <w:spacing w:after="0"/>
              <w:rPr>
                <w:sz w:val="20"/>
                <w:szCs w:val="20"/>
                <w:color w:val="auto"/>
              </w:rPr>
            </w:pPr>
            <w:r>
              <w:rPr>
                <w:rFonts w:ascii="Arial" w:cs="Arial" w:eastAsia="Arial" w:hAnsi="Arial"/>
                <w:sz w:val="18"/>
                <w:szCs w:val="18"/>
                <w:color w:val="auto"/>
              </w:rPr>
              <w:t>Senior Vice President- Finance, Treasurer and Chief Financial Officer</w:t>
            </w:r>
          </w:p>
        </w:tc>
      </w:tr>
      <w:tr>
        <w:trPr>
          <w:trHeight w:val="324"/>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Date: August 8, 2019</w:t>
            </w:r>
          </w:p>
        </w:tc>
        <w:tc>
          <w:tcPr>
            <w:tcW w:w="5580" w:type="dxa"/>
            <w:vAlign w:val="bottom"/>
          </w:tcPr>
          <w:p>
            <w:pPr>
              <w:ind w:left="20"/>
              <w:spacing w:after="0"/>
              <w:rPr>
                <w:sz w:val="20"/>
                <w:szCs w:val="20"/>
                <w:color w:val="auto"/>
              </w:rPr>
            </w:pPr>
            <w:r>
              <w:rPr>
                <w:rFonts w:ascii="Arial" w:cs="Arial" w:eastAsia="Arial" w:hAnsi="Arial"/>
                <w:sz w:val="18"/>
                <w:szCs w:val="18"/>
                <w:color w:val="auto"/>
              </w:rPr>
              <w:t>Date: August 8, 2019</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signed original of this written statement required by Section 1350 has been provided to Lifetime Brands, Inc. and will be retained by Lifetime Brands, Inc.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furnished to the Securities and Exchange Commission or its staff, upon request.</w:t>
      </w:r>
    </w:p>
    <w:sectPr>
      <w:pgSz w:w="11900" w:h="16838" w:orient="portrait"/>
      <w:cols w:equalWidth="0" w:num="1">
        <w:col w:w="11420"/>
      </w:cols>
      <w:pgMar w:left="240" w:top="8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lowerRoman"/>
      <w:start w:val="2"/>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lowerRoman"/>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decimal"/>
      <w:start w:val="104"/>
    </w:lvl>
    <w:lvl w:ilvl="1">
      <w:lvlJc w:val="left"/>
      <w:lvlText w:val="-"/>
      <w:numFmt w:val="bullet"/>
      <w:start w:val="1"/>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62" Type="http://schemas.openxmlformats.org/officeDocument/2006/relationships/hyperlink" Target="http://www.sec.gov/Archives/edgar/data/874396/000119312519267308/d789732dex101.htm" TargetMode="External"/><Relationship Id="rId63" Type="http://schemas.openxmlformats.org/officeDocument/2006/relationships/hyperlink" Target="http://www.sec.gov/Archives/edgar/data/874396/000119312519267308/d789732dex102.htm" TargetMode="External"/><Relationship Id="rId64" Type="http://schemas.openxmlformats.org/officeDocument/2006/relationships/hyperlink" Target="http://www.sec.gov/Archives/edgar/data/874396/000119312519267308/d789732dex103.htm" TargetMode="External"/><Relationship Id="rId65" Type="http://schemas.openxmlformats.org/officeDocument/2006/relationships/hyperlink" Target="http://www.sec.gov/Archives/edgar/data/874396/000119312519267308/d789732dex104.htm" TargetMode="External"/><Relationship Id="rId66" Type="http://schemas.openxmlformats.org/officeDocument/2006/relationships/hyperlink" Target="http://www.sec.gov/Archives/edgar/data/874396/000119312519267308/d789732dex105.htm" TargetMode="External"/><Relationship Id="rId67" Type="http://schemas.openxmlformats.org/officeDocument/2006/relationships/hyperlink" Target="http://www.sec.gov/Archives/edgar/data/874396/000119312519267308/d789732dex10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2019-12-28T02:29:20Z</dcterms:created>
  <dcterms:modified xsi:type="dcterms:W3CDTF">2019-12-28T02:29:20Z</dcterms:modified>
</cp:coreProperties>
</file>