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5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Lifetime Brands, Inc.</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7"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214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0-19254</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8"/>
                <w:szCs w:val="18"/>
                <w:b w:val="1"/>
                <w:bCs w:val="1"/>
                <w:color w:val="auto"/>
                <w:w w:val="98"/>
              </w:rPr>
              <w:t>11-2682486</w:t>
            </w:r>
          </w:p>
        </w:tc>
      </w:tr>
      <w:tr>
        <w:trPr>
          <w:trHeight w:val="148"/>
        </w:trPr>
        <w:tc>
          <w:tcPr>
            <w:tcW w:w="214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755"/>
        </w:trPr>
        <w:tc>
          <w:tcPr>
            <w:tcW w:w="214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1000 Stewart Avenue, Garden City, New York 11530</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00" w:type="dxa"/>
            <w:vAlign w:val="bottom"/>
          </w:tcPr>
          <w:p>
            <w:pPr>
              <w:spacing w:after="0"/>
              <w:rPr>
                <w:sz w:val="16"/>
                <w:szCs w:val="16"/>
                <w:color w:val="auto"/>
              </w:rPr>
            </w:pPr>
          </w:p>
        </w:tc>
      </w:tr>
      <w:tr>
        <w:trPr>
          <w:trHeight w:val="296"/>
        </w:trPr>
        <w:tc>
          <w:tcPr>
            <w:tcW w:w="2140" w:type="dxa"/>
            <w:vAlign w:val="bottom"/>
          </w:tcPr>
          <w:p>
            <w:pPr>
              <w:spacing w:after="0"/>
              <w:rPr>
                <w:sz w:val="24"/>
                <w:szCs w:val="24"/>
                <w:color w:val="auto"/>
              </w:rPr>
            </w:pPr>
          </w:p>
        </w:tc>
        <w:tc>
          <w:tcPr>
            <w:tcW w:w="5080" w:type="dxa"/>
            <w:vAlign w:val="bottom"/>
          </w:tcPr>
          <w:p>
            <w:pPr>
              <w:jc w:val="right"/>
              <w:ind w:right="1999"/>
              <w:spacing w:after="0"/>
              <w:rPr>
                <w:sz w:val="20"/>
                <w:szCs w:val="20"/>
                <w:color w:val="auto"/>
              </w:rPr>
            </w:pPr>
            <w:r>
              <w:rPr>
                <w:rFonts w:ascii="Times New Roman" w:cs="Times New Roman" w:eastAsia="Times New Roman" w:hAnsi="Times New Roman"/>
                <w:sz w:val="18"/>
                <w:szCs w:val="18"/>
                <w:b w:val="1"/>
                <w:bCs w:val="1"/>
                <w:color w:val="auto"/>
              </w:rPr>
              <w:t>516-683-6000</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09"/>
        </w:trPr>
        <w:tc>
          <w:tcPr>
            <w:tcW w:w="214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24"/>
                <w:szCs w:val="24"/>
                <w:color w:val="auto"/>
              </w:rPr>
            </w:pPr>
          </w:p>
        </w:tc>
      </w:tr>
      <w:tr>
        <w:trPr>
          <w:trHeight w:val="178"/>
        </w:trPr>
        <w:tc>
          <w:tcPr>
            <w:tcW w:w="2140" w:type="dxa"/>
            <w:vAlign w:val="bottom"/>
          </w:tcPr>
          <w:p>
            <w:pPr>
              <w:spacing w:after="0"/>
              <w:rPr>
                <w:sz w:val="15"/>
                <w:szCs w:val="15"/>
                <w:color w:val="auto"/>
              </w:rPr>
            </w:pPr>
          </w:p>
        </w:tc>
        <w:tc>
          <w:tcPr>
            <w:tcW w:w="50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5"/>
                <w:szCs w:val="15"/>
                <w:color w:val="auto"/>
              </w:rPr>
            </w:pPr>
          </w:p>
        </w:tc>
      </w:tr>
      <w:tr>
        <w:trPr>
          <w:trHeight w:val="238"/>
        </w:trPr>
        <w:tc>
          <w:tcPr>
            <w:tcW w:w="2140" w:type="dxa"/>
            <w:vAlign w:val="bottom"/>
          </w:tcPr>
          <w:p>
            <w:pPr>
              <w:spacing w:after="0"/>
              <w:rPr>
                <w:sz w:val="20"/>
                <w:szCs w:val="20"/>
                <w:color w:val="auto"/>
              </w:rPr>
            </w:pPr>
          </w:p>
        </w:tc>
        <w:tc>
          <w:tcPr>
            <w:tcW w:w="5080" w:type="dxa"/>
            <w:vAlign w:val="bottom"/>
          </w:tcPr>
          <w:p>
            <w:pPr>
              <w:jc w:val="right"/>
              <w:ind w:right="1339"/>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tc>
        <w:tc>
          <w:tcPr>
            <w:tcW w:w="1700" w:type="dxa"/>
            <w:vAlign w:val="bottom"/>
          </w:tcPr>
          <w:p>
            <w:pPr>
              <w:spacing w:after="0"/>
              <w:rPr>
                <w:sz w:val="20"/>
                <w:szCs w:val="20"/>
                <w:color w:val="auto"/>
              </w:rPr>
            </w:pPr>
          </w:p>
        </w:tc>
      </w:tr>
    </w:tbl>
    <w:p>
      <w:pPr>
        <w:spacing w:after="0" w:line="90" w:lineRule="exact"/>
        <w:rPr>
          <w:sz w:val="24"/>
          <w:szCs w:val="24"/>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2" w:lineRule="exact"/>
        <w:rPr>
          <w:sz w:val="24"/>
          <w:szCs w:val="24"/>
          <w:color w:val="auto"/>
        </w:rPr>
      </w:pPr>
    </w:p>
    <w:p>
      <w:pPr>
        <w:ind w:left="360" w:hanging="278"/>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3" w:lineRule="exact"/>
        <w:rPr>
          <w:rFonts w:ascii="MS PGothic" w:cs="MS PGothic" w:eastAsia="MS PGothic" w:hAnsi="MS PGothic"/>
          <w:sz w:val="20"/>
          <w:szCs w:val="20"/>
          <w:color w:val="auto"/>
        </w:rPr>
      </w:pPr>
    </w:p>
    <w:p>
      <w:pPr>
        <w:ind w:left="360" w:hanging="278"/>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5" w:lineRule="exact"/>
        <w:rPr>
          <w:rFonts w:ascii="MS PGothic" w:cs="MS PGothic" w:eastAsia="MS PGothic" w:hAnsi="MS PGothic"/>
          <w:sz w:val="20"/>
          <w:szCs w:val="20"/>
          <w:color w:val="auto"/>
        </w:rPr>
      </w:pPr>
    </w:p>
    <w:p>
      <w:pPr>
        <w:ind w:left="360" w:hanging="278"/>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5" w:lineRule="exact"/>
        <w:rPr>
          <w:rFonts w:ascii="MS PGothic" w:cs="MS PGothic" w:eastAsia="MS PGothic" w:hAnsi="MS PGothic"/>
          <w:sz w:val="20"/>
          <w:szCs w:val="20"/>
          <w:color w:val="auto"/>
        </w:rPr>
      </w:pPr>
    </w:p>
    <w:p>
      <w:pPr>
        <w:ind w:left="360" w:hanging="278"/>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3740" w:type="dxa"/>
            <w:vAlign w:val="bottom"/>
            <w:gridSpan w:val="2"/>
            <w:vMerge w:val="continue"/>
          </w:tcPr>
          <w:p>
            <w:pPr>
              <w:spacing w:after="0"/>
              <w:rPr>
                <w:sz w:val="17"/>
                <w:szCs w:val="17"/>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LCUT</w:t>
            </w:r>
          </w:p>
        </w:tc>
        <w:tc>
          <w:tcPr>
            <w:tcW w:w="12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249" w:right="399" w:bottom="1440" w:gutter="0" w:footer="0" w:header="0"/>
        </w:sectPr>
      </w:pPr>
    </w:p>
    <w:bookmarkStart w:id="1" w:name="page2"/>
    <w:bookmarkEnd w:id="1"/>
    <w:p>
      <w:pPr>
        <w:ind w:right="700"/>
        <w:spacing w:after="0" w:line="287"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At the annual meeting of stockholders of Lifetime Brands, Inc. (the “Company”) held on June 18, 2026 (the “Annual Meeting”), the Company’s stockholders approved an amendment and restatement of the Company’s Amended and Restated 2000 Long-Term Incentive Plan (as amended and restated, the “Plan”) (see Item 5.07 below). The purpose of the Plan is to provide a means to attract, retain, motivate and reward selected directors, officers, employees, consultants and certain service providers of the Company and its affiliates and to increase their ownership interests in the Company. The types of awards that may be granted under the Plan include stock options, stock appreciation rights, restricted stock, deferred stock, stock grants and certain other awards. Under the Plan, the Company will reserve for issuance 10,717,500 shares of the Company’s common stock, $0.01 par value (the “Common Stock”), subject to adjustment as provided in the Plan. It is not possible to determine specific amounts and types of awards that may be granted to eligible participants under the Plan (as amended and restated) subsequent to the Annual Meeting because the grant and payment of such awards is subject to the discretion of the Compensation Committee of the Company’s Board of Directors (the “Board”).</w:t>
      </w:r>
    </w:p>
    <w:p>
      <w:pPr>
        <w:spacing w:after="0" w:line="204"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9"/>
          <w:szCs w:val="19"/>
          <w:color w:val="auto"/>
        </w:rPr>
        <w:t>This summary of the Plan is qualified in its entirety by reference to the full text of the Plan, which is filed as Appendix B to the Company's Definitive Proxy Statement on Schedule 14A filed on April 24, 2026 (the “Proxy Statement”), which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4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At the Annual Meeting, the Company’s stockholders voted on the following matters, which are described in detail in the Proxy Statement: (i) to elect nine (9) directors to serve on the Company’s Board until the 2027 Annual Meeting of Stockholders or until their successors are duly elected and qualified (“Proposal 1”); (ii) to ratify the appointment of Ernst &amp; Young LLP as the independent registered public accounting firm of the Company for the fiscal year ending December 31, 2026 (“Proposal 2”); (iii) to approve, on a non-binding advisory basis, the compensation of the Company’s named executive officers (“Proposal 3”); and (iv) to approve an amendment and restatement of the Plan (“Proposal 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 forth below are the final voting results with respect to each of the proposals acted upon at the Annual Meeting.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1</w:t>
      </w:r>
    </w:p>
    <w:p>
      <w:pPr>
        <w:spacing w:after="0" w:line="2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The Company’s stockholders elected each of the following nine (9) nominees unanimously recommended by the Board, each of whom were named in the Proxy Statement, to serve on the Board to hold office until the 2027 Annual Meeting of Stockholders or until their successors are duly elected and qualified, based on the following votes:</w:t>
      </w: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20" w:type="dxa"/>
            <w:vAlign w:val="bottom"/>
            <w:gridSpan w:val="2"/>
            <w:vMerge w:val="restart"/>
          </w:tcPr>
          <w:p>
            <w:pPr>
              <w:ind w:left="580"/>
              <w:spacing w:after="0"/>
              <w:rPr>
                <w:sz w:val="20"/>
                <w:szCs w:val="20"/>
                <w:color w:val="auto"/>
              </w:rPr>
            </w:pPr>
            <w:r>
              <w:rPr>
                <w:rFonts w:ascii="Times New Roman" w:cs="Times New Roman" w:eastAsia="Times New Roman" w:hAnsi="Times New Roman"/>
                <w:sz w:val="20"/>
                <w:szCs w:val="20"/>
                <w:color w:val="auto"/>
              </w:rPr>
              <w:t>FOR</w:t>
            </w:r>
          </w:p>
        </w:tc>
        <w:tc>
          <w:tcPr>
            <w:tcW w:w="1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auto"/>
              </w:rPr>
              <w:t>WITHHELD</w:t>
            </w:r>
          </w:p>
        </w:tc>
        <w:tc>
          <w:tcPr>
            <w:tcW w:w="1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20"/>
                <w:szCs w:val="20"/>
                <w:color w:val="auto"/>
              </w:rPr>
              <w:t>ABSTAIN</w:t>
            </w:r>
          </w:p>
        </w:tc>
        <w:tc>
          <w:tcPr>
            <w:tcW w:w="1660" w:type="dxa"/>
            <w:vAlign w:val="bottom"/>
            <w:gridSpan w:val="2"/>
          </w:tcPr>
          <w:p>
            <w:pPr>
              <w:jc w:val="center"/>
              <w:ind w:right="140"/>
              <w:spacing w:after="0" w:line="204" w:lineRule="exact"/>
              <w:rPr>
                <w:sz w:val="20"/>
                <w:szCs w:val="20"/>
                <w:color w:val="auto"/>
              </w:rPr>
            </w:pPr>
            <w:r>
              <w:rPr>
                <w:rFonts w:ascii="Times New Roman" w:cs="Times New Roman" w:eastAsia="Times New Roman" w:hAnsi="Times New Roman"/>
                <w:sz w:val="20"/>
                <w:szCs w:val="20"/>
                <w:color w:val="auto"/>
                <w:w w:val="99"/>
              </w:rPr>
              <w:t>BROKER NON-</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9"/>
              </w:rPr>
              <w:t>VOTES</w:t>
            </w:r>
          </w:p>
        </w:tc>
        <w:tc>
          <w:tcPr>
            <w:tcW w:w="0" w:type="dxa"/>
            <w:vAlign w:val="bottom"/>
          </w:tcPr>
          <w:p>
            <w:pPr>
              <w:spacing w:after="0"/>
              <w:rPr>
                <w:sz w:val="1"/>
                <w:szCs w:val="1"/>
                <w:color w:val="auto"/>
              </w:rPr>
            </w:pPr>
          </w:p>
        </w:tc>
      </w:tr>
      <w:tr>
        <w:trPr>
          <w:trHeight w:val="241"/>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Jeffrey Siegel</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13,617,253</w:t>
            </w:r>
          </w:p>
        </w:tc>
        <w:tc>
          <w:tcPr>
            <w:tcW w:w="8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2,515,911</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Robert B. Kay</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15,051,616</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1,081,549</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Jeffrey H. Evans</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15,057,303</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1,075,862</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Rachael A. Jarosh</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15,028,730</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1,105,195</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Cherrie Nanninga</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14,002,619</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2,131,306</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Bruce G. Pollack</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14,620,592</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1,512,573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Michael J. Regan</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14,040,509</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2,092,656</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Michael Schnabel</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15,027,990</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1,105,175</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7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Daniel Siegel</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14,995,177</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1,137,988</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4,529,514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4"/>
        </w:trPr>
        <w:tc>
          <w:tcPr>
            <w:tcW w:w="4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Proposal 2</w:t>
      </w:r>
    </w:p>
    <w:p>
      <w:pPr>
        <w:spacing w:after="0" w:line="17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20"/>
          <w:szCs w:val="20"/>
          <w:color w:val="auto"/>
        </w:rPr>
        <w:t>The Company’s stockholders voted to ratify the appointment of Ernst &amp; Young LLP to serve as the Company’s independent registered public accounting firm for the fiscal year ending December 31, 2026, based on the following votes:</w:t>
      </w:r>
    </w:p>
    <w:tbl>
      <w:tblPr>
        <w:tblLayout w:type="fixed"/>
        <w:tblInd w:w="1180" w:type="dxa"/>
        <w:tblCellMar>
          <w:top w:w="0" w:type="dxa"/>
          <w:left w:w="0" w:type="dxa"/>
          <w:bottom w:w="0" w:type="dxa"/>
          <w:right w:w="0" w:type="dxa"/>
        </w:tblCellMar>
      </w:tblPr>
      <w:tr>
        <w:trPr>
          <w:trHeight w:val="200"/>
        </w:trPr>
        <w:tc>
          <w:tcPr>
            <w:tcW w:w="260" w:type="dxa"/>
            <w:vAlign w:val="bottom"/>
          </w:tcPr>
          <w:p>
            <w:pPr>
              <w:spacing w:after="0"/>
              <w:rPr>
                <w:sz w:val="17"/>
                <w:szCs w:val="17"/>
                <w:color w:val="auto"/>
              </w:rPr>
            </w:pPr>
          </w:p>
        </w:tc>
        <w:tc>
          <w:tcPr>
            <w:tcW w:w="2380" w:type="dxa"/>
            <w:vAlign w:val="bottom"/>
            <w:gridSpan w:val="2"/>
            <w:vMerge w:val="restart"/>
          </w:tcPr>
          <w:p>
            <w:pPr>
              <w:jc w:val="center"/>
              <w:ind w:right="2000"/>
              <w:spacing w:after="0"/>
              <w:rPr>
                <w:sz w:val="20"/>
                <w:szCs w:val="20"/>
                <w:color w:val="auto"/>
              </w:rPr>
            </w:pPr>
            <w:r>
              <w:rPr>
                <w:rFonts w:ascii="Times New Roman" w:cs="Times New Roman" w:eastAsia="Times New Roman" w:hAnsi="Times New Roman"/>
                <w:sz w:val="20"/>
                <w:szCs w:val="20"/>
                <w:color w:val="auto"/>
                <w:w w:val="97"/>
              </w:rPr>
              <w:t>FOR</w:t>
            </w:r>
          </w:p>
        </w:tc>
        <w:tc>
          <w:tcPr>
            <w:tcW w:w="2660" w:type="dxa"/>
            <w:vAlign w:val="bottom"/>
            <w:gridSpan w:val="2"/>
            <w:vMerge w:val="restart"/>
          </w:tcPr>
          <w:p>
            <w:pPr>
              <w:jc w:val="center"/>
              <w:ind w:right="1780"/>
              <w:spacing w:after="0"/>
              <w:rPr>
                <w:sz w:val="20"/>
                <w:szCs w:val="20"/>
                <w:color w:val="auto"/>
              </w:rPr>
            </w:pPr>
            <w:r>
              <w:rPr>
                <w:rFonts w:ascii="Times New Roman" w:cs="Times New Roman" w:eastAsia="Times New Roman" w:hAnsi="Times New Roman"/>
                <w:sz w:val="20"/>
                <w:szCs w:val="20"/>
                <w:color w:val="auto"/>
              </w:rPr>
              <w:t>AGAINST</w:t>
            </w:r>
          </w:p>
        </w:tc>
        <w:tc>
          <w:tcPr>
            <w:tcW w:w="2480" w:type="dxa"/>
            <w:vAlign w:val="bottom"/>
            <w:gridSpan w:val="2"/>
            <w:vMerge w:val="restart"/>
          </w:tcPr>
          <w:p>
            <w:pPr>
              <w:jc w:val="center"/>
              <w:ind w:right="1640"/>
              <w:spacing w:after="0"/>
              <w:rPr>
                <w:sz w:val="20"/>
                <w:szCs w:val="20"/>
                <w:color w:val="auto"/>
              </w:rPr>
            </w:pPr>
            <w:r>
              <w:rPr>
                <w:rFonts w:ascii="Times New Roman" w:cs="Times New Roman" w:eastAsia="Times New Roman" w:hAnsi="Times New Roman"/>
                <w:sz w:val="20"/>
                <w:szCs w:val="20"/>
                <w:color w:val="auto"/>
                <w:w w:val="96"/>
              </w:rPr>
              <w:t>ABSTAIN</w:t>
            </w:r>
          </w:p>
        </w:tc>
        <w:tc>
          <w:tcPr>
            <w:tcW w:w="11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BROKER</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266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14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NON-VOTES</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640" w:type="dxa"/>
            <w:vAlign w:val="bottom"/>
            <w:gridSpan w:val="3"/>
          </w:tcPr>
          <w:p>
            <w:pPr>
              <w:jc w:val="right"/>
              <w:ind w:right="1740"/>
              <w:spacing w:after="0"/>
              <w:rPr>
                <w:sz w:val="20"/>
                <w:szCs w:val="20"/>
                <w:color w:val="auto"/>
              </w:rPr>
            </w:pPr>
            <w:r>
              <w:rPr>
                <w:rFonts w:ascii="Times New Roman" w:cs="Times New Roman" w:eastAsia="Times New Roman" w:hAnsi="Times New Roman"/>
                <w:sz w:val="20"/>
                <w:szCs w:val="20"/>
                <w:color w:val="auto"/>
                <w:w w:val="97"/>
              </w:rPr>
              <w:t>20,397,055</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157,901</w:t>
            </w:r>
          </w:p>
        </w:tc>
        <w:tc>
          <w:tcPr>
            <w:tcW w:w="17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108,956</w:t>
            </w:r>
          </w:p>
        </w:tc>
        <w:tc>
          <w:tcPr>
            <w:tcW w:w="16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3</w:t>
      </w:r>
    </w:p>
    <w:p>
      <w:pPr>
        <w:spacing w:after="0" w:line="17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The Company’s stockholders voted to approve, on an advisory, non-binding basis, the 2025 compensation of the Company’s named executive officers, based on the following votes:</w:t>
      </w:r>
    </w:p>
    <w:tbl>
      <w:tblPr>
        <w:tblLayout w:type="fixed"/>
        <w:tblInd w:w="118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2380" w:type="dxa"/>
            <w:vAlign w:val="bottom"/>
            <w:gridSpan w:val="2"/>
            <w:vMerge w:val="restart"/>
          </w:tcPr>
          <w:p>
            <w:pPr>
              <w:jc w:val="center"/>
              <w:ind w:right="2000"/>
              <w:spacing w:after="0"/>
              <w:rPr>
                <w:sz w:val="20"/>
                <w:szCs w:val="20"/>
                <w:color w:val="auto"/>
              </w:rPr>
            </w:pPr>
            <w:r>
              <w:rPr>
                <w:rFonts w:ascii="Times New Roman" w:cs="Times New Roman" w:eastAsia="Times New Roman" w:hAnsi="Times New Roman"/>
                <w:sz w:val="20"/>
                <w:szCs w:val="20"/>
                <w:color w:val="auto"/>
                <w:w w:val="97"/>
              </w:rPr>
              <w:t>FOR</w:t>
            </w:r>
          </w:p>
        </w:tc>
        <w:tc>
          <w:tcPr>
            <w:tcW w:w="2660" w:type="dxa"/>
            <w:vAlign w:val="bottom"/>
            <w:gridSpan w:val="2"/>
            <w:vMerge w:val="restart"/>
          </w:tcPr>
          <w:p>
            <w:pPr>
              <w:jc w:val="center"/>
              <w:ind w:right="1780"/>
              <w:spacing w:after="0"/>
              <w:rPr>
                <w:sz w:val="20"/>
                <w:szCs w:val="20"/>
                <w:color w:val="auto"/>
              </w:rPr>
            </w:pPr>
            <w:r>
              <w:rPr>
                <w:rFonts w:ascii="Times New Roman" w:cs="Times New Roman" w:eastAsia="Times New Roman" w:hAnsi="Times New Roman"/>
                <w:sz w:val="20"/>
                <w:szCs w:val="20"/>
                <w:color w:val="auto"/>
              </w:rPr>
              <w:t>AGAINST</w:t>
            </w:r>
          </w:p>
        </w:tc>
        <w:tc>
          <w:tcPr>
            <w:tcW w:w="2480" w:type="dxa"/>
            <w:vAlign w:val="bottom"/>
            <w:gridSpan w:val="2"/>
            <w:vMerge w:val="restart"/>
          </w:tcPr>
          <w:p>
            <w:pPr>
              <w:jc w:val="center"/>
              <w:ind w:right="1640"/>
              <w:spacing w:after="0"/>
              <w:rPr>
                <w:sz w:val="20"/>
                <w:szCs w:val="20"/>
                <w:color w:val="auto"/>
              </w:rPr>
            </w:pPr>
            <w:r>
              <w:rPr>
                <w:rFonts w:ascii="Times New Roman" w:cs="Times New Roman" w:eastAsia="Times New Roman" w:hAnsi="Times New Roman"/>
                <w:sz w:val="20"/>
                <w:szCs w:val="20"/>
                <w:color w:val="auto"/>
                <w:w w:val="96"/>
              </w:rPr>
              <w:t>ABSTAIN</w:t>
            </w:r>
          </w:p>
        </w:tc>
        <w:tc>
          <w:tcPr>
            <w:tcW w:w="114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w w:val="98"/>
              </w:rPr>
              <w:t>BROKER</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266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140" w:type="dxa"/>
            <w:vAlign w:val="bottom"/>
          </w:tcPr>
          <w:p>
            <w:pPr>
              <w:jc w:val="center"/>
              <w:spacing w:after="0" w:line="179" w:lineRule="exact"/>
              <w:rPr>
                <w:sz w:val="20"/>
                <w:szCs w:val="20"/>
                <w:color w:val="auto"/>
              </w:rPr>
            </w:pPr>
            <w:r>
              <w:rPr>
                <w:rFonts w:ascii="Times New Roman" w:cs="Times New Roman" w:eastAsia="Times New Roman" w:hAnsi="Times New Roman"/>
                <w:sz w:val="20"/>
                <w:szCs w:val="20"/>
                <w:color w:val="auto"/>
                <w:w w:val="99"/>
              </w:rPr>
              <w:t>NON-VOTES</w:t>
            </w:r>
          </w:p>
        </w:tc>
        <w:tc>
          <w:tcPr>
            <w:tcW w:w="0" w:type="dxa"/>
            <w:vAlign w:val="bottom"/>
          </w:tcPr>
          <w:p>
            <w:pPr>
              <w:spacing w:after="0"/>
              <w:rPr>
                <w:sz w:val="1"/>
                <w:szCs w:val="1"/>
                <w:color w:val="auto"/>
              </w:rPr>
            </w:pPr>
          </w:p>
        </w:tc>
      </w:tr>
      <w:tr>
        <w:trPr>
          <w:trHeight w:val="330"/>
        </w:trPr>
        <w:tc>
          <w:tcPr>
            <w:tcW w:w="2640" w:type="dxa"/>
            <w:vAlign w:val="bottom"/>
            <w:gridSpan w:val="3"/>
          </w:tcPr>
          <w:p>
            <w:pPr>
              <w:jc w:val="right"/>
              <w:ind w:right="1740"/>
              <w:spacing w:after="0"/>
              <w:rPr>
                <w:sz w:val="20"/>
                <w:szCs w:val="20"/>
                <w:color w:val="auto"/>
              </w:rPr>
            </w:pPr>
            <w:r>
              <w:rPr>
                <w:rFonts w:ascii="Times New Roman" w:cs="Times New Roman" w:eastAsia="Times New Roman" w:hAnsi="Times New Roman"/>
                <w:sz w:val="20"/>
                <w:szCs w:val="20"/>
                <w:color w:val="auto"/>
                <w:w w:val="97"/>
              </w:rPr>
              <w:t>15,747,252</w:t>
            </w:r>
          </w:p>
        </w:tc>
        <w:tc>
          <w:tcPr>
            <w:tcW w:w="8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65,124</w:t>
            </w:r>
          </w:p>
        </w:tc>
        <w:tc>
          <w:tcPr>
            <w:tcW w:w="1780" w:type="dxa"/>
            <w:vAlign w:val="bottom"/>
          </w:tcPr>
          <w:p>
            <w:pPr>
              <w:spacing w:after="0"/>
              <w:rPr>
                <w:sz w:val="24"/>
                <w:szCs w:val="24"/>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322,022</w:t>
            </w:r>
          </w:p>
        </w:tc>
        <w:tc>
          <w:tcPr>
            <w:tcW w:w="164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4,529,514</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Plan, as described above under Item 5.02 of this Current Report on Form 8-K, was approved based on the following votes:</w:t>
      </w:r>
    </w:p>
    <w:p>
      <w:pPr>
        <w:spacing w:after="0" w:line="13"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2380" w:type="dxa"/>
            <w:vAlign w:val="bottom"/>
            <w:gridSpan w:val="2"/>
            <w:vMerge w:val="restart"/>
          </w:tcPr>
          <w:p>
            <w:pPr>
              <w:jc w:val="center"/>
              <w:ind w:right="2000"/>
              <w:spacing w:after="0"/>
              <w:rPr>
                <w:sz w:val="20"/>
                <w:szCs w:val="20"/>
                <w:color w:val="auto"/>
              </w:rPr>
            </w:pPr>
            <w:r>
              <w:rPr>
                <w:rFonts w:ascii="Times New Roman" w:cs="Times New Roman" w:eastAsia="Times New Roman" w:hAnsi="Times New Roman"/>
                <w:sz w:val="20"/>
                <w:szCs w:val="20"/>
                <w:color w:val="auto"/>
                <w:w w:val="97"/>
              </w:rPr>
              <w:t>FOR</w:t>
            </w:r>
          </w:p>
        </w:tc>
        <w:tc>
          <w:tcPr>
            <w:tcW w:w="2660" w:type="dxa"/>
            <w:vAlign w:val="bottom"/>
            <w:gridSpan w:val="2"/>
            <w:vMerge w:val="restart"/>
          </w:tcPr>
          <w:p>
            <w:pPr>
              <w:jc w:val="center"/>
              <w:ind w:right="1780"/>
              <w:spacing w:after="0"/>
              <w:rPr>
                <w:sz w:val="20"/>
                <w:szCs w:val="20"/>
                <w:color w:val="auto"/>
              </w:rPr>
            </w:pPr>
            <w:r>
              <w:rPr>
                <w:rFonts w:ascii="Times New Roman" w:cs="Times New Roman" w:eastAsia="Times New Roman" w:hAnsi="Times New Roman"/>
                <w:sz w:val="20"/>
                <w:szCs w:val="20"/>
                <w:color w:val="auto"/>
              </w:rPr>
              <w:t>AGAINST</w:t>
            </w:r>
          </w:p>
        </w:tc>
        <w:tc>
          <w:tcPr>
            <w:tcW w:w="2480" w:type="dxa"/>
            <w:vAlign w:val="bottom"/>
            <w:gridSpan w:val="2"/>
            <w:vMerge w:val="restart"/>
          </w:tcPr>
          <w:p>
            <w:pPr>
              <w:jc w:val="center"/>
              <w:ind w:right="1640"/>
              <w:spacing w:after="0"/>
              <w:rPr>
                <w:sz w:val="20"/>
                <w:szCs w:val="20"/>
                <w:color w:val="auto"/>
              </w:rPr>
            </w:pPr>
            <w:r>
              <w:rPr>
                <w:rFonts w:ascii="Times New Roman" w:cs="Times New Roman" w:eastAsia="Times New Roman" w:hAnsi="Times New Roman"/>
                <w:sz w:val="20"/>
                <w:szCs w:val="20"/>
                <w:color w:val="auto"/>
                <w:w w:val="96"/>
              </w:rPr>
              <w:t>ABSTAIN</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BROKER</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266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140" w:type="dxa"/>
            <w:vAlign w:val="bottom"/>
          </w:tcPr>
          <w:p>
            <w:pPr>
              <w:jc w:val="center"/>
              <w:spacing w:after="0" w:line="179" w:lineRule="exact"/>
              <w:rPr>
                <w:sz w:val="20"/>
                <w:szCs w:val="20"/>
                <w:color w:val="auto"/>
              </w:rPr>
            </w:pPr>
            <w:r>
              <w:rPr>
                <w:rFonts w:ascii="Times New Roman" w:cs="Times New Roman" w:eastAsia="Times New Roman" w:hAnsi="Times New Roman"/>
                <w:sz w:val="20"/>
                <w:szCs w:val="20"/>
                <w:color w:val="auto"/>
                <w:w w:val="99"/>
              </w:rPr>
              <w:t>NON-VOTES</w:t>
            </w:r>
          </w:p>
        </w:tc>
        <w:tc>
          <w:tcPr>
            <w:tcW w:w="0" w:type="dxa"/>
            <w:vAlign w:val="bottom"/>
          </w:tcPr>
          <w:p>
            <w:pPr>
              <w:spacing w:after="0"/>
              <w:rPr>
                <w:sz w:val="1"/>
                <w:szCs w:val="1"/>
                <w:color w:val="auto"/>
              </w:rPr>
            </w:pPr>
          </w:p>
        </w:tc>
      </w:tr>
      <w:tr>
        <w:trPr>
          <w:trHeight w:val="330"/>
        </w:trPr>
        <w:tc>
          <w:tcPr>
            <w:tcW w:w="2640" w:type="dxa"/>
            <w:vAlign w:val="bottom"/>
            <w:gridSpan w:val="3"/>
          </w:tcPr>
          <w:p>
            <w:pPr>
              <w:jc w:val="right"/>
              <w:ind w:right="1740"/>
              <w:spacing w:after="0"/>
              <w:rPr>
                <w:sz w:val="20"/>
                <w:szCs w:val="20"/>
                <w:color w:val="auto"/>
              </w:rPr>
            </w:pPr>
            <w:r>
              <w:rPr>
                <w:rFonts w:ascii="Times New Roman" w:cs="Times New Roman" w:eastAsia="Times New Roman" w:hAnsi="Times New Roman"/>
                <w:sz w:val="20"/>
                <w:szCs w:val="20"/>
                <w:color w:val="auto"/>
                <w:w w:val="97"/>
              </w:rPr>
              <w:t>15,771,536</w:t>
            </w:r>
          </w:p>
        </w:tc>
        <w:tc>
          <w:tcPr>
            <w:tcW w:w="8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353,659</w:t>
            </w:r>
          </w:p>
        </w:tc>
        <w:tc>
          <w:tcPr>
            <w:tcW w:w="1780" w:type="dxa"/>
            <w:vAlign w:val="bottom"/>
          </w:tcPr>
          <w:p>
            <w:pPr>
              <w:spacing w:after="0"/>
              <w:rPr>
                <w:sz w:val="24"/>
                <w:szCs w:val="24"/>
                <w:color w:val="auto"/>
              </w:rPr>
            </w:pPr>
          </w:p>
        </w:tc>
        <w:tc>
          <w:tcPr>
            <w:tcW w:w="84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9,203</w:t>
            </w:r>
          </w:p>
        </w:tc>
        <w:tc>
          <w:tcPr>
            <w:tcW w:w="164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4,529,514</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4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On June 22, 2026, the Company issued a press release announcing the results of the votes cast at the Annual Meeting and the declaration of a quarterly cash dividend of $0.0425 per share payable on August 14, 2026 to stockholders of record as of the close of business on July 31, 2026 (the “Press Release”). The Press Release is attached to this Current Report on Form 8-K as Exhibit 99.1. The information contained in this Item 7.01 and Exhibit 99.1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Exhibit Index below, which is incorporated by reference herein.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60" w:lineRule="exact"/>
        <w:rPr>
          <w:sz w:val="20"/>
          <w:szCs w:val="20"/>
          <w:color w:val="auto"/>
        </w:rPr>
      </w:pPr>
    </w:p>
    <w:p>
      <w:pPr>
        <w:ind w:left="580" w:right="2260" w:hanging="647"/>
        <w:spacing w:after="0" w:line="269" w:lineRule="auto"/>
        <w:tabs>
          <w:tab w:leader="none" w:pos="560" w:val="left"/>
        </w:tabs>
        <w:rPr>
          <w:sz w:val="20"/>
          <w:szCs w:val="20"/>
          <w:color w:val="auto"/>
        </w:rPr>
      </w:pPr>
      <w:r>
        <w:rPr>
          <w:rFonts w:ascii="Times New Roman" w:cs="Times New Roman" w:eastAsia="Times New Roman" w:hAnsi="Times New Roman"/>
          <w:sz w:val="20"/>
          <w:szCs w:val="20"/>
          <w:u w:val="single" w:color="auto"/>
          <w:color w:val="0000FF"/>
        </w:rPr>
        <w:t>99.1</w:t>
      </w:r>
      <w:r>
        <w:rPr>
          <w:sz w:val="20"/>
          <w:szCs w:val="20"/>
          <w:color w:val="auto"/>
        </w:rPr>
        <w:tab/>
      </w:r>
      <w:r>
        <w:rPr>
          <w:rFonts w:ascii="Times New Roman" w:cs="Times New Roman" w:eastAsia="Times New Roman" w:hAnsi="Times New Roman"/>
          <w:sz w:val="20"/>
          <w:szCs w:val="20"/>
          <w:color w:val="auto"/>
        </w:rPr>
        <w:t>Press release issued by Lifetime Brands, Inc. on June 22, 2026, announcing the results of the 2026 Annual Meeting and the declaration of a quarterly cash dividend.</w:t>
      </w:r>
    </w:p>
    <w:p>
      <w:pPr>
        <w:spacing w:after="0" w:line="1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0"/>
          <w:szCs w:val="20"/>
          <w:color w:val="auto"/>
        </w:rPr>
        <w:t>Lifetime Brands, Inc.</w:t>
      </w:r>
    </w:p>
    <w:p>
      <w:pPr>
        <w:spacing w:after="0" w:line="81" w:lineRule="exact"/>
        <w:rPr>
          <w:sz w:val="20"/>
          <w:szCs w:val="20"/>
          <w:color w:val="auto"/>
        </w:rPr>
      </w:pPr>
    </w:p>
    <w:p>
      <w:pPr>
        <w:ind w:left="6220"/>
        <w:spacing w:after="0"/>
        <w:tabs>
          <w:tab w:leader="none" w:pos="6760" w:val="left"/>
        </w:tabs>
        <w:rPr>
          <w:sz w:val="20"/>
          <w:szCs w:val="20"/>
          <w:color w:val="auto"/>
        </w:rPr>
      </w:pPr>
      <w:r>
        <w:rPr>
          <w:rFonts w:ascii="Times New Roman" w:cs="Times New Roman" w:eastAsia="Times New Roman" w:hAnsi="Times New Roman"/>
          <w:sz w:val="20"/>
          <w:szCs w:val="20"/>
          <w:color w:val="auto"/>
        </w:rPr>
        <w:t>By:</w:t>
        <w:tab/>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717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Laurence Winoker</w:t>
      </w:r>
    </w:p>
    <w:p>
      <w:pPr>
        <w:ind w:left="6780"/>
        <w:spacing w:after="0" w:line="211" w:lineRule="auto"/>
        <w:rPr>
          <w:sz w:val="20"/>
          <w:szCs w:val="20"/>
          <w:color w:val="auto"/>
        </w:rPr>
      </w:pPr>
      <w:r>
        <w:rPr>
          <w:rFonts w:ascii="Times New Roman" w:cs="Times New Roman" w:eastAsia="Times New Roman" w:hAnsi="Times New Roman"/>
          <w:sz w:val="20"/>
          <w:szCs w:val="20"/>
          <w:color w:val="auto"/>
        </w:rPr>
        <w:t>Executive Vice President – Treasurer and Chief</w:t>
      </w:r>
    </w:p>
    <w:p>
      <w:pPr>
        <w:ind w:left="6780"/>
        <w:spacing w:after="0"/>
        <w:rPr>
          <w:sz w:val="20"/>
          <w:szCs w:val="20"/>
          <w:color w:val="auto"/>
        </w:rPr>
      </w:pPr>
      <w:r>
        <w:rPr>
          <w:rFonts w:ascii="Times New Roman" w:cs="Times New Roman" w:eastAsia="Times New Roman" w:hAnsi="Times New Roman"/>
          <w:sz w:val="20"/>
          <w:szCs w:val="20"/>
          <w:color w:val="auto"/>
        </w:rPr>
        <w:t>Financial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22, 2026</w:t>
      </w:r>
    </w:p>
    <w:p>
      <w:pPr>
        <w:sectPr>
          <w:pgSz w:w="11900" w:h="16838" w:orient="portrait"/>
          <w:cols w:equalWidth="0" w:num="1">
            <w:col w:w="11020"/>
          </w:cols>
          <w:pgMar w:left="320" w:top="891"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588895"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888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 Announces Results of 2026 Annual Meeting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Declares Dividend to be Paid August 14, 2026</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GARDEN CITY, N.Y., June 22, 2026 </w:t>
      </w:r>
      <w:r>
        <w:rPr>
          <w:rFonts w:ascii="Times New Roman" w:cs="Times New Roman" w:eastAsia="Times New Roman" w:hAnsi="Times New Roman"/>
          <w:sz w:val="18"/>
          <w:szCs w:val="18"/>
          <w:color w:val="333333"/>
        </w:rPr>
        <w:t>(GLOBE NEWSWIRE)</w:t>
      </w:r>
      <w:r>
        <w:rPr>
          <w:rFonts w:ascii="Times New Roman" w:cs="Times New Roman" w:eastAsia="Times New Roman" w:hAnsi="Times New Roman"/>
          <w:sz w:val="18"/>
          <w:szCs w:val="18"/>
          <w:color w:val="auto"/>
        </w:rPr>
        <w:t xml:space="preserve"> -- Lifetime Brands, Inc. (Nasdaq: LCUT), a leading global provider of branded kitchenware, tableware and other products used in the home, announced the results of the votes taken at the Company’s 2026 Annual Meeting of Stockholders held Thursday, June 18,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elected the following directors to serve until the next Annual Meeting of Stockholders:</w:t>
      </w:r>
    </w:p>
    <w:p>
      <w:pPr>
        <w:sectPr>
          <w:pgSz w:w="11900" w:h="16838" w:orient="portrait"/>
          <w:cols w:equalWidth="0" w:num="1">
            <w:col w:w="11240"/>
          </w:cols>
          <w:pgMar w:left="320" w:top="1413" w:right="33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Jeffrey Siegel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6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Robert B. Kay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Executive Officer, Lifetime Brands, Inc.</w:t>
      </w:r>
    </w:p>
    <w:p>
      <w:pPr>
        <w:spacing w:after="0" w:line="6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Jeffrey H. Evans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Former Executive Vice President, Entertainment, Toys, and Seasonal, Walmart U.S.</w:t>
      </w:r>
    </w:p>
    <w:p>
      <w:pPr>
        <w:spacing w:after="0" w:line="6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Rachael A. Jarosh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Former President and Chief Executive Officer, Enactus</w:t>
      </w:r>
    </w:p>
    <w:p>
      <w:pPr>
        <w:spacing w:after="0" w:line="6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Cherrie Nanninga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Partner, Real Estate Solutions Group, LLC</w:t>
      </w:r>
    </w:p>
    <w:p>
      <w:pPr>
        <w:spacing w:after="0" w:line="6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Bruce G. Pollack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Managing Partner, Centre Partners Management, LLC</w:t>
      </w:r>
    </w:p>
    <w:p>
      <w:pPr>
        <w:spacing w:after="0" w:line="6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Michael J. Regan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Retired Certified Public Accountant</w:t>
      </w:r>
    </w:p>
    <w:p>
      <w:pPr>
        <w:spacing w:after="0" w:line="6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Michael Schnabel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Partner, Centre Partners Management, LLC</w:t>
      </w:r>
    </w:p>
    <w:p>
      <w:pPr>
        <w:spacing w:after="0" w:line="6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Daniel Siegel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President, Lifetime Brands, Inc.</w:t>
      </w:r>
    </w:p>
    <w:p>
      <w:pPr>
        <w:spacing w:after="0" w:line="211"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spacing w:after="0" w:line="14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addition, stockholders ratified the appointment of Ernst &amp; Young LLP as the Company’s independent registered public accounting firm for the year ending December 31,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non-binding advisory basis, stockholders approved the 2025 compensation of the Company’s named 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also approved an amendment and restatement of the Company’s Amended and Restated 2000 Long-Term Incentive Plan.</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Separately, on Thursday, June 18, 2026, Lifetime’s Board of Directors declared a quarterly cash dividend of $0.0425 per share payable on August 14, 2026 to stockholders of record at the close of business on July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Lifetime Brands is a leading global designer, developer and marketer of a broad range of branded consumer products used in the home. The Company markets its products under well-known kitchenware brands, including Farberware®, KitchenAid®, Sabatier®, Amco Houseworks®, Chef’n® Chicago™ Metallic, Copco®, Fred® &amp; Friends, Houdini™, KitchenCraft®, Kamenstein®, La Cafetière®, MasterClass®, Misto®, Swing-A-Way®, Taylor® Kitchen, Rabbit®, and Dolly®; respected tableware and giftware brands, including Mikasa®, Pfaltzgraff®, Fitz and Floyd®, Empire Silver™, Gorham®, International® Silver, Towle® Silversmiths, Wallace®, Wilton Armetale®, V&amp;A®, Royal Botanic Gardens Kew®, Year &amp; Day®, Dolly®, Royal Leerdam®, and ONIS®; and valued home solutions brands, including BUILT NY®, S’well®, Taylor® Bath, Taylor® Kitchen, Taylor® Weather, Elements®, Planet Box®, and Dolly®. The Company also provides exclusive private label products to leading retailers worldwide.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corporate website is </w:t>
      </w:r>
      <w:r>
        <w:rPr>
          <w:rFonts w:ascii="Times New Roman" w:cs="Times New Roman" w:eastAsia="Times New Roman" w:hAnsi="Times New Roman"/>
          <w:sz w:val="18"/>
          <w:szCs w:val="18"/>
          <w:u w:val="single" w:color="auto"/>
          <w:color w:val="auto"/>
        </w:rPr>
        <w:t>www.lifetimebrands.com.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type w:val="continuous"/>
        </w:sectPr>
      </w:pPr>
    </w:p>
    <w:bookmarkStart w:id="5" w:name="page6"/>
    <w:bookmarkEnd w:id="5"/>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Laurence Winoker, Chief Financial Officer</w:t>
      </w:r>
    </w:p>
    <w:p>
      <w:pPr>
        <w:spacing w:after="0" w:line="234" w:lineRule="auto"/>
        <w:rPr>
          <w:sz w:val="20"/>
          <w:szCs w:val="20"/>
          <w:color w:val="auto"/>
        </w:rPr>
      </w:pPr>
      <w:r>
        <w:rPr>
          <w:rFonts w:ascii="Times New Roman" w:cs="Times New Roman" w:eastAsia="Times New Roman" w:hAnsi="Times New Roman"/>
          <w:sz w:val="18"/>
          <w:szCs w:val="18"/>
          <w:color w:val="auto"/>
        </w:rPr>
        <w:t>516-203-3590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investor.relations@lifetimebrands.com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MZ North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Shannon Devine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 203-741-8811</w:t>
      </w:r>
    </w:p>
    <w:p>
      <w:pPr>
        <w:spacing w:after="0"/>
        <w:rPr>
          <w:sz w:val="20"/>
          <w:szCs w:val="20"/>
          <w:color w:val="auto"/>
        </w:rPr>
      </w:pPr>
      <w:r>
        <w:rPr>
          <w:rFonts w:ascii="Times New Roman" w:cs="Times New Roman" w:eastAsia="Times New Roman" w:hAnsi="Times New Roman"/>
          <w:sz w:val="18"/>
          <w:szCs w:val="18"/>
          <w:color w:val="auto"/>
        </w:rPr>
        <w:t>LCUT@mzgroup.us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2026-06-22T07:11:00Z</dcterms:created>
  <dcterms:modified xsi:type="dcterms:W3CDTF">2026-06-22T07:11:00Z</dcterms:modified>
</cp:coreProperties>
</file>