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95"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480" w:right="220" w:hanging="454"/>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440" w:right="260" w:hanging="414"/>
        <w:spacing w:after="0" w:line="256" w:lineRule="auto"/>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0-19254</w:t>
      </w:r>
    </w:p>
    <w:p>
      <w:pPr>
        <w:spacing w:after="0" w:line="198"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LIFETIME BRANDS,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41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__________________________</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00" w:type="dxa"/>
            <w:vAlign w:val="bottom"/>
          </w:tcPr>
          <w:p>
            <w:pPr>
              <w:jc w:val="center"/>
              <w:ind w:left="2261"/>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60" w:type="dxa"/>
            <w:vAlign w:val="bottom"/>
          </w:tcPr>
          <w:p>
            <w:pPr>
              <w:jc w:val="center"/>
              <w:ind w:right="2142"/>
              <w:spacing w:after="0"/>
              <w:rPr>
                <w:sz w:val="20"/>
                <w:szCs w:val="20"/>
                <w:color w:val="auto"/>
              </w:rPr>
            </w:pPr>
            <w:r>
              <w:rPr>
                <w:rFonts w:ascii="Arial" w:cs="Arial" w:eastAsia="Arial" w:hAnsi="Arial"/>
                <w:sz w:val="18"/>
                <w:szCs w:val="18"/>
                <w:b w:val="1"/>
                <w:bCs w:val="1"/>
                <w:color w:val="auto"/>
                <w:w w:val="89"/>
              </w:rPr>
              <w:t>11-2682486</w:t>
            </w:r>
          </w:p>
        </w:tc>
        <w:tc>
          <w:tcPr>
            <w:tcW w:w="0" w:type="dxa"/>
            <w:vAlign w:val="bottom"/>
          </w:tcPr>
          <w:p>
            <w:pPr>
              <w:spacing w:after="0"/>
              <w:rPr>
                <w:sz w:val="1"/>
                <w:szCs w:val="1"/>
                <w:color w:val="auto"/>
              </w:rPr>
            </w:pPr>
          </w:p>
        </w:tc>
      </w:tr>
      <w:tr>
        <w:trPr>
          <w:trHeight w:val="180"/>
        </w:trPr>
        <w:tc>
          <w:tcPr>
            <w:tcW w:w="7840" w:type="dxa"/>
            <w:vAlign w:val="bottom"/>
            <w:gridSpan w:val="6"/>
          </w:tcPr>
          <w:p>
            <w:pPr>
              <w:jc w:val="center"/>
              <w:ind w:right="2200"/>
              <w:spacing w:after="0"/>
              <w:rPr>
                <w:sz w:val="20"/>
                <w:szCs w:val="20"/>
                <w:color w:val="auto"/>
              </w:rPr>
            </w:pPr>
            <w:r>
              <w:rPr>
                <w:rFonts w:ascii="Arial" w:cs="Arial" w:eastAsia="Arial" w:hAnsi="Arial"/>
                <w:sz w:val="14"/>
                <w:szCs w:val="14"/>
                <w:b w:val="1"/>
                <w:bCs w:val="1"/>
                <w:color w:val="auto"/>
                <w:w w:val="93"/>
              </w:rPr>
              <w:t>(State or other jurisdiction of</w:t>
            </w:r>
          </w:p>
        </w:tc>
        <w:tc>
          <w:tcPr>
            <w:tcW w:w="3360" w:type="dxa"/>
            <w:vAlign w:val="bottom"/>
          </w:tcPr>
          <w:p>
            <w:pPr>
              <w:jc w:val="center"/>
              <w:ind w:right="212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840" w:type="dxa"/>
            <w:vAlign w:val="bottom"/>
            <w:gridSpan w:val="6"/>
          </w:tcPr>
          <w:p>
            <w:pPr>
              <w:jc w:val="center"/>
              <w:ind w:right="2200"/>
              <w:spacing w:after="0"/>
              <w:rPr>
                <w:sz w:val="20"/>
                <w:szCs w:val="20"/>
                <w:color w:val="auto"/>
              </w:rPr>
            </w:pPr>
            <w:r>
              <w:rPr>
                <w:rFonts w:ascii="Arial" w:cs="Arial" w:eastAsia="Arial" w:hAnsi="Arial"/>
                <w:sz w:val="14"/>
                <w:szCs w:val="14"/>
                <w:b w:val="1"/>
                <w:bCs w:val="1"/>
                <w:color w:val="auto"/>
                <w:w w:val="94"/>
              </w:rPr>
              <w:t>incorporation or organization)</w:t>
            </w:r>
          </w:p>
        </w:tc>
        <w:tc>
          <w:tcPr>
            <w:tcW w:w="3360" w:type="dxa"/>
            <w:vAlign w:val="bottom"/>
          </w:tcPr>
          <w:p>
            <w:pPr>
              <w:jc w:val="center"/>
              <w:ind w:right="2142"/>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94"/>
        </w:trPr>
        <w:tc>
          <w:tcPr>
            <w:tcW w:w="3300" w:type="dxa"/>
            <w:vAlign w:val="bottom"/>
          </w:tcPr>
          <w:p>
            <w:pPr>
              <w:spacing w:after="0"/>
              <w:rPr>
                <w:sz w:val="24"/>
                <w:szCs w:val="24"/>
                <w:color w:val="auto"/>
              </w:rPr>
            </w:pPr>
          </w:p>
        </w:tc>
        <w:tc>
          <w:tcPr>
            <w:tcW w:w="454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90"/>
              </w:rPr>
              <w:t>1000 Stewart Avenue, Garden City, New York, 11530</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3300" w:type="dxa"/>
            <w:vAlign w:val="bottom"/>
          </w:tcPr>
          <w:p>
            <w:pPr>
              <w:spacing w:after="0"/>
              <w:rPr>
                <w:sz w:val="24"/>
                <w:szCs w:val="24"/>
                <w:color w:val="auto"/>
              </w:rPr>
            </w:pPr>
          </w:p>
        </w:tc>
        <w:tc>
          <w:tcPr>
            <w:tcW w:w="41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(516) 683-6000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300" w:type="dxa"/>
            <w:vAlign w:val="bottom"/>
          </w:tcPr>
          <w:p>
            <w:pPr>
              <w:spacing w:after="0"/>
              <w:rPr>
                <w:sz w:val="24"/>
                <w:szCs w:val="24"/>
                <w:color w:val="auto"/>
              </w:rPr>
            </w:pPr>
          </w:p>
        </w:tc>
        <w:tc>
          <w:tcPr>
            <w:tcW w:w="41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__________________________</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300" w:type="dxa"/>
            <w:vAlign w:val="bottom"/>
          </w:tcPr>
          <w:p>
            <w:pPr>
              <w:spacing w:after="0"/>
              <w:rPr>
                <w:sz w:val="24"/>
                <w:szCs w:val="24"/>
                <w:color w:val="auto"/>
              </w:rPr>
            </w:pPr>
          </w:p>
        </w:tc>
        <w:tc>
          <w:tcPr>
            <w:tcW w:w="454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00" w:type="dxa"/>
            <w:vAlign w:val="bottom"/>
            <w:vMerge w:val="restart"/>
          </w:tcPr>
          <w:p>
            <w:pPr>
              <w:jc w:val="center"/>
              <w:ind w:left="301"/>
              <w:spacing w:after="0"/>
              <w:rPr>
                <w:sz w:val="20"/>
                <w:szCs w:val="20"/>
                <w:color w:val="auto"/>
              </w:rPr>
            </w:pPr>
            <w:r>
              <w:rPr>
                <w:rFonts w:ascii="Arial" w:cs="Arial" w:eastAsia="Arial" w:hAnsi="Arial"/>
                <w:sz w:val="14"/>
                <w:szCs w:val="14"/>
                <w:b w:val="1"/>
                <w:bCs w:val="1"/>
                <w:color w:val="auto"/>
                <w:w w:val="89"/>
              </w:rPr>
              <w:t>Title of each class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Trading</w:t>
            </w:r>
          </w:p>
        </w:tc>
        <w:tc>
          <w:tcPr>
            <w:tcW w:w="3360" w:type="dxa"/>
            <w:vAlign w:val="bottom"/>
          </w:tcPr>
          <w:p>
            <w:pPr>
              <w:jc w:val="center"/>
              <w:ind w:right="222"/>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43"/>
        </w:trPr>
        <w:tc>
          <w:tcPr>
            <w:tcW w:w="3300" w:type="dxa"/>
            <w:vAlign w:val="bottom"/>
          </w:tcPr>
          <w:p>
            <w:pPr>
              <w:jc w:val="center"/>
              <w:ind w:left="301"/>
              <w:spacing w:after="0"/>
              <w:rPr>
                <w:sz w:val="20"/>
                <w:szCs w:val="20"/>
                <w:color w:val="auto"/>
              </w:rPr>
            </w:pPr>
            <w:r>
              <w:rPr>
                <w:rFonts w:ascii="Arial" w:cs="Arial" w:eastAsia="Arial" w:hAnsi="Arial"/>
                <w:sz w:val="18"/>
                <w:szCs w:val="18"/>
                <w:b w:val="1"/>
                <w:bCs w:val="1"/>
                <w:color w:val="auto"/>
                <w:w w:val="90"/>
              </w:rPr>
              <w:t>Common Stock, $.01 par value</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rPr>
              <w:t>LCUT</w:t>
            </w:r>
          </w:p>
        </w:tc>
        <w:tc>
          <w:tcPr>
            <w:tcW w:w="3360" w:type="dxa"/>
            <w:vAlign w:val="bottom"/>
          </w:tcPr>
          <w:p>
            <w:pPr>
              <w:jc w:val="center"/>
              <w:ind w:right="222"/>
              <w:spacing w:after="0"/>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30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May 1, 2020 was 21,485,682.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233" w:right="37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FOR THE QUARTER ENDED MARCH 31, 2020</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right="120"/>
        <w:spacing w:after="0" w:line="404" w:lineRule="auto"/>
        <w:rPr>
          <w:sz w:val="20"/>
          <w:szCs w:val="20"/>
          <w:color w:val="auto"/>
        </w:rPr>
      </w:pPr>
      <w:r>
        <w:rPr>
          <w:rFonts w:ascii="Arial" w:cs="Arial" w:eastAsia="Arial" w:hAnsi="Arial"/>
          <w:sz w:val="17"/>
          <w:szCs w:val="17"/>
          <w:color w:val="auto"/>
        </w:rPr>
        <w:t xml:space="preserve">Item 2. Item 3. Item 4. </w:t>
      </w:r>
      <w:r>
        <w:rPr>
          <w:rFonts w:ascii="Arial" w:cs="Arial" w:eastAsia="Arial" w:hAnsi="Arial"/>
          <w:sz w:val="17"/>
          <w:szCs w:val="17"/>
          <w:b w:val="1"/>
          <w:bCs w:val="1"/>
          <w:color w:val="auto"/>
        </w:rPr>
        <w:t xml:space="preserve">Part II. </w:t>
      </w:r>
      <w:r>
        <w:rPr>
          <w:rFonts w:ascii="Arial" w:cs="Arial" w:eastAsia="Arial" w:hAnsi="Arial"/>
          <w:sz w:val="17"/>
          <w:szCs w:val="17"/>
          <w:color w:val="auto"/>
        </w:rPr>
        <w:t>Item 1. Item 1A. Item 2</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w:t>
      </w:r>
    </w:p>
    <w:p>
      <w:pPr>
        <w:spacing w:after="0" w:line="104" w:lineRule="exact"/>
        <w:rPr>
          <w:sz w:val="20"/>
          <w:szCs w:val="20"/>
          <w:color w:val="auto"/>
        </w:rPr>
      </w:pPr>
    </w:p>
    <w:p>
      <w:pPr>
        <w:ind w:left="20"/>
        <w:spacing w:after="0"/>
        <w:rPr>
          <w:rFonts w:ascii="Arial" w:cs="Arial" w:eastAsia="Arial" w:hAnsi="Arial"/>
          <w:sz w:val="15"/>
          <w:szCs w:val="15"/>
          <w:u w:val="single" w:color="auto"/>
          <w:color w:val="0000FF"/>
        </w:rPr>
      </w:pPr>
      <w:hyperlink w:anchor="page45">
        <w:r>
          <w:rPr>
            <w:rFonts w:ascii="Arial" w:cs="Arial" w:eastAsia="Arial" w:hAnsi="Arial"/>
            <w:sz w:val="15"/>
            <w:szCs w:val="15"/>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r>
      <w:tr>
        <w:trPr>
          <w:trHeight w:val="242"/>
        </w:trPr>
        <w:tc>
          <w:tcPr>
            <w:tcW w:w="9240" w:type="dxa"/>
            <w:vAlign w:val="bottom"/>
            <w:gridSpan w:val="14"/>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Explanatory Note</w:t>
              </w:r>
            </w:hyperlink>
          </w:p>
        </w:tc>
        <w:tc>
          <w:tcPr>
            <w:tcW w:w="9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364"/>
        </w:trPr>
        <w:tc>
          <w:tcPr>
            <w:tcW w:w="9240" w:type="dxa"/>
            <w:vAlign w:val="bottom"/>
            <w:gridSpan w:val="14"/>
          </w:tcPr>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Financial Information</w:t>
              </w:r>
            </w:hyperlink>
          </w:p>
        </w:tc>
        <w:tc>
          <w:tcPr>
            <w:tcW w:w="920" w:type="dxa"/>
            <w:vAlign w:val="bottom"/>
          </w:tcPr>
          <w:p>
            <w:pPr>
              <w:spacing w:after="0"/>
              <w:rPr>
                <w:sz w:val="24"/>
                <w:szCs w:val="24"/>
                <w:color w:val="auto"/>
              </w:rPr>
            </w:pPr>
          </w:p>
        </w:tc>
      </w:tr>
      <w:tr>
        <w:trPr>
          <w:trHeight w:val="324"/>
        </w:trPr>
        <w:tc>
          <w:tcPr>
            <w:tcW w:w="9240" w:type="dxa"/>
            <w:vAlign w:val="bottom"/>
            <w:gridSpan w:val="14"/>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920" w:type="dxa"/>
            <w:vAlign w:val="bottom"/>
          </w:tcPr>
          <w:p>
            <w:pPr>
              <w:spacing w:after="0"/>
              <w:rPr>
                <w:sz w:val="24"/>
                <w:szCs w:val="24"/>
                <w:color w:val="auto"/>
              </w:rPr>
            </w:pPr>
          </w:p>
        </w:tc>
      </w:tr>
      <w:tr>
        <w:trPr>
          <w:trHeight w:val="243"/>
        </w:trPr>
        <w:tc>
          <w:tcPr>
            <w:tcW w:w="9240" w:type="dxa"/>
            <w:vAlign w:val="bottom"/>
            <w:gridSpan w:val="14"/>
          </w:tcPr>
          <w:p>
            <w:pPr>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Balance Sheets –</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March 31, 2020 </w:t>
            </w:r>
            <w:hyperlink w:anchor="page5">
              <w:r>
                <w:rPr>
                  <w:rFonts w:ascii="Arial" w:cs="Arial" w:eastAsia="Arial" w:hAnsi="Arial"/>
                  <w:sz w:val="18"/>
                  <w:szCs w:val="18"/>
                  <w:u w:val="single" w:color="auto"/>
                  <w:color w:val="0000FF"/>
                </w:rPr>
                <w:t xml:space="preserve">(unaudited) and </w:t>
              </w:r>
            </w:hyperlink>
            <w:r>
              <w:rPr>
                <w:rFonts w:ascii="Arial" w:cs="Arial" w:eastAsia="Arial" w:hAnsi="Arial"/>
                <w:sz w:val="18"/>
                <w:szCs w:val="18"/>
                <w:color w:val="0000FF"/>
              </w:rPr>
              <w:t>December 31, 2019</w:t>
            </w:r>
          </w:p>
        </w:tc>
        <w:tc>
          <w:tcPr>
            <w:tcW w:w="9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r>
      <w:tr>
        <w:trPr>
          <w:trHeight w:val="20"/>
        </w:trPr>
        <w:tc>
          <w:tcPr>
            <w:tcW w:w="3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9240" w:type="dxa"/>
            <w:vAlign w:val="bottom"/>
            <w:gridSpan w:val="14"/>
          </w:tcPr>
          <w:p>
            <w:pPr>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Statements of Operations (unaudited) –</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Three Months Ended March 31, 2020 </w:t>
            </w:r>
            <w:hyperlink w:anchor="page5">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9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0"/>
        </w:trPr>
        <w:tc>
          <w:tcPr>
            <w:tcW w:w="40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4"/>
        </w:trPr>
        <w:tc>
          <w:tcPr>
            <w:tcW w:w="9240" w:type="dxa"/>
            <w:vAlign w:val="bottom"/>
            <w:gridSpan w:val="14"/>
          </w:tcPr>
          <w:p>
            <w:pPr>
              <w:spacing w:after="0"/>
              <w:rPr>
                <w:rFonts w:ascii="Arial" w:cs="Arial" w:eastAsia="Arial" w:hAnsi="Arial"/>
                <w:sz w:val="18"/>
                <w:szCs w:val="18"/>
                <w:color w:val="0000FF"/>
                <w:w w:val="93"/>
              </w:rPr>
            </w:pPr>
            <w:hyperlink w:anchor="page6">
              <w:r>
                <w:rPr>
                  <w:rFonts w:ascii="Arial" w:cs="Arial" w:eastAsia="Arial" w:hAnsi="Arial"/>
                  <w:sz w:val="18"/>
                  <w:szCs w:val="18"/>
                  <w:u w:val="single" w:color="auto"/>
                  <w:color w:val="0000FF"/>
                  <w:w w:val="93"/>
                </w:rPr>
                <w:t>Condensed Consolidated Statements of Comprehensive</w:t>
              </w:r>
              <w:r>
                <w:rPr>
                  <w:rFonts w:ascii="Arial" w:cs="Arial" w:eastAsia="Arial" w:hAnsi="Arial"/>
                  <w:sz w:val="18"/>
                  <w:szCs w:val="18"/>
                  <w:color w:val="0000FF"/>
                  <w:w w:val="93"/>
                </w:rPr>
                <w:t xml:space="preserve"> </w:t>
              </w:r>
            </w:hyperlink>
            <w:r>
              <w:rPr>
                <w:rFonts w:ascii="Arial" w:cs="Arial" w:eastAsia="Arial" w:hAnsi="Arial"/>
                <w:sz w:val="18"/>
                <w:szCs w:val="18"/>
                <w:color w:val="0000FF"/>
                <w:w w:val="93"/>
              </w:rPr>
              <w:t xml:space="preserve">Loss </w:t>
            </w:r>
            <w:hyperlink w:anchor="page6">
              <w:r>
                <w:rPr>
                  <w:rFonts w:ascii="Arial" w:cs="Arial" w:eastAsia="Arial" w:hAnsi="Arial"/>
                  <w:sz w:val="18"/>
                  <w:szCs w:val="18"/>
                  <w:u w:val="single" w:color="auto"/>
                  <w:color w:val="0000FF"/>
                  <w:w w:val="93"/>
                </w:rPr>
                <w:t xml:space="preserve">(unaudited) – </w:t>
              </w:r>
            </w:hyperlink>
            <w:r>
              <w:rPr>
                <w:rFonts w:ascii="Arial" w:cs="Arial" w:eastAsia="Arial" w:hAnsi="Arial"/>
                <w:sz w:val="18"/>
                <w:szCs w:val="18"/>
                <w:color w:val="0000FF"/>
                <w:w w:val="93"/>
              </w:rPr>
              <w:t>Three Months Ended March 31, 2020 and 2019</w:t>
            </w:r>
          </w:p>
        </w:tc>
        <w:tc>
          <w:tcPr>
            <w:tcW w:w="9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20"/>
        </w:trPr>
        <w:tc>
          <w:tcPr>
            <w:tcW w:w="4040" w:type="dxa"/>
            <w:vAlign w:val="bottom"/>
            <w:gridSpan w:val="2"/>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2780" w:type="dxa"/>
            <w:vAlign w:val="bottom"/>
            <w:gridSpan w:val="6"/>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9240" w:type="dxa"/>
            <w:vAlign w:val="bottom"/>
            <w:gridSpan w:val="14"/>
          </w:tcPr>
          <w:p>
            <w:pPr>
              <w:spacing w:after="0"/>
              <w:rPr>
                <w:rFonts w:ascii="Arial" w:cs="Arial" w:eastAsia="Arial" w:hAnsi="Arial"/>
                <w:sz w:val="18"/>
                <w:szCs w:val="18"/>
                <w:color w:val="0000FF"/>
                <w:w w:val="94"/>
              </w:rPr>
            </w:pPr>
            <w:hyperlink w:anchor="page7">
              <w:r>
                <w:rPr>
                  <w:rFonts w:ascii="Arial" w:cs="Arial" w:eastAsia="Arial" w:hAnsi="Arial"/>
                  <w:sz w:val="18"/>
                  <w:szCs w:val="18"/>
                  <w:u w:val="single" w:color="auto"/>
                  <w:color w:val="0000FF"/>
                  <w:w w:val="94"/>
                </w:rPr>
                <w:t xml:space="preserve">Condensed Consolidated Statements of Stockholders’ Equity (unaudited) </w:t>
              </w:r>
            </w:hyperlink>
            <w:r>
              <w:rPr>
                <w:rFonts w:ascii="Arial" w:cs="Arial" w:eastAsia="Arial" w:hAnsi="Arial"/>
                <w:sz w:val="18"/>
                <w:szCs w:val="18"/>
                <w:color w:val="0000FF"/>
                <w:w w:val="94"/>
              </w:rPr>
              <w:t>–Three Months Ended March 31, 2020 and 2019</w:t>
            </w:r>
          </w:p>
        </w:tc>
        <w:tc>
          <w:tcPr>
            <w:tcW w:w="9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r>
      <w:tr>
        <w:trPr>
          <w:trHeight w:val="20"/>
        </w:trPr>
        <w:tc>
          <w:tcPr>
            <w:tcW w:w="4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gridSpan w:val="6"/>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9240" w:type="dxa"/>
            <w:vAlign w:val="bottom"/>
            <w:gridSpan w:val="14"/>
          </w:tcPr>
          <w:p>
            <w:pPr>
              <w:spacing w:after="0"/>
              <w:rPr>
                <w:rFonts w:ascii="Arial" w:cs="Arial" w:eastAsia="Arial" w:hAnsi="Arial"/>
                <w:sz w:val="18"/>
                <w:szCs w:val="18"/>
                <w:color w:val="0000FF"/>
              </w:rPr>
            </w:pPr>
            <w:hyperlink w:anchor="page8">
              <w:r>
                <w:rPr>
                  <w:rFonts w:ascii="Arial" w:cs="Arial" w:eastAsia="Arial" w:hAnsi="Arial"/>
                  <w:sz w:val="18"/>
                  <w:szCs w:val="18"/>
                  <w:u w:val="single" w:color="auto"/>
                  <w:color w:val="0000FF"/>
                </w:rPr>
                <w:t>Condensed Consolidated Statements of Cash Flows (unaudited) –</w:t>
              </w:r>
              <w:r>
                <w:rPr>
                  <w:rFonts w:ascii="Arial" w:cs="Arial" w:eastAsia="Arial" w:hAnsi="Arial"/>
                  <w:sz w:val="18"/>
                  <w:szCs w:val="18"/>
                  <w:color w:val="0000FF"/>
                </w:rPr>
                <w:t xml:space="preserve"> </w:t>
              </w:r>
            </w:hyperlink>
            <w:r>
              <w:rPr>
                <w:rFonts w:ascii="Arial" w:cs="Arial" w:eastAsia="Arial" w:hAnsi="Arial"/>
                <w:sz w:val="18"/>
                <w:szCs w:val="18"/>
                <w:color w:val="0000FF"/>
              </w:rPr>
              <w:t>Three Months Ended March 31, 2020 and 2019</w:t>
            </w:r>
          </w:p>
        </w:tc>
        <w:tc>
          <w:tcPr>
            <w:tcW w:w="92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tc>
      </w:tr>
      <w:tr>
        <w:trPr>
          <w:trHeight w:val="20"/>
        </w:trPr>
        <w:tc>
          <w:tcPr>
            <w:tcW w:w="4720" w:type="dxa"/>
            <w:vAlign w:val="bottom"/>
            <w:gridSpan w:val="5"/>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9240" w:type="dxa"/>
            <w:vAlign w:val="bottom"/>
            <w:gridSpan w:val="14"/>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 (unaudited)</w:t>
              </w:r>
            </w:hyperlink>
          </w:p>
        </w:tc>
        <w:tc>
          <w:tcPr>
            <w:tcW w:w="92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8</w:t>
              </w:r>
            </w:hyperlink>
          </w:p>
        </w:tc>
      </w:tr>
      <w:tr>
        <w:trPr>
          <w:trHeight w:val="324"/>
        </w:trPr>
        <w:tc>
          <w:tcPr>
            <w:tcW w:w="9240" w:type="dxa"/>
            <w:vAlign w:val="bottom"/>
            <w:gridSpan w:val="14"/>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28</w:t>
              </w:r>
            </w:hyperlink>
          </w:p>
        </w:tc>
      </w:tr>
      <w:tr>
        <w:trPr>
          <w:trHeight w:val="324"/>
        </w:trPr>
        <w:tc>
          <w:tcPr>
            <w:tcW w:w="9240" w:type="dxa"/>
            <w:vAlign w:val="bottom"/>
            <w:gridSpan w:val="14"/>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Quantitative and Qualitative Disclosures About Market Risk</w:t>
              </w:r>
            </w:hyperlink>
          </w:p>
        </w:tc>
        <w:tc>
          <w:tcPr>
            <w:tcW w:w="9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r>
      <w:tr>
        <w:trPr>
          <w:trHeight w:val="324"/>
        </w:trPr>
        <w:tc>
          <w:tcPr>
            <w:tcW w:w="9240" w:type="dxa"/>
            <w:vAlign w:val="bottom"/>
            <w:gridSpan w:val="14"/>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Controls and Procedures</w:t>
              </w:r>
            </w:hyperlink>
          </w:p>
        </w:tc>
        <w:tc>
          <w:tcPr>
            <w:tcW w:w="9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r>
      <w:tr>
        <w:trPr>
          <w:trHeight w:val="324"/>
        </w:trPr>
        <w:tc>
          <w:tcPr>
            <w:tcW w:w="9240" w:type="dxa"/>
            <w:vAlign w:val="bottom"/>
            <w:gridSpan w:val="14"/>
          </w:tcPr>
          <w:p>
            <w:pPr>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Other Information</w:t>
              </w:r>
            </w:hyperlink>
          </w:p>
        </w:tc>
        <w:tc>
          <w:tcPr>
            <w:tcW w:w="920" w:type="dxa"/>
            <w:vAlign w:val="bottom"/>
          </w:tcPr>
          <w:p>
            <w:pPr>
              <w:spacing w:after="0"/>
              <w:rPr>
                <w:sz w:val="24"/>
                <w:szCs w:val="24"/>
                <w:color w:val="auto"/>
              </w:rPr>
            </w:pPr>
          </w:p>
        </w:tc>
      </w:tr>
      <w:tr>
        <w:trPr>
          <w:trHeight w:val="324"/>
        </w:trPr>
        <w:tc>
          <w:tcPr>
            <w:tcW w:w="9240" w:type="dxa"/>
            <w:vAlign w:val="bottom"/>
            <w:gridSpan w:val="14"/>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Legal Proceedings</w:t>
              </w:r>
            </w:hyperlink>
          </w:p>
        </w:tc>
        <w:tc>
          <w:tcPr>
            <w:tcW w:w="9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r>
      <w:tr>
        <w:trPr>
          <w:trHeight w:val="324"/>
        </w:trPr>
        <w:tc>
          <w:tcPr>
            <w:tcW w:w="9240" w:type="dxa"/>
            <w:vAlign w:val="bottom"/>
            <w:gridSpan w:val="14"/>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Risk Factors</w:t>
              </w:r>
            </w:hyperlink>
          </w:p>
        </w:tc>
        <w:tc>
          <w:tcPr>
            <w:tcW w:w="92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41</w:t>
              </w:r>
            </w:hyperlink>
          </w:p>
        </w:tc>
      </w:tr>
      <w:tr>
        <w:trPr>
          <w:trHeight w:val="324"/>
        </w:trPr>
        <w:tc>
          <w:tcPr>
            <w:tcW w:w="9240" w:type="dxa"/>
            <w:vAlign w:val="bottom"/>
            <w:gridSpan w:val="14"/>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Unregistered Sales of Equity Securities and Use of Proceeds</w:t>
              </w:r>
            </w:hyperlink>
          </w:p>
        </w:tc>
        <w:tc>
          <w:tcPr>
            <w:tcW w:w="92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41</w:t>
              </w:r>
            </w:hyperlink>
          </w:p>
        </w:tc>
      </w:tr>
      <w:tr>
        <w:trPr>
          <w:trHeight w:val="364"/>
        </w:trPr>
        <w:tc>
          <w:tcPr>
            <w:tcW w:w="9240" w:type="dxa"/>
            <w:vAlign w:val="bottom"/>
            <w:gridSpan w:val="14"/>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Exhibits</w:t>
              </w:r>
            </w:hyperlink>
          </w:p>
        </w:tc>
        <w:tc>
          <w:tcPr>
            <w:tcW w:w="92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43</w:t>
              </w:r>
            </w:hyperlink>
          </w:p>
        </w:tc>
      </w:tr>
      <w:tr>
        <w:trPr>
          <w:trHeight w:val="284"/>
        </w:trPr>
        <w:tc>
          <w:tcPr>
            <w:tcW w:w="3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44</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4020185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80" w:space="180"/>
            <w:col w:w="10160"/>
          </w:cols>
          <w:pgMar w:left="320" w:top="125" w:right="4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Lifetime Brands, Inc. (the “Company”) previously disclosed in a Current Report on Form 8-K filed with the Securities and Exchange Commission (the “SEC”) that it was delaying the filing of this Quarterly Report on Form 10-Q for the period ended March 31, 2020 in reliance on the order issued by the SEC on March 4, 2020 in SEC Release No. 34-88318, as extended and amended on March 25, 2020 in SEC Release No. 34-88465, which allows for the postponement of certain filings required under the Securities Exchange Act of 1934, as amended. As a result of staffing constraints, remote work transitions, and other financial reporting considerations, the filing of this Quarterly Report on Form 10-Q was delayed to allow the Company’s finance department sufficient time to address other Company needs and requirements resulting from the novel coronavirus 2019 (“COVID-19”) outbreak, as well as to gather information relating to the impact of the COVID-19 outbreak on the Company’s business, financial condition, and results of operations for inclusion in the disclosure in this Quarterly Report on Form 10-Q.</w:t>
      </w: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70"/>
        </w:trPr>
        <w:tc>
          <w:tcPr>
            <w:tcW w:w="8240" w:type="dxa"/>
            <w:vAlign w:val="bottom"/>
          </w:tcPr>
          <w:p>
            <w:pPr>
              <w:ind w:left="360"/>
              <w:spacing w:after="0"/>
              <w:rPr>
                <w:sz w:val="20"/>
                <w:szCs w:val="20"/>
                <w:color w:val="auto"/>
              </w:rPr>
            </w:pPr>
            <w:r>
              <w:rPr>
                <w:rFonts w:ascii="Arial" w:cs="Arial" w:eastAsia="Arial" w:hAnsi="Arial"/>
                <w:sz w:val="18"/>
                <w:szCs w:val="18"/>
                <w:color w:val="auto"/>
                <w:w w:val="96"/>
              </w:rPr>
              <w:t>Accounts receivable, less allowances of $13,272 at March 31, 2020 and $9,681 at December 31, 2019</w:t>
            </w:r>
          </w:p>
        </w:tc>
        <w:tc>
          <w:tcPr>
            <w:tcW w:w="24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80,273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128,639</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164,711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173,427</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13,395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14,140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37"/>
        </w:trPr>
        <w:tc>
          <w:tcPr>
            <w:tcW w:w="82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349,161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329,153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28,168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103,056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106,871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21,289</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254,773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280,471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758,469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770,023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Current maturity of term loan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8,175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27,706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36,173</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42,462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52,060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10,661</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89,112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107,307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15,569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12,214</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INCOME TAXES PAYABLE, LONG-TERM</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108,922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112,180</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14,074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74,438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32,822</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TERM LOAN</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254,210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254,281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520"/>
              <w:spacing w:after="0" w:line="176" w:lineRule="exact"/>
              <w:rPr>
                <w:sz w:val="20"/>
                <w:szCs w:val="20"/>
                <w:color w:val="auto"/>
              </w:rPr>
            </w:pPr>
            <w:r>
              <w:rPr>
                <w:rFonts w:ascii="Arial" w:cs="Arial" w:eastAsia="Arial" w:hAnsi="Arial"/>
                <w:sz w:val="18"/>
                <w:szCs w:val="18"/>
                <w:color w:val="auto"/>
                <w:w w:val="89"/>
              </w:rPr>
              <w:t>Preferred stock, $1.00 par value, shares authorized: 100 shares of Series A and 2,000,000 shares of Series</w:t>
            </w:r>
          </w:p>
        </w:tc>
        <w:tc>
          <w:tcPr>
            <w:tcW w:w="240" w:type="dxa"/>
            <w:vAlign w:val="bottom"/>
          </w:tcPr>
          <w:p>
            <w:pPr>
              <w:spacing w:after="0"/>
              <w:rPr>
                <w:sz w:val="15"/>
                <w:szCs w:val="15"/>
                <w:color w:val="auto"/>
              </w:rPr>
            </w:pPr>
          </w:p>
        </w:tc>
        <w:tc>
          <w:tcPr>
            <w:tcW w:w="13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4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520"/>
              <w:spacing w:after="0"/>
              <w:rPr>
                <w:sz w:val="20"/>
                <w:szCs w:val="20"/>
                <w:color w:val="auto"/>
              </w:rPr>
            </w:pPr>
            <w:r>
              <w:rPr>
                <w:rFonts w:ascii="Arial" w:cs="Arial" w:eastAsia="Arial" w:hAnsi="Arial"/>
                <w:sz w:val="18"/>
                <w:szCs w:val="18"/>
                <w:color w:val="auto"/>
              </w:rPr>
              <w:t>B; none issued and outstanding</w:t>
            </w: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5"/>
              </w:rPr>
              <w:t>Common stock, $0.01 par value, shares authorized: 50,000,000 at March 31, 2020 and December 31,</w:t>
            </w: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9"/>
              </w:rPr>
              <w:t>2019; shares issued and outstanding: 21,485,682 at March 31, 2020 and 21,255,660 at December 31, 2019</w:t>
            </w: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264,405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263,386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 retained earnings</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(21,923)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7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(41,770)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(34,455)</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200,927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236,317</w:t>
            </w:r>
          </w:p>
        </w:tc>
        <w:tc>
          <w:tcPr>
            <w:tcW w:w="0" w:type="dxa"/>
            <w:vAlign w:val="bottom"/>
          </w:tcPr>
          <w:p>
            <w:pPr>
              <w:spacing w:after="0"/>
              <w:rPr>
                <w:sz w:val="1"/>
                <w:szCs w:val="1"/>
                <w:color w:val="auto"/>
              </w:rPr>
            </w:pPr>
          </w:p>
        </w:tc>
      </w:tr>
      <w:tr>
        <w:trPr>
          <w:trHeight w:val="264"/>
        </w:trPr>
        <w:tc>
          <w:tcPr>
            <w:tcW w:w="8240" w:type="dxa"/>
            <w:vAlign w:val="bottom"/>
          </w:tcPr>
          <w:p>
            <w:pPr>
              <w:ind w:left="110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758,469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770,023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13335</wp:posOffset>
            </wp:positionV>
            <wp:extent cx="1868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49"/>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145,070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149,926</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92,136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95,605</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54,321</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16,557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15,860</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41,522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40,140</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3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608</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other impairments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20,100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64"/>
        </w:trPr>
        <w:tc>
          <w:tcPr>
            <w:tcW w:w="83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(25,245)</w:t>
            </w: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(2,287)</w:t>
            </w: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(4,922)</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Mark to market loss on interest rate derivatives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 and equity in earnings (losses)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(32,232)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(7,209)</w:t>
            </w:r>
          </w:p>
        </w:tc>
      </w:tr>
      <w:tr>
        <w:trPr>
          <w:trHeight w:val="270"/>
        </w:trPr>
        <w:tc>
          <w:tcPr>
            <w:tcW w:w="83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2,458</w:t>
            </w:r>
          </w:p>
        </w:tc>
      </w:tr>
      <w:tr>
        <w:trPr>
          <w:trHeight w:val="27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(losses), net of taxes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r>
      <w:tr>
        <w:trPr>
          <w:trHeight w:val="26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(28,164)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(4,867)</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64"/>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LOSS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r>
      <w:tr>
        <w:trPr>
          <w:trHeight w:val="26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DILUTED LOSS PER COMMON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(0.24)</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13335</wp:posOffset>
            </wp:positionV>
            <wp:extent cx="18599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7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(28,164)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(4,867)</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1,306</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Net change in cash flow hedges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596</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w:t>
            </w:r>
          </w:p>
        </w:tc>
      </w:tr>
      <w:tr>
        <w:trPr>
          <w:trHeight w:val="26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(7,315)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1,915</w:t>
            </w:r>
          </w:p>
        </w:tc>
      </w:tr>
      <w:tr>
        <w:trPr>
          <w:trHeight w:val="28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(35,479)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(2,952)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80" w:type="dxa"/>
            <w:vAlign w:val="bottom"/>
            <w:gridSpan w:val="6"/>
          </w:tcPr>
          <w:p>
            <w:pPr>
              <w:ind w:left="520"/>
              <w:spacing w:after="0"/>
              <w:rPr>
                <w:sz w:val="20"/>
                <w:szCs w:val="20"/>
                <w:color w:val="auto"/>
              </w:rPr>
            </w:pPr>
            <w:r>
              <w:rPr>
                <w:rFonts w:ascii="Arial" w:cs="Arial" w:eastAsia="Arial" w:hAnsi="Arial"/>
                <w:sz w:val="18"/>
                <w:szCs w:val="18"/>
                <w:b w:val="1"/>
                <w:bCs w:val="1"/>
                <w:color w:val="auto"/>
              </w:rPr>
              <w:t>Common stock</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Paid-in</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Retained</w:t>
            </w:r>
          </w:p>
        </w:tc>
        <w:tc>
          <w:tcPr>
            <w:tcW w:w="1680" w:type="dxa"/>
            <w:vAlign w:val="bottom"/>
            <w:gridSpan w:val="5"/>
            <w:vMerge w:val="restart"/>
          </w:tcPr>
          <w:p>
            <w:pPr>
              <w:jc w:val="right"/>
              <w:ind w:right="160"/>
              <w:spacing w:after="0"/>
              <w:rPr>
                <w:sz w:val="20"/>
                <w:szCs w:val="20"/>
                <w:color w:val="auto"/>
              </w:rPr>
            </w:pPr>
            <w:r>
              <w:rPr>
                <w:rFonts w:ascii="Arial" w:cs="Arial" w:eastAsia="Arial" w:hAnsi="Arial"/>
                <w:sz w:val="18"/>
                <w:szCs w:val="18"/>
                <w:b w:val="1"/>
                <w:bCs w:val="1"/>
                <w:color w:val="auto"/>
                <w:w w:val="91"/>
              </w:rPr>
              <w:t>Accumulated other</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00" w:type="dxa"/>
            <w:vAlign w:val="bottom"/>
            <w:gridSpan w:val="2"/>
            <w:vMerge w:val="restart"/>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capital</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88"/>
              </w:rPr>
              <w:t>Total</w:t>
            </w:r>
          </w:p>
        </w:tc>
        <w:tc>
          <w:tcPr>
            <w:tcW w:w="2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6"/>
              </w:rPr>
              <w:t>comprehensive loss</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55,264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5"/>
              </w:rPr>
              <w:t>279,493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60" w:type="dxa"/>
            <w:vAlign w:val="bottom"/>
            <w:gridSpan w:val="3"/>
          </w:tcPr>
          <w:p>
            <w:pPr>
              <w:ind w:left="20"/>
              <w:spacing w:after="0"/>
              <w:rPr>
                <w:sz w:val="20"/>
                <w:szCs w:val="20"/>
                <w:color w:val="auto"/>
              </w:rPr>
            </w:pPr>
            <w:r>
              <w:rPr>
                <w:rFonts w:ascii="Arial" w:cs="Arial" w:eastAsia="Arial" w:hAnsi="Arial"/>
                <w:sz w:val="18"/>
                <w:szCs w:val="18"/>
                <w:color w:val="auto"/>
              </w:rPr>
              <w:t>Comprehensive (loss) income:</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(4,867)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(4,867)</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60" w:type="dxa"/>
            <w:vAlign w:val="bottom"/>
            <w:gridSpan w:val="3"/>
          </w:tcPr>
          <w:p>
            <w:pPr>
              <w:ind w:left="220"/>
              <w:spacing w:after="0"/>
              <w:rPr>
                <w:sz w:val="20"/>
                <w:szCs w:val="20"/>
                <w:color w:val="auto"/>
              </w:rPr>
            </w:pPr>
            <w:r>
              <w:rPr>
                <w:rFonts w:ascii="Arial" w:cs="Arial" w:eastAsia="Arial" w:hAnsi="Arial"/>
                <w:sz w:val="18"/>
                <w:szCs w:val="18"/>
                <w:color w:val="auto"/>
              </w:rPr>
              <w:t>Translation adjustment</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1,306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Derivative fair value adjustment</w:t>
            </w:r>
          </w:p>
        </w:tc>
        <w:tc>
          <w:tcPr>
            <w:tcW w:w="11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gridSpan w:val="3"/>
          </w:tcPr>
          <w:p>
            <w:pPr>
              <w:ind w:left="220"/>
              <w:spacing w:after="0"/>
              <w:rPr>
                <w:sz w:val="20"/>
                <w:szCs w:val="20"/>
                <w:color w:val="auto"/>
              </w:rPr>
            </w:pPr>
            <w:r>
              <w:rPr>
                <w:rFonts w:ascii="Arial" w:cs="Arial" w:eastAsia="Arial" w:hAnsi="Arial"/>
                <w:sz w:val="18"/>
                <w:szCs w:val="18"/>
                <w:color w:val="auto"/>
              </w:rPr>
              <w:t>Effect of retirement benefit obligations</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Total comprehensive loss</w:t>
            </w:r>
          </w:p>
        </w:tc>
        <w:tc>
          <w:tcPr>
            <w:tcW w:w="10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(2,952)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760" w:type="dxa"/>
            <w:vAlign w:val="bottom"/>
            <w:gridSpan w:val="3"/>
          </w:tcPr>
          <w:p>
            <w:pPr>
              <w:ind w:left="20"/>
              <w:spacing w:after="0"/>
              <w:rPr>
                <w:sz w:val="20"/>
                <w:szCs w:val="20"/>
                <w:color w:val="auto"/>
              </w:rPr>
            </w:pPr>
            <w:r>
              <w:rPr>
                <w:rFonts w:ascii="Arial" w:cs="Arial" w:eastAsia="Arial" w:hAnsi="Arial"/>
                <w:sz w:val="18"/>
                <w:szCs w:val="18"/>
                <w:color w:val="auto"/>
                <w:w w:val="99"/>
              </w:rPr>
              <w:t>Net issuance of restricted shares to employees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1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gridSpan w:val="3"/>
          </w:tcPr>
          <w:p>
            <w:pPr>
              <w:ind w:left="20"/>
              <w:spacing w:after="0"/>
              <w:rPr>
                <w:sz w:val="20"/>
                <w:szCs w:val="20"/>
                <w:color w:val="auto"/>
              </w:rPr>
            </w:pPr>
            <w:r>
              <w:rPr>
                <w:rFonts w:ascii="Arial" w:cs="Arial" w:eastAsia="Arial" w:hAnsi="Arial"/>
                <w:sz w:val="18"/>
                <w:szCs w:val="18"/>
                <w:color w:val="auto"/>
              </w:rPr>
              <w:t>Net exercise of stock options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effectively repurchased for required</w:t>
            </w: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employee withholding taxes</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(898)</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20,927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259,304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49,499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(32,701)</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5"/>
              </w:rPr>
              <w:t>276,311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6"/>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6"/>
            <w:vMerge w:val="restart"/>
          </w:tcPr>
          <w:p>
            <w:pPr>
              <w:ind w:left="480"/>
              <w:spacing w:after="0"/>
              <w:rPr>
                <w:sz w:val="20"/>
                <w:szCs w:val="20"/>
                <w:color w:val="auto"/>
              </w:rPr>
            </w:pPr>
            <w:r>
              <w:rPr>
                <w:rFonts w:ascii="Arial" w:cs="Arial" w:eastAsia="Arial" w:hAnsi="Arial"/>
                <w:sz w:val="18"/>
                <w:szCs w:val="18"/>
                <w:b w:val="1"/>
                <w:bCs w:val="1"/>
                <w:color w:val="auto"/>
              </w:rPr>
              <w:t>Common stock</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Retained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6"/>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Paid-in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w w:val="96"/>
              </w:rPr>
              <w:t>Accumulated other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4"/>
              </w:rPr>
              <w:t>capital</w:t>
            </w:r>
          </w:p>
        </w:tc>
        <w:tc>
          <w:tcPr>
            <w:tcW w:w="1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1"/>
              </w:rPr>
              <w:t>deficit)</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5"/>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line="20" w:lineRule="exact"/>
              <w:rPr>
                <w:sz w:val="1"/>
                <w:szCs w:val="1"/>
                <w:color w:val="auto"/>
              </w:rPr>
            </w:pPr>
          </w:p>
        </w:tc>
      </w:tr>
      <w:tr>
        <w:trPr>
          <w:trHeight w:val="229"/>
        </w:trPr>
        <w:tc>
          <w:tcPr>
            <w:tcW w:w="36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5"/>
              </w:rPr>
              <w:t>comprehensive loss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21,256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263,386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(34,455)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236,317</w:t>
            </w:r>
          </w:p>
        </w:tc>
        <w:tc>
          <w:tcPr>
            <w:tcW w:w="0" w:type="dxa"/>
            <w:vAlign w:val="bottom"/>
          </w:tcPr>
          <w:p>
            <w:pPr>
              <w:spacing w:after="0"/>
              <w:rPr>
                <w:sz w:val="1"/>
                <w:szCs w:val="1"/>
                <w:color w:val="auto"/>
              </w:rPr>
            </w:pPr>
          </w:p>
        </w:tc>
      </w:tr>
      <w:tr>
        <w:trPr>
          <w:trHeight w:val="230"/>
        </w:trPr>
        <w:tc>
          <w:tcPr>
            <w:tcW w:w="3760" w:type="dxa"/>
            <w:vAlign w:val="bottom"/>
            <w:gridSpan w:val="3"/>
          </w:tcPr>
          <w:p>
            <w:pPr>
              <w:ind w:left="20"/>
              <w:spacing w:after="0"/>
              <w:rPr>
                <w:sz w:val="20"/>
                <w:szCs w:val="20"/>
                <w:color w:val="auto"/>
              </w:rPr>
            </w:pPr>
            <w:r>
              <w:rPr>
                <w:rFonts w:ascii="Arial" w:cs="Arial" w:eastAsia="Arial" w:hAnsi="Arial"/>
                <w:sz w:val="18"/>
                <w:szCs w:val="18"/>
                <w:color w:val="auto"/>
              </w:rPr>
              <w:t>Comprehensive (loss) income:</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(28,164)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(28,164)</w:t>
            </w:r>
          </w:p>
        </w:tc>
        <w:tc>
          <w:tcPr>
            <w:tcW w:w="0" w:type="dxa"/>
            <w:vAlign w:val="bottom"/>
          </w:tcPr>
          <w:p>
            <w:pPr>
              <w:spacing w:after="0"/>
              <w:rPr>
                <w:sz w:val="1"/>
                <w:szCs w:val="1"/>
                <w:color w:val="auto"/>
              </w:rPr>
            </w:pPr>
          </w:p>
        </w:tc>
      </w:tr>
      <w:tr>
        <w:trPr>
          <w:trHeight w:val="243"/>
        </w:trPr>
        <w:tc>
          <w:tcPr>
            <w:tcW w:w="3760" w:type="dxa"/>
            <w:vAlign w:val="bottom"/>
            <w:gridSpan w:val="3"/>
          </w:tcPr>
          <w:p>
            <w:pPr>
              <w:ind w:left="220"/>
              <w:spacing w:after="0"/>
              <w:rPr>
                <w:sz w:val="20"/>
                <w:szCs w:val="20"/>
                <w:color w:val="auto"/>
              </w:rPr>
            </w:pPr>
            <w:r>
              <w:rPr>
                <w:rFonts w:ascii="Arial" w:cs="Arial" w:eastAsia="Arial" w:hAnsi="Arial"/>
                <w:sz w:val="18"/>
                <w:szCs w:val="18"/>
                <w:color w:val="auto"/>
              </w:rPr>
              <w:t>Translation adjustment</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(4,458)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Net change in cash flow hedges</w:t>
            </w: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43"/>
        </w:trPr>
        <w:tc>
          <w:tcPr>
            <w:tcW w:w="3760" w:type="dxa"/>
            <w:vAlign w:val="bottom"/>
            <w:gridSpan w:val="3"/>
          </w:tcPr>
          <w:p>
            <w:pPr>
              <w:ind w:left="220"/>
              <w:spacing w:after="0"/>
              <w:rPr>
                <w:sz w:val="20"/>
                <w:szCs w:val="20"/>
                <w:color w:val="auto"/>
              </w:rPr>
            </w:pPr>
            <w:r>
              <w:rPr>
                <w:rFonts w:ascii="Arial" w:cs="Arial" w:eastAsia="Arial" w:hAnsi="Arial"/>
                <w:sz w:val="18"/>
                <w:szCs w:val="18"/>
                <w:color w:val="auto"/>
              </w:rPr>
              <w:t>Effect of retirement benefit obligations</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Total comprehensive loss</w:t>
            </w:r>
          </w:p>
        </w:tc>
        <w:tc>
          <w:tcPr>
            <w:tcW w:w="10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(35,479)</w:t>
            </w:r>
          </w:p>
        </w:tc>
        <w:tc>
          <w:tcPr>
            <w:tcW w:w="0" w:type="dxa"/>
            <w:vAlign w:val="bottom"/>
          </w:tcPr>
          <w:p>
            <w:pPr>
              <w:spacing w:after="0"/>
              <w:rPr>
                <w:sz w:val="1"/>
                <w:szCs w:val="1"/>
                <w:color w:val="auto"/>
              </w:rPr>
            </w:pPr>
          </w:p>
        </w:tc>
      </w:tr>
      <w:tr>
        <w:trPr>
          <w:trHeight w:val="237"/>
        </w:trPr>
        <w:tc>
          <w:tcPr>
            <w:tcW w:w="3760" w:type="dxa"/>
            <w:vAlign w:val="bottom"/>
            <w:gridSpan w:val="3"/>
          </w:tcPr>
          <w:p>
            <w:pPr>
              <w:ind w:left="20"/>
              <w:spacing w:after="0"/>
              <w:rPr>
                <w:sz w:val="20"/>
                <w:szCs w:val="20"/>
                <w:color w:val="auto"/>
              </w:rPr>
            </w:pPr>
            <w:r>
              <w:rPr>
                <w:rFonts w:ascii="Arial" w:cs="Arial" w:eastAsia="Arial" w:hAnsi="Arial"/>
                <w:sz w:val="18"/>
                <w:szCs w:val="18"/>
                <w:color w:val="auto"/>
              </w:rPr>
              <w:t>Performance shares issued to employees</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9"/>
              </w:rPr>
              <w:t>Net issuance of restricted shares to employees</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gridSpan w:val="3"/>
          </w:tcPr>
          <w:p>
            <w:pPr>
              <w:ind w:left="20"/>
              <w:spacing w:after="0"/>
              <w:rPr>
                <w:sz w:val="20"/>
                <w:szCs w:val="20"/>
                <w:color w:val="auto"/>
              </w:rPr>
            </w:pPr>
            <w:r>
              <w:rPr>
                <w:rFonts w:ascii="Arial" w:cs="Arial" w:eastAsia="Arial" w:hAnsi="Arial"/>
                <w:sz w:val="18"/>
                <w:szCs w:val="18"/>
                <w:color w:val="auto"/>
              </w:rPr>
              <w:t>Stock compensation expense</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effectively repurchased for required</w:t>
            </w: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employee withholding taxes</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0"/>
        </w:trPr>
        <w:tc>
          <w:tcPr>
            <w:tcW w:w="3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84"/>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21,486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264,405</w:t>
            </w:r>
          </w:p>
        </w:tc>
        <w:tc>
          <w:tcPr>
            <w:tcW w:w="10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4"/>
                <w:szCs w:val="24"/>
                <w:color w:val="auto"/>
              </w:rPr>
            </w:pPr>
          </w:p>
        </w:tc>
        <w:tc>
          <w:tcPr>
            <w:tcW w:w="116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(21,923)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(41,770)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200,927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480" w:hanging="472"/>
        <w:spacing w:after="0"/>
        <w:tabs>
          <w:tab w:leader="none" w:pos="480" w:val="left"/>
        </w:tabs>
        <w:numPr>
          <w:ilvl w:val="0"/>
          <w:numId w:val="3"/>
        </w:numPr>
        <w:rPr>
          <w:rFonts w:ascii="Arial" w:cs="Arial" w:eastAsia="Arial" w:hAnsi="Arial"/>
          <w:sz w:val="9"/>
          <w:szCs w:val="9"/>
          <w:color w:val="auto"/>
        </w:rPr>
      </w:pPr>
      <w:r>
        <w:rPr>
          <w:rFonts w:ascii="Arial" w:cs="Arial" w:eastAsia="Arial" w:hAnsi="Arial"/>
          <w:sz w:val="14"/>
          <w:szCs w:val="14"/>
          <w:color w:val="auto"/>
        </w:rPr>
        <w:t>Cash dividends declared per share of common stock were $0.0425 and $0.0425 in the three months ended March 31,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751"/>
        </w:trPr>
        <w:tc>
          <w:tcPr>
            <w:tcW w:w="8240" w:type="dxa"/>
            <w:vAlign w:val="bottom"/>
          </w:tcPr>
          <w:p>
            <w:pPr>
              <w:jc w:val="center"/>
              <w:ind w:left="2910"/>
              <w:spacing w:after="0"/>
              <w:rPr>
                <w:sz w:val="20"/>
                <w:szCs w:val="20"/>
                <w:color w:val="auto"/>
              </w:rPr>
            </w:pPr>
            <w:r>
              <w:rPr>
                <w:rFonts w:ascii="Arial" w:cs="Arial" w:eastAsia="Arial" w:hAnsi="Arial"/>
                <w:sz w:val="18"/>
                <w:szCs w:val="18"/>
                <w:b w:val="1"/>
                <w:bCs w:val="1"/>
                <w:color w:val="auto"/>
              </w:rPr>
              <w:t>LIFETIME BRANDS,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0"/>
        </w:trPr>
        <w:tc>
          <w:tcPr>
            <w:tcW w:w="8560" w:type="dxa"/>
            <w:vAlign w:val="bottom"/>
            <w:gridSpan w:val="2"/>
          </w:tcPr>
          <w:p>
            <w:pPr>
              <w:jc w:val="center"/>
              <w:ind w:left="25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8240" w:type="dxa"/>
            <w:vAlign w:val="bottom"/>
          </w:tcPr>
          <w:p>
            <w:pPr>
              <w:jc w:val="center"/>
              <w:ind w:left="2930"/>
              <w:spacing w:after="0"/>
              <w:rPr>
                <w:sz w:val="20"/>
                <w:szCs w:val="20"/>
                <w:color w:val="auto"/>
              </w:rPr>
            </w:pPr>
            <w:r>
              <w:rPr>
                <w:rFonts w:ascii="Arial" w:cs="Arial" w:eastAsia="Arial" w:hAnsi="Arial"/>
                <w:sz w:val="18"/>
                <w:szCs w:val="18"/>
                <w:color w:val="auto"/>
                <w:w w:val="89"/>
              </w:rPr>
              <w:t>(in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240" w:type="dxa"/>
            <w:vAlign w:val="bottom"/>
          </w:tcPr>
          <w:p>
            <w:pPr>
              <w:jc w:val="center"/>
              <w:ind w:left="2910"/>
              <w:spacing w:after="0"/>
              <w:rPr>
                <w:sz w:val="20"/>
                <w:szCs w:val="20"/>
                <w:color w:val="auto"/>
              </w:rPr>
            </w:pPr>
            <w:r>
              <w:rPr>
                <w:rFonts w:ascii="Arial" w:cs="Arial" w:eastAsia="Arial" w:hAnsi="Arial"/>
                <w:sz w:val="18"/>
                <w:szCs w:val="18"/>
                <w:color w:val="auto"/>
                <w:w w:val="92"/>
              </w:rPr>
              <w:t>(unaudited)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2"/>
        </w:trPr>
        <w:tc>
          <w:tcPr>
            <w:tcW w:w="8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70"/>
        </w:trPr>
        <w:tc>
          <w:tcPr>
            <w:tcW w:w="82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(28,164)</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(4,867)</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6,359</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Goodwill and other impairments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Amortization of financing costs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438</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Mark to market loss on interest rate derivatives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Non-cash lease expense</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544</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Provision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288</w:t>
            </w: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Stock compensation expense</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907</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Undistributed equity in (earnings) losses, net of taxes</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(excluding the effects of business acquisitions):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32,809</w:t>
            </w: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6,788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(13,314)</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Prepaid expenses, other current assets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w:t>
            </w: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(18,148)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(3,475)</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Income taxes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(2,550)</w:t>
            </w:r>
          </w:p>
        </w:tc>
      </w:tr>
      <w:tr>
        <w:trPr>
          <w:trHeight w:val="263"/>
        </w:trPr>
        <w:tc>
          <w:tcPr>
            <w:tcW w:w="8240" w:type="dxa"/>
            <w:vAlign w:val="bottom"/>
            <w:tcBorders>
              <w:bottom w:val="single" w:sz="8" w:color="CCEEFF"/>
            </w:tcBorders>
          </w:tcPr>
          <w:p>
            <w:pPr>
              <w:ind w:left="116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33,687</w:t>
            </w:r>
          </w:p>
        </w:tc>
        <w:tc>
          <w:tcPr>
            <w:tcW w:w="10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17,469</w:t>
            </w: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(1,393)</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67,115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66,325</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(23,436)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(82,130)</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Repayments of term loan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Payments for capital leases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(906)</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41,733</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(17,637)</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Effect of foreign exchange on cash</w:t>
            </w:r>
          </w:p>
        </w:tc>
        <w:tc>
          <w:tcPr>
            <w:tcW w:w="3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57</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73,913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(1,504)</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11,370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7,647</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85,283</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6,143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NOTE 1 — BASIS OF PRESENTATION AND SUMMARY OF ACCOUNTING POLICIES Organization and business</w:t>
      </w:r>
    </w:p>
    <w:p>
      <w:pPr>
        <w:ind w:right="140"/>
        <w:spacing w:after="0" w:line="293"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Internet websites) and, to a lesser extent, to distributors. The Company also sells a limited selection of its products directly to consumers through its own Internet websites.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(“U.S. GAAP”) for interim financial information and with the instructions to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some specifically associated with recent events surrounding the COVID-19 pandemic, considered necessary for a fair presentation have been included.</w:t>
      </w:r>
    </w:p>
    <w:p>
      <w:pPr>
        <w:spacing w:after="0" w:line="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footnotes thereto included in the Company’s Annual Report on Form 10-K for the fiscal year ended December 31, 2019.</w:t>
      </w:r>
    </w:p>
    <w:p>
      <w:pPr>
        <w:spacing w:after="0" w:line="6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Operating results for the three months ended March 31, 2020 are not necessarily indicative of the results that may be expected for the year ending December 31, 2020.</w:t>
      </w:r>
    </w:p>
    <w:p>
      <w:pPr>
        <w:spacing w:after="0" w:line="6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2019 and 2018, net sales for the third and fourth quarters accounted for 60% and 62% of total annual net sales, respectively. In anticipation of the pre-holiday shipping season, inventory levels increase primarily in the June through October time period.</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Although the Company’s current estimates contemplate current and expected future conditions, as applicable, it is reasonably possible that actual conditions could differ from expectations, which could materially affect the Company’s results of operations and financial position. In particular, a number of estimates have been and will continue to be affected by the ongoing COVID-19 pandemic. The severity, magnitude and duration, as well as the economic consequences of the COVID-19 pandemic, are uncertain, rapidly changing and difficult to predict.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returns are reflected as reductions of revenue at the time of sale. See Note 2 – Revenue to the unaudited condensed consolidated financial statements included in this Quarterly Report on Form 10-Q for additional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Cost of sales consists primarily of costs associated with the production and procurement of product, inbound freight costs, purchasing costs, royalties, tooling, and other product procurement 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expenses consist primarily of warehousing expenses and freight-out expenses. Handling costs of products sold are included in cost of sales.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impacts of the COVID-19 pandemic in the first quarter of 2020. A considerable amount of judgment is required to assess the ultimate realization of these receivables, including assessing the initial and on-going creditworthiness of the Company’s customers.</w:t>
      </w:r>
    </w:p>
    <w:p>
      <w:pPr>
        <w:spacing w:after="0" w:line="8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Pursuant to this agreement, the Company sold to HSBC $37.9 million and $25.1 million of receivables during the three months ended March 31, 2020 and 2019, respectively. Charges of $0.2 million and $0.1 million related to the sale of the receivables are included in selling, general and administrative expenses in the unaudited condensed consolidated statements of operations for the three months ended March 31, 2020 and 2019, respectively. At March 31, 2020 and 2019, $23.2 million and $17.3 million, respectively, of receivables sold were outstanding and due to HSBC from customers.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were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2"/>
        </w:trPr>
        <w:tc>
          <w:tcPr>
            <w:tcW w:w="8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157,231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165,950</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7,208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164,711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173,427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the carrying amounts of borrowings outstanding under its ABL Agreement and Term Loan (each as defined in Note 6 – Debt to the unaudited condensed consolidated financial statements included in this Quarterly Report on Form 10-Q) approximate fair value since such borrowings bear interest at variable market rates.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 Company accounts for derivative instruments in accordance with Accounting Standard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("ASC 815")</w:t>
      </w:r>
      <w:r>
        <w:rPr>
          <w:rFonts w:ascii="Arial" w:cs="Arial" w:eastAsia="Arial" w:hAnsi="Arial"/>
          <w:sz w:val="18"/>
          <w:szCs w:val="18"/>
          <w:color w:val="auto"/>
        </w:rPr>
        <w:t>. ASC 815 requires that all derivative instruments be recognized on the balance sheet at fair value as either an asset or liability.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derivatives that qualify as hedges and have been designated as part of a hedging relationship for accounting purposes have no net impact on earnings until the hedged item is recognized in earnings. The change in the fair value of hedges is included in accumulated other comprehensive loss and is subsequently recognized in the Company’s unaudited condensed consolidated statements of operations to mirror the location of the hedged items impacting earnings. Changes to the fair value of derivatives that do not qualify as hedging instruments for accounting purposes are recorded in the Company’s unaudited condensed statements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Accounting Standards Update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 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See Note 5 – Intangible Assets to the unaudited condensed consolidated financial statements included in this Quarterly Report for additional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not material to the Company’s condensed consolidated balance sheets.</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accounts for each separate lease component of a contract and its associated non-lease components as a single lease component, thus causing all fixed payments to be capitalized.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the Company did not incur any restructuring expenses.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2019, the Financial Accounting Standards Board ("FASB") issued ASU 2019-12, Income Taxes (Topic 740): Simplifying the Accounting for Income Taxes, which simplifies the accounting for income taxes by removing certain exceptions to the general principles and improve consistent application of and simplify U.S. GAAP for other areas of Topic 740 by clarifying and amending existing guidance. The guidance is effective for fiscal years and interim periods within those fiscal years beginning after December 15, 2020. Early adoption is permitted. Additionally, an entity that elects early adoption must adopt all the amendments in the same period. Management is currently evaluating the impact of this standard on its consolidated financial statements and related disclosures.</w:t>
      </w:r>
    </w:p>
    <w:p>
      <w:pPr>
        <w:spacing w:after="0" w:line="21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June 2016, the FASB issued ASU 2016-13, Measurement of Credit Losses on Financial Instruments. This guidance introduces a new model for recognizing credit losses on financial instruments based on an estimate of current expected credit losses. The ASU also provides updated guidance regarding the impairment of available-for-sale debt securities and includes additional disclosure requirements. The new guidance is effective for public business entities that meet the definition of a</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as defined by the Securities and Exchange Commission for interim and annual periods beginning after December 15, 2022.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Early adoption is permitted. Management is currently evaluating the impact of this standard on its consolidated financial statements and related disclosures.</w:t>
      </w:r>
    </w:p>
    <w:p>
      <w:pPr>
        <w:spacing w:after="0" w:line="261"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On April 10, 2020, the FASB staff issued a question-and-answer document to address stakeholder questions on the application of the lease accounting guidance for lease concessions related to the effects of the COVID-19 pandemic (the “Question-and-Answer Document”). The guidance will allow concessions related to the timing of payments, where the total consideration has not changed, to not be accounted for as lease modifications. Instead, any such concessions can be accounted for as if no change was made to the contract or as variable lease payments. The Company is currently assessing the impact of the question-and-answer document, and will adopt the guidance in the second quarter of 2020, to the extent applicable.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33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$0.7 million for each of the three months ended March 31, 2020 and 2019, respectively. Net sales exclude taxes that are collected from customers and remitted to the taxing authorities.</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Payment terms vary by customer, but generally range from 30 to 90 days or at the point of sale for the Company’s retail direct sales. As a result of the COVID-19 pandemic, many of the Company's customers which operate retail locations have temporarily closed their stores voluntarily or as mandated by government stay at home orders. In response to these closings, the affected customers have requested extended payment terms. The Company has been working with these customers to address their temporary extended payment requests.</w:t>
      </w:r>
    </w:p>
    <w:p>
      <w:pPr>
        <w:spacing w:after="0" w:line="187"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condensed consolidated statements of operations. Incidental items that are immaterial in the context of the contract are expensed as incurred.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Company’s net sales disaggregated by segment, product category and geographic region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6"/>
                <w:szCs w:val="16"/>
                <w:color w:val="auto"/>
              </w:rPr>
            </w:pPr>
          </w:p>
        </w:tc>
      </w:tr>
      <w:tr>
        <w:trPr>
          <w:trHeight w:val="209"/>
        </w:trPr>
        <w:tc>
          <w:tcPr>
            <w:tcW w:w="7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8"/>
                <w:szCs w:val="18"/>
                <w:color w:val="auto"/>
              </w:rPr>
            </w:pPr>
          </w:p>
        </w:tc>
      </w:tr>
      <w:tr>
        <w:trPr>
          <w:trHeight w:val="196"/>
        </w:trPr>
        <w:tc>
          <w:tcPr>
            <w:tcW w:w="76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3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 segment</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Kitchenware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79,274</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69,267</w:t>
            </w:r>
          </w:p>
        </w:tc>
      </w:tr>
      <w:tr>
        <w:trPr>
          <w:trHeight w:val="27"/>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Tableware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23,644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26,452</w:t>
            </w: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Home Solutions</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26,290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31,319</w:t>
            </w:r>
          </w:p>
        </w:tc>
      </w:tr>
      <w:tr>
        <w:trPr>
          <w:trHeight w:val="27"/>
        </w:trPr>
        <w:tc>
          <w:tcPr>
            <w:tcW w:w="7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7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U.S. segment</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129,208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127,038</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Kitchenware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10,954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14,136</w:t>
            </w: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Tableware</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8,752</w:t>
            </w:r>
          </w:p>
        </w:tc>
      </w:tr>
      <w:tr>
        <w:trPr>
          <w:trHeight w:val="27"/>
        </w:trPr>
        <w:tc>
          <w:tcPr>
            <w:tcW w:w="7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7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International segment</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15,862</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22,888</w:t>
            </w:r>
          </w:p>
        </w:tc>
      </w:tr>
      <w:tr>
        <w:trPr>
          <w:trHeight w:val="237"/>
        </w:trPr>
        <w:tc>
          <w:tcPr>
            <w:tcW w:w="7620" w:type="dxa"/>
            <w:vAlign w:val="bottom"/>
          </w:tcPr>
          <w:p>
            <w:pPr>
              <w:ind w:left="980"/>
              <w:spacing w:after="0"/>
              <w:rPr>
                <w:sz w:val="20"/>
                <w:szCs w:val="20"/>
                <w:color w:val="auto"/>
              </w:rPr>
            </w:pPr>
            <w:r>
              <w:rPr>
                <w:rFonts w:ascii="Arial" w:cs="Arial" w:eastAsia="Arial" w:hAnsi="Arial"/>
                <w:sz w:val="18"/>
                <w:szCs w:val="18"/>
                <w:color w:val="auto"/>
              </w:rPr>
              <w:t>Total net sales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145,070</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149,926</w:t>
            </w:r>
          </w:p>
        </w:tc>
      </w:tr>
      <w:tr>
        <w:trPr>
          <w:trHeight w:val="27"/>
        </w:trPr>
        <w:tc>
          <w:tcPr>
            <w:tcW w:w="76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7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124,727</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121,409</w:t>
            </w:r>
          </w:p>
        </w:tc>
      </w:tr>
      <w:tr>
        <w:trPr>
          <w:trHeight w:val="27"/>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9,099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15,937</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Rest of World</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11,244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12,580</w:t>
            </w:r>
          </w:p>
        </w:tc>
      </w:tr>
      <w:tr>
        <w:trPr>
          <w:trHeight w:val="27"/>
        </w:trPr>
        <w:tc>
          <w:tcPr>
            <w:tcW w:w="7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76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Total net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145,070</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149,926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operating leases for corporate offices, distribution facilities, manufacturing plants, and certain vehicles. Leases with an initial term of 12 months or less are not recorded on the condensed consolidated balance sheet.</w:t>
      </w:r>
    </w:p>
    <w:p>
      <w:pPr>
        <w:spacing w:after="0" w:line="6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response to the COVID-19 pandemic, the Company has negotiated COVID-19-related rent concessions for several of its leased properties. The finalization of these concessions did not take place until after the period end date of March 31, 2020. Consistent with updated guidance from the FASB in April 2020, the Company is currently assessing the impact of the Question-And-Answer document, and will adopt the guidance in the second quarter of 2020, to the extent applicable. In addition, the Company continues to assess and hold ongoing conversations with landlords for various properties in seeking commercially reasonable lease concessions given the current environment.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March 31, 2020 and 2019 were as follows (in thousands):</w:t>
      </w:r>
    </w:p>
    <w:p>
      <w:pPr>
        <w:spacing w:after="0" w:line="59"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March 31,</w:t>
      </w:r>
    </w:p>
    <w:p>
      <w:pPr>
        <w:spacing w:after="0" w:line="45" w:lineRule="exact"/>
        <w:rPr>
          <w:sz w:val="20"/>
          <w:szCs w:val="20"/>
          <w:color w:val="auto"/>
        </w:rPr>
      </w:pPr>
    </w:p>
    <w:p>
      <w:pPr>
        <w:ind w:left="8220"/>
        <w:spacing w:after="0"/>
        <w:tabs>
          <w:tab w:leader="none" w:pos="1006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719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lease expenses:</w:t>
      </w:r>
    </w:p>
    <w:p>
      <w:pPr>
        <w:spacing w:after="0" w:line="67" w:lineRule="exact"/>
        <w:rPr>
          <w:sz w:val="20"/>
          <w:szCs w:val="20"/>
          <w:color w:val="auto"/>
        </w:rPr>
      </w:pPr>
    </w:p>
    <w:p>
      <w:pPr>
        <w:ind w:left="20"/>
        <w:spacing w:after="0"/>
        <w:tabs>
          <w:tab w:leader="none" w:pos="7520" w:val="left"/>
          <w:tab w:leader="none" w:pos="8700" w:val="left"/>
          <w:tab w:leader="none" w:pos="9380" w:val="left"/>
          <w:tab w:leader="none" w:pos="10560" w:val="left"/>
        </w:tabs>
        <w:rPr>
          <w:sz w:val="20"/>
          <w:szCs w:val="20"/>
          <w:color w:val="auto"/>
        </w:rPr>
      </w:pPr>
      <w:r>
        <w:rPr>
          <w:rFonts w:ascii="Arial" w:cs="Arial" w:eastAsia="Arial" w:hAnsi="Arial"/>
          <w:sz w:val="18"/>
          <w:szCs w:val="18"/>
          <w:color w:val="auto"/>
        </w:rPr>
        <w:t>Fixed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4,224</w:t>
      </w:r>
    </w:p>
    <w:p>
      <w:pPr>
        <w:spacing w:after="0" w:line="279"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Supplemental cash flow information for lease related liabilities and assets for the three months ended March 31, 2020 and 2019 was as follows (in thousands):</w:t>
      </w:r>
    </w:p>
    <w:p>
      <w:pPr>
        <w:spacing w:after="0" w:line="5"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March 31,</w:t>
      </w:r>
    </w:p>
    <w:p>
      <w:pPr>
        <w:spacing w:after="0" w:line="31" w:lineRule="exact"/>
        <w:rPr>
          <w:sz w:val="20"/>
          <w:szCs w:val="20"/>
          <w:color w:val="auto"/>
        </w:rPr>
      </w:pPr>
    </w:p>
    <w:p>
      <w:pPr>
        <w:ind w:left="8320"/>
        <w:spacing w:after="0"/>
        <w:tabs>
          <w:tab w:leader="none" w:pos="1016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p>
      <w:pPr>
        <w:spacing w:after="0" w:line="35" w:lineRule="exact"/>
        <w:rPr>
          <w:sz w:val="20"/>
          <w:szCs w:val="20"/>
          <w:color w:val="auto"/>
        </w:rPr>
      </w:pPr>
    </w:p>
    <w:p>
      <w:pPr>
        <w:ind w:left="20"/>
        <w:spacing w:after="0"/>
        <w:tabs>
          <w:tab w:leader="none" w:pos="7620" w:val="left"/>
          <w:tab w:leader="none" w:pos="8800" w:val="left"/>
          <w:tab w:leader="none" w:pos="9480" w:val="left"/>
          <w:tab w:leader="none" w:pos="10660" w:val="left"/>
        </w:tabs>
        <w:rPr>
          <w:sz w:val="20"/>
          <w:szCs w:val="20"/>
          <w:color w:val="auto"/>
        </w:rPr>
      </w:pPr>
      <w:r>
        <w:rPr>
          <w:rFonts w:ascii="Arial" w:cs="Arial" w:eastAsia="Arial" w:hAnsi="Arial"/>
          <w:sz w:val="18"/>
          <w:szCs w:val="18"/>
          <w:color w:val="auto"/>
        </w:rPr>
        <w:t>Operating cash flows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4,112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3,680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obtained in exchange for new lease obligations:</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94,497</w:t>
            </w:r>
          </w:p>
        </w:tc>
        <w:tc>
          <w:tcPr>
            <w:tcW w:w="0" w:type="dxa"/>
            <w:vAlign w:val="bottom"/>
          </w:tcPr>
          <w:p>
            <w:pPr>
              <w:spacing w:after="0"/>
              <w:rPr>
                <w:sz w:val="1"/>
                <w:szCs w:val="1"/>
                <w:color w:val="auto"/>
              </w:rPr>
            </w:pPr>
          </w:p>
        </w:tc>
      </w:tr>
      <w:tr>
        <w:trPr>
          <w:trHeight w:val="459"/>
        </w:trPr>
        <w:tc>
          <w:tcPr>
            <w:tcW w:w="8140" w:type="dxa"/>
            <w:vAlign w:val="bottom"/>
            <w:gridSpan w:val="2"/>
          </w:tcPr>
          <w:p>
            <w:pPr>
              <w:spacing w:after="0"/>
              <w:rPr>
                <w:sz w:val="20"/>
                <w:szCs w:val="20"/>
                <w:color w:val="auto"/>
              </w:rPr>
            </w:pPr>
            <w:r>
              <w:rPr>
                <w:rFonts w:ascii="Arial" w:cs="Arial" w:eastAsia="Arial" w:hAnsi="Arial"/>
                <w:sz w:val="18"/>
                <w:szCs w:val="18"/>
                <w:color w:val="auto"/>
                <w:w w:val="91"/>
              </w:rPr>
              <w:t>The aggregate future lease payments for operating leases as of March 31, 2020 were as follows (in thousands):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(excluding the three months ending March 31, 2020)</w:t>
            </w: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13,741</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17,787</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17,866</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17,866</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17,516</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54,088</w:t>
            </w:r>
          </w:p>
        </w:tc>
        <w:tc>
          <w:tcPr>
            <w:tcW w:w="0" w:type="dxa"/>
            <w:vAlign w:val="bottom"/>
          </w:tcPr>
          <w:p>
            <w:pPr>
              <w:spacing w:after="0"/>
              <w:rPr>
                <w:sz w:val="1"/>
                <w:szCs w:val="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156,374</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5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(36,683)</w:t>
            </w:r>
          </w:p>
        </w:tc>
        <w:tc>
          <w:tcPr>
            <w:tcW w:w="0" w:type="dxa"/>
            <w:vAlign w:val="bottom"/>
          </w:tcPr>
          <w:p>
            <w:pPr>
              <w:spacing w:after="0"/>
              <w:rPr>
                <w:sz w:val="1"/>
                <w:szCs w:val="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119,691</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62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6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9"/>
              </w:rPr>
              <w:t>March 31, 2020</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5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5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7"/>
        </w:trPr>
        <w:tc>
          <w:tcPr>
            <w:tcW w:w="7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months ended March 31, 2020 and 2019 in the accompanying unaudited condensed consolidated statements of operations.</w:t>
      </w:r>
    </w:p>
    <w:p>
      <w:pPr>
        <w:spacing w:after="0" w:line="17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value of the Company's investment balance has been translated from Mexican Pesos ("MXN") to U.S. Dollars ("USD") using the spot rates of MXN 23.77 and MXN 18.91 at March 31, 2020 and December 31, 2019,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proportionate share of Vasconia's net income (loss) has been translated from MXN to USD using the following exchange rates:</w:t>
      </w:r>
    </w:p>
    <w:p>
      <w:pPr>
        <w:spacing w:after="0" w:line="259"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jc w:val="center"/>
        <w:ind w:left="81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167640</wp:posOffset>
            </wp:positionV>
            <wp:extent cx="19456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71" w:lineRule="exact"/>
        <w:rPr>
          <w:sz w:val="20"/>
          <w:szCs w:val="20"/>
          <w:color w:val="auto"/>
        </w:rPr>
      </w:pPr>
    </w:p>
    <w:p>
      <w:pPr>
        <w:ind w:left="8760"/>
        <w:spacing w:after="0"/>
        <w:tabs>
          <w:tab w:leader="none" w:pos="103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357"/>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exchange rate (USD to MXN)</w:t>
            </w:r>
          </w:p>
        </w:tc>
        <w:tc>
          <w:tcPr>
            <w:tcW w:w="204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19.91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r>
      <w:tr>
        <w:trPr>
          <w:trHeight w:val="27"/>
        </w:trPr>
        <w:tc>
          <w:tcPr>
            <w:tcW w:w="81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effect of the translation of the Company’s investment, as well as the translation of Vasconia's balance sheet, resulted in a decrease to the investment of $1.5 million and $0.3 million during the three months ended March 31, 2020 and 2019, respectively. These translation effects are recorded in accumulated other comprehensive loss.</w:t>
      </w:r>
    </w:p>
    <w:p>
      <w:pPr>
        <w:spacing w:after="0" w:line="319" w:lineRule="exact"/>
        <w:rPr>
          <w:sz w:val="20"/>
          <w:szCs w:val="20"/>
          <w:color w:val="auto"/>
        </w:rPr>
      </w:pPr>
    </w:p>
    <w:p>
      <w:pPr>
        <w:ind w:right="740"/>
        <w:spacing w:after="0" w:line="276" w:lineRule="auto"/>
        <w:rPr>
          <w:sz w:val="20"/>
          <w:szCs w:val="20"/>
          <w:color w:val="auto"/>
        </w:rPr>
      </w:pPr>
      <w:r>
        <w:rPr>
          <w:rFonts w:ascii="Arial" w:cs="Arial" w:eastAsia="Arial" w:hAnsi="Arial"/>
          <w:sz w:val="18"/>
          <w:szCs w:val="18"/>
          <w:color w:val="auto"/>
        </w:rPr>
        <w:t>Summarized income statement information for the three months ended March 31, 2020 and 2019 for Vasconia in USD and MXN is as follows (in thousands):</w:t>
      </w:r>
    </w:p>
    <w:p>
      <w:pPr>
        <w:spacing w:after="0" w:line="2"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13335</wp:posOffset>
            </wp:positionV>
            <wp:extent cx="3531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2020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2019</w:t>
            </w:r>
          </w:p>
        </w:tc>
        <w:tc>
          <w:tcPr>
            <w:tcW w:w="1020" w:type="dxa"/>
            <w:vAlign w:val="bottom"/>
            <w:tcBorders>
              <w:bottom w:val="single" w:sz="8" w:color="auto"/>
            </w:tcBorders>
          </w:tcPr>
          <w:p>
            <w:pPr>
              <w:spacing w:after="0"/>
              <w:rPr>
                <w:sz w:val="16"/>
                <w:szCs w:val="16"/>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USD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MXN</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USD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MXN</w:t>
            </w: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31,795</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633,036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41,494</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798,338</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107,657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152,721</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36,426</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28,303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(6,406)</w:t>
            </w:r>
          </w:p>
        </w:tc>
      </w:tr>
    </w:tbl>
    <w:p>
      <w:pPr>
        <w:spacing w:after="0" w:line="200" w:lineRule="exact"/>
        <w:rPr>
          <w:sz w:val="20"/>
          <w:szCs w:val="20"/>
          <w:color w:val="auto"/>
        </w:rPr>
      </w:pPr>
    </w:p>
    <w:p>
      <w:pPr>
        <w:spacing w:after="0" w:line="24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Company recorded equity in earnings (losses) of Vasconia, net of taxes, of $0.3 million and $(0.1) million for the three months ended March 31, 2020 and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Included within the Company's unaudited condensed consolidated balance sheets were the following amounts due to and due from Vasconia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Vasconia due to and due from balances</w:t>
            </w:r>
          </w:p>
        </w:tc>
        <w:tc>
          <w:tcPr>
            <w:tcW w:w="4740" w:type="dxa"/>
            <w:vAlign w:val="bottom"/>
            <w:gridSpan w:val="2"/>
          </w:tcPr>
          <w:p>
            <w:pPr>
              <w:jc w:val="center"/>
              <w:ind w:left="684"/>
              <w:spacing w:after="0"/>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4"/>
                <w:szCs w:val="14"/>
                <w:color w:val="auto"/>
              </w:rPr>
            </w:pPr>
          </w:p>
        </w:tc>
        <w:tc>
          <w:tcPr>
            <w:tcW w:w="13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4640" w:type="dxa"/>
            <w:vAlign w:val="bottom"/>
            <w:tcBorders>
              <w:bottom w:val="single" w:sz="8" w:color="auto"/>
            </w:tcBorders>
          </w:tcPr>
          <w:p>
            <w:pPr>
              <w:jc w:val="center"/>
              <w:ind w:left="784"/>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due from Vasconia</w:t>
            </w:r>
          </w:p>
        </w:tc>
        <w:tc>
          <w:tcPr>
            <w:tcW w:w="47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4"/>
        </w:trPr>
        <w:tc>
          <w:tcPr>
            <w:tcW w:w="3300" w:type="dxa"/>
            <w:vAlign w:val="bottom"/>
          </w:tcPr>
          <w:p>
            <w:pPr>
              <w:ind w:left="20"/>
              <w:spacing w:after="0"/>
              <w:rPr>
                <w:sz w:val="20"/>
                <w:szCs w:val="20"/>
                <w:color w:val="auto"/>
              </w:rPr>
            </w:pPr>
            <w:r>
              <w:rPr>
                <w:rFonts w:ascii="Arial" w:cs="Arial" w:eastAsia="Arial" w:hAnsi="Arial"/>
                <w:sz w:val="16"/>
                <w:szCs w:val="16"/>
                <w:color w:val="auto"/>
              </w:rPr>
              <w:t>Amounts due to Vasconia</w:t>
            </w:r>
          </w:p>
        </w:tc>
        <w:tc>
          <w:tcPr>
            <w:tcW w:w="4740" w:type="dxa"/>
            <w:vAlign w:val="bottom"/>
            <w:gridSpan w:val="2"/>
          </w:tcPr>
          <w:p>
            <w:pPr>
              <w:ind w:left="880"/>
              <w:spacing w:after="0"/>
              <w:rPr>
                <w:sz w:val="20"/>
                <w:szCs w:val="20"/>
                <w:color w:val="auto"/>
              </w:rPr>
            </w:pPr>
            <w:r>
              <w:rPr>
                <w:rFonts w:ascii="Arial" w:cs="Arial" w:eastAsia="Arial" w:hAnsi="Arial"/>
                <w:sz w:val="16"/>
                <w:szCs w:val="16"/>
                <w:color w:val="auto"/>
              </w:rPr>
              <w:t>Accrued expenses and Accounts payable</w:t>
            </w:r>
          </w:p>
        </w:tc>
        <w:tc>
          <w:tcPr>
            <w:tcW w:w="180" w:type="dxa"/>
            <w:vAlign w:val="bottom"/>
          </w:tcPr>
          <w:p>
            <w:pPr>
              <w:spacing w:after="0"/>
              <w:rPr>
                <w:sz w:val="19"/>
                <w:szCs w:val="19"/>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March 31, 2020 and December 31, 2019, the fair value (based upon the quoted stock price) of the Company’s investment in Vasconia was $27.5 million and $34.7 million, respectively. The carrying value of the Company’s investment in Vasconia was $20.2 million and $21.3 million as of March 31, 2020 and December 31, 2019,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INTANGIBLE ASSETS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March 31, 2020 and December 31, 2019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Impairment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7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Gross</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8"/>
              </w:rPr>
              <w:t>Impairment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7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49,371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30,271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92,361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(42,990)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49,371</w:t>
            </w: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Trade names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58,216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57,216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58,216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58,216</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w w:val="96"/>
              </w:rPr>
              <w:t>Finite-lived intangible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Licenses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15,847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5,447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15,847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5,560</w:t>
            </w:r>
          </w:p>
        </w:tc>
        <w:tc>
          <w:tcPr>
            <w:tcW w:w="0" w:type="dxa"/>
            <w:vAlign w:val="bottom"/>
          </w:tcPr>
          <w:p>
            <w:pPr>
              <w:spacing w:after="0"/>
              <w:rPr>
                <w:sz w:val="1"/>
                <w:szCs w:val="1"/>
                <w:color w:val="auto"/>
              </w:rPr>
            </w:pPr>
          </w:p>
        </w:tc>
      </w:tr>
      <w:tr>
        <w:trPr>
          <w:trHeight w:val="224"/>
        </w:trPr>
        <w:tc>
          <w:tcPr>
            <w:tcW w:w="2200" w:type="dxa"/>
            <w:vAlign w:val="bottom"/>
          </w:tcPr>
          <w:p>
            <w:pPr>
              <w:ind w:left="340"/>
              <w:spacing w:after="0"/>
              <w:rPr>
                <w:sz w:val="20"/>
                <w:szCs w:val="20"/>
                <w:color w:val="auto"/>
              </w:rPr>
            </w:pPr>
            <w:r>
              <w:rPr>
                <w:rFonts w:ascii="Arial" w:cs="Arial" w:eastAsia="Arial" w:hAnsi="Arial"/>
                <w:sz w:val="16"/>
                <w:szCs w:val="16"/>
                <w:color w:val="auto"/>
              </w:rPr>
              <w:t>Trade names</w:t>
            </w:r>
          </w:p>
        </w:tc>
        <w:tc>
          <w:tcPr>
            <w:tcW w:w="24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43,262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(17,787)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25,475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43,986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(17,337)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26,649</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Customer 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174,561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(42,693)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131,868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176,602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(40,605)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135,997</w:t>
            </w:r>
          </w:p>
        </w:tc>
        <w:tc>
          <w:tcPr>
            <w:tcW w:w="0" w:type="dxa"/>
            <w:vAlign w:val="bottom"/>
          </w:tcPr>
          <w:p>
            <w:pPr>
              <w:spacing w:after="0"/>
              <w:rPr>
                <w:sz w:val="1"/>
                <w:szCs w:val="1"/>
                <w:color w:val="auto"/>
              </w:rPr>
            </w:pPr>
          </w:p>
        </w:tc>
      </w:tr>
      <w:tr>
        <w:trPr>
          <w:trHeight w:val="223"/>
        </w:trPr>
        <w:tc>
          <w:tcPr>
            <w:tcW w:w="2200" w:type="dxa"/>
            <w:vAlign w:val="bottom"/>
          </w:tcPr>
          <w:p>
            <w:pPr>
              <w:ind w:left="3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(1,986)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4,496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6,546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(1,868)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4,678</w:t>
            </w:r>
          </w:p>
        </w:tc>
        <w:tc>
          <w:tcPr>
            <w:tcW w:w="0" w:type="dxa"/>
            <w:vAlign w:val="bottom"/>
          </w:tcPr>
          <w:p>
            <w:pPr>
              <w:spacing w:after="0"/>
              <w:rPr>
                <w:sz w:val="1"/>
                <w:szCs w:val="1"/>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347,739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(20,100)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(72,866)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254,773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393,558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(42,990)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(70,097)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280,471</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As a result of the economic downturn caused by the COVID-19 pandemic, the Company concluded that a triggering event had occurred and performed an interim impairment test of goodwill and certain intangible assets as of March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applicable authoritative literature, the Company performed an interim impairment test of the goodwill in the U.S. reporting unit by comparing its fair value with its carrying value. The analysis was performed by using a discounted cash flow and market multiple method. Based upon the analysis performed, the Company recognized a non-cash goodwill impairment charge of $19.1 million during the three months ended March 31, 2020. The goodwill impairment charge resulted from, among other factors, the uncertain market conditions arising from the COVID-19 pandemic, which impacted the Company's market capitalization, as well as a reduction of forecasted future cash flows associated with the effects of the COVID-19 pandemic. The fair value of the U.S. reporting unit was approximately 3.9% below its carrying value.</w:t>
      </w:r>
    </w:p>
    <w:p>
      <w:pPr>
        <w:spacing w:after="0" w:line="20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Management’s projections used to estimate the cash flows included organic net sales growth and net sales growth through new customer channels as well as continued operating efficiencies in future periods. Changes in any of the significant assumptions used in the valuation of the reporting unit could materially affect the expected cash flows, and such impacts could potentially result in a material non-cash impairment charge.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trade names</w:t>
      </w:r>
    </w:p>
    <w:p>
      <w:pPr>
        <w:spacing w:after="0" w:line="25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a result of the economic decline caused by the COVID-19 pandemic, the Company determined its indefinite-lived trade names had indicators for impairment. As a result, the Company bypassed the optional qualitative impairment analysis for its indefinite-lived trade names and performed an interim quantitative impairment analysis by comparing the fair value of the indefinite-lived trade names to their respective carrying values.</w:t>
      </w:r>
    </w:p>
    <w:p>
      <w:pPr>
        <w:spacing w:after="0" w:line="19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Company values its indefinite-lived trade names using a relief-from-royalty approach, which assumes the value of the trade name is the discounted cash flows of the amount that would be paid by a hypothetical market participant had they not owned the trade name and instead licensed the trade name from another company.</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a result of the impairment testing performed in connection with the COVID-19 pandemic triggering event, the Company determined that certain of its indefinite-lived intangible assets in the U.S. segment were impaired. As a result, the Company recorded a $1.0 million non-cash impairment charge during the three months ended March 31,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addition, several of the Company's other indefinite-lived trade names tested for impairment as of March 31, 2020 were determined to either be recorded at fair value or with fair values within 10% of the associated carrying values. While the Company believes the estimates and assumptions used as inputs in calculating the fair value of its indefinite-lived intangible assets are reasonable and were based on facts and circumstances known at that time, it is possible new events may occur or actual events may result in differing forecasted cash flows, revenue and earnings that differ from those that formed the basis of the Company’s estimates and assumptions.</w:t>
      </w:r>
    </w:p>
    <w:p>
      <w:pPr>
        <w:spacing w:after="0" w:line="2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believes the circumstances and global disruption caused by COVID-19 will affect its sales, operating results, cash flows and financial condition. In addition, there are some inherent estimates and assumptions used in determining fair value of indefinite-lived intangible assets and reporting units that are outside the control of management, such as interest rates, cost of capital, tax rates, industry growth, credit ratings, foreign exchange rates, labor inflation and tariffs including the current trade negotiations with China. Accordingly, the Company may be required to perform additional impairment testing based on further deterioration of the global economic environment, disruptions to the Company’s business, declines in operating results of the Company’s reporting units and/or trade names, further sustained deterioration of the Company’s market capitalization, and other factors, which could result in impairment charges in the future. Although management cannot predict when improvements in macroeconomic conditions will occur, if consumer confidence and consumer spending decline significantly in the future or if commercial and industrial economic activity or the market capitalization experiences a sustained deterioration significantly from current levels, it is reasonably likely the Company will be required to record impairment charges in the future.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Company’s credit agreement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which provides for a senior secured term loan credit facility in the original principal amount of $275.0 million, which matures on February 28, 2025. The Term Loan facility will be repaid in quarterly payments, which commenced June 30, 2018, of principal equal to 0.25% of the original aggregate principal amount of the Term Loan facility. The Term Loan requires the Company to make an annual prepayment of principal based upon excess cash flow (“Excess Cash Flow”), if any. This estimated amount is recorded in current maturity of term loan on the unaudited condensed consolidated balance sheets. The Company paid a prepayment amount of $6.9 million in April 2020. 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and December 31, 2019, the total availability under the ABL Agreement was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 2019</w:t>
            </w:r>
          </w:p>
        </w:tc>
      </w:tr>
      <w:tr>
        <w:trPr>
          <w:trHeight w:val="233"/>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127,977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150,000</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20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(74,438)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(32,822)</w:t>
            </w:r>
          </w:p>
        </w:tc>
      </w:tr>
      <w:tr>
        <w:trPr>
          <w:trHeight w:val="33"/>
        </w:trPr>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(2,179)</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r>
      <w:tr>
        <w:trPr>
          <w:trHeight w:val="217"/>
        </w:trPr>
        <w:tc>
          <w:tcPr>
            <w:tcW w:w="764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51,360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114,890</w:t>
            </w:r>
          </w:p>
        </w:tc>
      </w:tr>
      <w:tr>
        <w:trPr>
          <w:trHeight w:val="33"/>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200" w:lineRule="exact"/>
        <w:rPr>
          <w:sz w:val="20"/>
          <w:szCs w:val="20"/>
          <w:color w:val="auto"/>
        </w:rPr>
      </w:pPr>
    </w:p>
    <w:p>
      <w:pPr>
        <w:spacing w:after="0" w:line="24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2020</w:t>
            </w:r>
          </w:p>
        </w:tc>
        <w:tc>
          <w:tcPr>
            <w:tcW w:w="300" w:type="dxa"/>
            <w:vAlign w:val="bottom"/>
          </w:tcPr>
          <w:p>
            <w:pPr>
              <w:spacing w:after="0"/>
              <w:rPr>
                <w:sz w:val="18"/>
                <w:szCs w:val="18"/>
                <w:color w:val="auto"/>
              </w:rPr>
            </w:pPr>
          </w:p>
        </w:tc>
        <w:tc>
          <w:tcPr>
            <w:tcW w:w="2000" w:type="dxa"/>
            <w:vAlign w:val="bottom"/>
          </w:tcPr>
          <w:p>
            <w:pPr>
              <w:jc w:val="right"/>
              <w:ind w:right="41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6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7"/>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34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r>
      <w:tr>
        <w:trPr>
          <w:trHeight w:val="224"/>
        </w:trPr>
        <w:tc>
          <w:tcPr>
            <w:tcW w:w="6580" w:type="dxa"/>
            <w:vAlign w:val="bottom"/>
          </w:tcPr>
          <w:p>
            <w:pPr>
              <w:ind w:left="120"/>
              <w:spacing w:after="0"/>
              <w:rPr>
                <w:sz w:val="20"/>
                <w:szCs w:val="20"/>
                <w:color w:val="auto"/>
              </w:rPr>
            </w:pPr>
            <w:r>
              <w:rPr>
                <w:rFonts w:ascii="Arial" w:cs="Arial" w:eastAsia="Arial" w:hAnsi="Arial"/>
                <w:sz w:val="16"/>
                <w:szCs w:val="16"/>
                <w:color w:val="auto"/>
              </w:rPr>
              <w:t>Term Loan facility payment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59"/>
              <w:spacing w:after="0"/>
              <w:rPr>
                <w:sz w:val="20"/>
                <w:szCs w:val="20"/>
                <w:color w:val="auto"/>
              </w:rPr>
            </w:pPr>
            <w:r>
              <w:rPr>
                <w:rFonts w:ascii="Arial" w:cs="Arial" w:eastAsia="Arial" w:hAnsi="Arial"/>
                <w:sz w:val="16"/>
                <w:szCs w:val="16"/>
                <w:color w:val="auto"/>
              </w:rPr>
              <w:t>2,750</w:t>
            </w:r>
          </w:p>
        </w:tc>
        <w:tc>
          <w:tcPr>
            <w:tcW w:w="1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2,750</w:t>
            </w:r>
          </w:p>
        </w:tc>
      </w:tr>
      <w:tr>
        <w:trPr>
          <w:trHeight w:val="33"/>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6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Excess Cash Flow principal payment</w:t>
            </w:r>
          </w:p>
        </w:tc>
        <w:tc>
          <w:tcPr>
            <w:tcW w:w="34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6,903</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7,145</w:t>
            </w:r>
          </w:p>
        </w:tc>
      </w:tr>
      <w:tr>
        <w:trPr>
          <w:trHeight w:val="223"/>
        </w:trPr>
        <w:tc>
          <w:tcPr>
            <w:tcW w:w="6580" w:type="dxa"/>
            <w:vAlign w:val="bottom"/>
          </w:tcPr>
          <w:p>
            <w:pPr>
              <w:ind w:left="120"/>
              <w:spacing w:after="0"/>
              <w:rPr>
                <w:sz w:val="20"/>
                <w:szCs w:val="20"/>
                <w:color w:val="auto"/>
              </w:rPr>
            </w:pPr>
            <w:r>
              <w:rPr>
                <w:rFonts w:ascii="Arial" w:cs="Arial" w:eastAsia="Arial" w:hAnsi="Arial"/>
                <w:sz w:val="16"/>
                <w:szCs w:val="16"/>
                <w:color w:val="auto"/>
              </w:rPr>
              <w:t>Unamortized debt issuance costs</w:t>
            </w:r>
          </w:p>
        </w:tc>
        <w:tc>
          <w:tcPr>
            <w:tcW w:w="340" w:type="dxa"/>
            <w:vAlign w:val="bottom"/>
          </w:tcPr>
          <w:p>
            <w:pPr>
              <w:spacing w:after="0"/>
              <w:rPr>
                <w:sz w:val="19"/>
                <w:szCs w:val="19"/>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(1,478)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(1,482)</w:t>
            </w:r>
          </w:p>
        </w:tc>
      </w:tr>
      <w:tr>
        <w:trPr>
          <w:trHeight w:val="33"/>
        </w:trPr>
        <w:tc>
          <w:tcPr>
            <w:tcW w:w="6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72"/>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8,175</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8,413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6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7"/>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34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r>
      <w:tr>
        <w:trPr>
          <w:trHeight w:val="223"/>
        </w:trPr>
        <w:tc>
          <w:tcPr>
            <w:tcW w:w="6580" w:type="dxa"/>
            <w:vAlign w:val="bottom"/>
          </w:tcPr>
          <w:p>
            <w:pPr>
              <w:ind w:left="120"/>
              <w:spacing w:after="0"/>
              <w:rPr>
                <w:sz w:val="20"/>
                <w:szCs w:val="20"/>
                <w:color w:val="auto"/>
              </w:rPr>
            </w:pPr>
            <w:r>
              <w:rPr>
                <w:rFonts w:ascii="Arial" w:cs="Arial" w:eastAsia="Arial" w:hAnsi="Arial"/>
                <w:sz w:val="16"/>
                <w:szCs w:val="16"/>
                <w:color w:val="auto"/>
              </w:rPr>
              <w:t>Term Loan facility payment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59"/>
              <w:spacing w:after="0"/>
              <w:rPr>
                <w:sz w:val="20"/>
                <w:szCs w:val="20"/>
                <w:color w:val="auto"/>
              </w:rPr>
            </w:pPr>
            <w:r>
              <w:rPr>
                <w:rFonts w:ascii="Arial" w:cs="Arial" w:eastAsia="Arial" w:hAnsi="Arial"/>
                <w:sz w:val="16"/>
                <w:szCs w:val="16"/>
                <w:color w:val="auto"/>
              </w:rPr>
              <w:t>259,847</w:t>
            </w:r>
          </w:p>
        </w:tc>
        <w:tc>
          <w:tcPr>
            <w:tcW w:w="1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260,293</w:t>
            </w:r>
          </w:p>
        </w:tc>
      </w:tr>
      <w:tr>
        <w:trPr>
          <w:trHeight w:val="33"/>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7"/>
        </w:trPr>
        <w:tc>
          <w:tcPr>
            <w:tcW w:w="6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Unamortized debt issuance costs</w:t>
            </w:r>
          </w:p>
        </w:tc>
        <w:tc>
          <w:tcPr>
            <w:tcW w:w="34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(5,637)</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(6,012)</w:t>
            </w:r>
          </w:p>
        </w:tc>
      </w:tr>
      <w:tr>
        <w:trPr>
          <w:trHeight w:val="217"/>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254,210</w:t>
            </w: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254,281</w:t>
            </w:r>
          </w:p>
        </w:tc>
      </w:tr>
      <w:tr>
        <w:trPr>
          <w:trHeight w:val="33"/>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6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March 31, 2020 ranged from 1.8% to 4.0%. In addition, the Company pays a commitment fee on the unused portion of the ABL Agreement.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 plus a margin of 2.5% or (ii) LIBOR, but not less than 1.0%, plus a margin of 3.5%. The interest rate on outstanding borrowings under the Term Loan at March 31, 2020 was 4.5%.</w:t>
      </w:r>
    </w:p>
    <w:p>
      <w:pPr>
        <w:spacing w:after="0" w:line="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Company was in compliance with the covenants of the Debt Agreements at March 31, 2020. The Company expects that it will continue to borrow, subject to availability, and repay funds under the ABL Agreement based on working capital and other corporate needs.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Company is a party to interest rate swap agreements, with an aggregate notional value of $94.0 million at March 31, 2020. The interest rate swaps are designated as cash flow hedges of the Company’s exposure to the variability of the payment of interest on a portion of its Term Loan borrowings. The hedge periods of these agreements commenced in April 2018 and expire in March 2023. The notional amounts are reduced over these periods.</w:t>
      </w:r>
    </w:p>
    <w:p>
      <w:pPr>
        <w:spacing w:after="0" w:line="4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March 31, 2020. These are non-designated interest rate swaps that serve as economic hedges of the Company’s exposure to the variability of the payment of interest on a portion of its Term Loan borrowings and expire in February 2025.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total outstanding notional value of interest rate swaps was $119.0 million at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 dollar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 of foreign exchange contracts at March 31, 2020 was $2.1 million. These foreign exchange contracts have been designated as hedges in order to apply hedge accounting.</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March 31, 2020, the Company does not have any foreign currency forward contract derivatives that are not designated as hedges.</w:t>
      </w:r>
    </w:p>
    <w:p>
      <w:pPr>
        <w:spacing w:after="0" w:line="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3780" w:type="dxa"/>
            <w:vAlign w:val="bottom"/>
            <w:gridSpan w:val="2"/>
          </w:tcPr>
          <w:p>
            <w:pPr>
              <w:ind w:left="1940"/>
              <w:spacing w:after="0"/>
              <w:rPr>
                <w:sz w:val="20"/>
                <w:szCs w:val="20"/>
                <w:color w:val="auto"/>
              </w:rPr>
            </w:pPr>
            <w:r>
              <w:rPr>
                <w:rFonts w:ascii="Arial" w:cs="Arial" w:eastAsia="Arial" w:hAnsi="Arial"/>
                <w:sz w:val="16"/>
                <w:szCs w:val="16"/>
                <w:b w:val="1"/>
                <w:bCs w:val="1"/>
                <w:color w:val="auto"/>
              </w:rPr>
              <w:t>Balance Sheet</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116"/>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780" w:type="dxa"/>
            <w:vAlign w:val="bottom"/>
            <w:gridSpan w:val="2"/>
          </w:tcPr>
          <w:p>
            <w:pPr>
              <w:ind w:left="2120"/>
              <w:spacing w:after="0"/>
              <w:rPr>
                <w:sz w:val="20"/>
                <w:szCs w:val="20"/>
                <w:color w:val="auto"/>
              </w:rPr>
            </w:pPr>
            <w:r>
              <w:rPr>
                <w:rFonts w:ascii="Arial" w:cs="Arial" w:eastAsia="Arial" w:hAnsi="Arial"/>
                <w:sz w:val="16"/>
                <w:szCs w:val="16"/>
                <w:b w:val="1"/>
                <w:bCs w:val="1"/>
                <w:color w:val="auto"/>
              </w:rPr>
              <w:t>Location</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Pr>
          <w:p>
            <w:pPr>
              <w:spacing w:after="0"/>
              <w:rPr>
                <w:sz w:val="18"/>
                <w:szCs w:val="18"/>
                <w:color w:val="auto"/>
              </w:rPr>
            </w:pPr>
          </w:p>
        </w:tc>
        <w:tc>
          <w:tcPr>
            <w:tcW w:w="1180" w:type="dxa"/>
            <w:vAlign w:val="bottom"/>
          </w:tcPr>
          <w:p>
            <w:pPr>
              <w:jc w:val="right"/>
              <w:ind w:right="416"/>
              <w:spacing w:after="0"/>
              <w:rPr>
                <w:sz w:val="20"/>
                <w:szCs w:val="20"/>
                <w:color w:val="auto"/>
              </w:rPr>
            </w:pPr>
            <w:r>
              <w:rPr>
                <w:rFonts w:ascii="Arial" w:cs="Arial" w:eastAsia="Arial" w:hAnsi="Arial"/>
                <w:sz w:val="16"/>
                <w:szCs w:val="16"/>
                <w:b w:val="1"/>
                <w:bCs w:val="1"/>
                <w:color w:val="auto"/>
              </w:rPr>
              <w:t>2019</w:t>
            </w:r>
          </w:p>
        </w:tc>
      </w:tr>
      <w:tr>
        <w:trPr>
          <w:trHeight w:val="33"/>
        </w:trPr>
        <w:tc>
          <w:tcPr>
            <w:tcW w:w="44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7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6"/>
                <w:szCs w:val="16"/>
                <w:color w:val="auto"/>
              </w:rPr>
              <w:t>Prepaid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427</w:t>
            </w:r>
          </w:p>
        </w:tc>
      </w:tr>
      <w:tr>
        <w:trPr>
          <w:trHeight w:val="223"/>
        </w:trPr>
        <w:tc>
          <w:tcPr>
            <w:tcW w:w="4420" w:type="dxa"/>
            <w:vAlign w:val="bottom"/>
          </w:tcPr>
          <w:p>
            <w:pPr>
              <w:spacing w:after="0"/>
              <w:rPr>
                <w:sz w:val="19"/>
                <w:szCs w:val="19"/>
                <w:color w:val="auto"/>
              </w:rPr>
            </w:pPr>
          </w:p>
        </w:tc>
        <w:tc>
          <w:tcPr>
            <w:tcW w:w="3780" w:type="dxa"/>
            <w:vAlign w:val="bottom"/>
            <w:gridSpan w:val="2"/>
          </w:tcPr>
          <w:p>
            <w:pPr>
              <w:ind w:left="120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6"/>
                <w:szCs w:val="16"/>
                <w:color w:val="auto"/>
              </w:rPr>
              <w:t>1,267</w:t>
            </w:r>
          </w:p>
        </w:tc>
      </w:tr>
      <w:tr>
        <w:trPr>
          <w:trHeight w:val="33"/>
        </w:trPr>
        <w:tc>
          <w:tcPr>
            <w:tcW w:w="44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4420" w:type="dxa"/>
            <w:vAlign w:val="bottom"/>
            <w:tcBorders>
              <w:bottom w:val="single" w:sz="8" w:color="CCEEFF"/>
            </w:tcBorders>
            <w:shd w:val="clear" w:color="auto" w:fill="CCEEFF"/>
          </w:tcPr>
          <w:p>
            <w:pPr>
              <w:spacing w:after="0"/>
              <w:rPr>
                <w:sz w:val="20"/>
                <w:szCs w:val="20"/>
                <w:color w:val="auto"/>
              </w:rPr>
            </w:pPr>
          </w:p>
        </w:tc>
        <w:tc>
          <w:tcPr>
            <w:tcW w:w="37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6"/>
                <w:szCs w:val="16"/>
                <w:color w:val="auto"/>
              </w:rPr>
              <w:t>Accrued expenses</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w:t>
            </w:r>
          </w:p>
        </w:tc>
      </w:tr>
      <w:tr>
        <w:trPr>
          <w:trHeight w:val="260"/>
        </w:trPr>
        <w:tc>
          <w:tcPr>
            <w:tcW w:w="4420" w:type="dxa"/>
            <w:vAlign w:val="bottom"/>
          </w:tcPr>
          <w:p>
            <w:pPr>
              <w:spacing w:after="0"/>
              <w:rPr>
                <w:sz w:val="22"/>
                <w:szCs w:val="22"/>
                <w:color w:val="auto"/>
              </w:rPr>
            </w:pPr>
          </w:p>
        </w:tc>
        <w:tc>
          <w:tcPr>
            <w:tcW w:w="3780" w:type="dxa"/>
            <w:vAlign w:val="bottom"/>
            <w:gridSpan w:val="2"/>
          </w:tcPr>
          <w:p>
            <w:pPr>
              <w:ind w:left="1200"/>
              <w:spacing w:after="0"/>
              <w:rPr>
                <w:sz w:val="20"/>
                <w:szCs w:val="20"/>
                <w:color w:val="auto"/>
              </w:rPr>
            </w:pPr>
            <w:r>
              <w:rPr>
                <w:rFonts w:ascii="Arial" w:cs="Arial" w:eastAsia="Arial" w:hAnsi="Arial"/>
                <w:sz w:val="16"/>
                <w:szCs w:val="16"/>
                <w:color w:val="auto"/>
              </w:rPr>
              <w:t>Other Long-Term Liabilities</w:t>
            </w:r>
          </w:p>
        </w:tc>
        <w:tc>
          <w:tcPr>
            <w:tcW w:w="120" w:type="dxa"/>
            <w:vAlign w:val="bottom"/>
          </w:tcPr>
          <w:p>
            <w:pPr>
              <w:spacing w:after="0"/>
              <w:rPr>
                <w:sz w:val="22"/>
                <w:szCs w:val="22"/>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1,769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ind w:right="76"/>
              <w:spacing w:after="0"/>
              <w:rPr>
                <w:sz w:val="20"/>
                <w:szCs w:val="20"/>
                <w:color w:val="auto"/>
              </w:rPr>
            </w:pPr>
            <w:r>
              <w:rPr>
                <w:rFonts w:ascii="Arial" w:cs="Arial" w:eastAsia="Arial" w:hAnsi="Arial"/>
                <w:sz w:val="20"/>
                <w:szCs w:val="20"/>
                <w:color w:val="auto"/>
              </w:rPr>
              <w:t>—</w:t>
            </w:r>
          </w:p>
        </w:tc>
      </w:tr>
      <w:tr>
        <w:trPr>
          <w:trHeight w:val="23"/>
        </w:trPr>
        <w:tc>
          <w:tcPr>
            <w:tcW w:w="44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378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Prepaid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6"/>
                <w:szCs w:val="16"/>
                <w:color w:val="auto"/>
              </w:rPr>
              <w:t>180</w:t>
            </w:r>
          </w:p>
        </w:tc>
      </w:tr>
      <w:tr>
        <w:trPr>
          <w:trHeight w:val="33"/>
        </w:trPr>
        <w:tc>
          <w:tcPr>
            <w:tcW w:w="442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00" w:type="dxa"/>
            <w:vAlign w:val="bottom"/>
          </w:tcPr>
          <w:p>
            <w:pPr>
              <w:spacing w:after="0"/>
              <w:rPr>
                <w:sz w:val="17"/>
                <w:szCs w:val="17"/>
                <w:color w:val="auto"/>
              </w:rPr>
            </w:pPr>
          </w:p>
        </w:tc>
        <w:tc>
          <w:tcPr>
            <w:tcW w:w="3940" w:type="dxa"/>
            <w:vAlign w:val="bottom"/>
            <w:gridSpan w:val="2"/>
          </w:tcPr>
          <w:p>
            <w:pPr>
              <w:jc w:val="center"/>
              <w:ind w:left="799"/>
              <w:spacing w:after="0"/>
              <w:rPr>
                <w:sz w:val="20"/>
                <w:szCs w:val="20"/>
                <w:color w:val="auto"/>
              </w:rPr>
            </w:pPr>
            <w:r>
              <w:rPr>
                <w:rFonts w:ascii="Arial" w:cs="Arial" w:eastAsia="Arial" w:hAnsi="Arial"/>
                <w:sz w:val="16"/>
                <w:szCs w:val="16"/>
                <w:b w:val="1"/>
                <w:bCs w:val="1"/>
                <w:color w:val="auto"/>
                <w:w w:val="89"/>
              </w:rPr>
              <w:t>Balance Sheet</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December 31,</w:t>
            </w:r>
          </w:p>
        </w:tc>
      </w:tr>
      <w:tr>
        <w:trPr>
          <w:trHeight w:val="240"/>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3820" w:type="dxa"/>
            <w:vAlign w:val="bottom"/>
            <w:tcBorders>
              <w:bottom w:val="single" w:sz="8" w:color="auto"/>
            </w:tcBorders>
          </w:tcPr>
          <w:p>
            <w:pPr>
              <w:jc w:val="center"/>
              <w:ind w:left="919"/>
              <w:spacing w:after="0"/>
              <w:rPr>
                <w:sz w:val="20"/>
                <w:szCs w:val="20"/>
                <w:color w:val="auto"/>
              </w:rPr>
            </w:pPr>
            <w:r>
              <w:rPr>
                <w:rFonts w:ascii="Arial" w:cs="Arial" w:eastAsia="Arial" w:hAnsi="Arial"/>
                <w:sz w:val="16"/>
                <w:szCs w:val="16"/>
                <w:b w:val="1"/>
                <w:bCs w:val="1"/>
                <w:color w:val="auto"/>
                <w:w w:val="92"/>
              </w:rPr>
              <w:t>Location</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4"/>
              </w:rPr>
              <w:t>March 31, 2020</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3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9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402</w:t>
            </w:r>
          </w:p>
        </w:tc>
      </w:tr>
      <w:tr>
        <w:trPr>
          <w:trHeight w:val="224"/>
        </w:trPr>
        <w:tc>
          <w:tcPr>
            <w:tcW w:w="4500" w:type="dxa"/>
            <w:vAlign w:val="bottom"/>
          </w:tcPr>
          <w:p>
            <w:pPr>
              <w:spacing w:after="0"/>
              <w:rPr>
                <w:sz w:val="19"/>
                <w:szCs w:val="19"/>
                <w:color w:val="auto"/>
              </w:rPr>
            </w:pPr>
          </w:p>
        </w:tc>
        <w:tc>
          <w:tcPr>
            <w:tcW w:w="3940" w:type="dxa"/>
            <w:vAlign w:val="bottom"/>
            <w:gridSpan w:val="2"/>
          </w:tcPr>
          <w:p>
            <w:pPr>
              <w:ind w:left="1020"/>
              <w:spacing w:after="0"/>
              <w:rPr>
                <w:sz w:val="20"/>
                <w:szCs w:val="20"/>
                <w:color w:val="auto"/>
              </w:rPr>
            </w:pPr>
            <w:r>
              <w:rPr>
                <w:rFonts w:ascii="Arial" w:cs="Arial" w:eastAsia="Arial" w:hAnsi="Arial"/>
                <w:sz w:val="16"/>
                <w:szCs w:val="16"/>
                <w:color w:val="auto"/>
              </w:rPr>
              <w:t>Other Long-Term Liabilities</w:t>
            </w:r>
          </w:p>
        </w:tc>
        <w:tc>
          <w:tcPr>
            <w:tcW w:w="12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1,849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r>
    </w:tbl>
    <w:p>
      <w:pPr>
        <w:spacing w:after="0" w:line="12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fair values of the interest rate swaps have been obtained from the counterparties to the agreements and were based on Level 2 observable inputs using proprietary models and estimates about relevant future market conditions. The fair values of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4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amounts of gains and losses related to the Company’s derivative financial instruments designated as hedging instruments are recognized in other comprehensive loss, net of taxes,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ind w:right="4"/>
              <w:spacing w:after="0"/>
              <w:rPr>
                <w:sz w:val="20"/>
                <w:szCs w:val="20"/>
                <w:color w:val="auto"/>
              </w:rPr>
            </w:pPr>
            <w:r>
              <w:rPr>
                <w:rFonts w:ascii="Arial" w:cs="Arial" w:eastAsia="Arial" w:hAnsi="Arial"/>
                <w:sz w:val="16"/>
                <w:szCs w:val="16"/>
                <w:b w:val="1"/>
                <w:bCs w:val="1"/>
                <w:color w:val="auto"/>
              </w:rPr>
              <w:t>March 31,</w:t>
            </w:r>
          </w:p>
        </w:tc>
        <w:tc>
          <w:tcPr>
            <w:tcW w:w="920" w:type="dxa"/>
            <w:vAlign w:val="bottom"/>
          </w:tcPr>
          <w:p>
            <w:pPr>
              <w:spacing w:after="0"/>
              <w:rPr>
                <w:sz w:val="18"/>
                <w:szCs w:val="18"/>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17"/>
        </w:trPr>
        <w:tc>
          <w:tcPr>
            <w:tcW w:w="85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634</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w:t>
            </w:r>
          </w:p>
        </w:tc>
      </w:tr>
      <w:tr>
        <w:trPr>
          <w:trHeight w:val="217"/>
        </w:trPr>
        <w:tc>
          <w:tcPr>
            <w:tcW w:w="85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(2,877)</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756</w:t>
            </w:r>
          </w:p>
        </w:tc>
      </w:tr>
      <w:tr>
        <w:trPr>
          <w:trHeight w:val="33"/>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Realized gains and losses on the interest rate swaps are reclassified into earnings as the interest expense on the debt is recognized. The Company had no terminated or matured interest rate swaps during the three months ended March 31, 2020.</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Realized gains and losses on foreign exchange contracts that are reported in other comprehensive income (loss) are reclassified into cost of sales as the underlying inventory purchased is sold.</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three months ended March 31, 2020, the Company reclassified $0.1 million of cash flow hedges in other comprehensive losses to earnings. This was comprised of $0.2 million related to realized interest rate swap losses and a gain of $0.1 million related to foreign exchange contracts recognized in cost of sales.</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and mark to market losses related to the Company’s derivative financial instruments not designated as hedging instruments that were recognized in earnings are as follows (in thousands):</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920"/>
        <w:spacing w:after="0"/>
        <w:rPr>
          <w:sz w:val="20"/>
          <w:szCs w:val="20"/>
          <w:color w:val="auto"/>
        </w:rPr>
      </w:pPr>
      <w:r>
        <w:rPr>
          <w:rFonts w:ascii="Arial" w:cs="Arial" w:eastAsia="Arial" w:hAnsi="Arial"/>
          <w:sz w:val="16"/>
          <w:szCs w:val="16"/>
          <w:b w:val="1"/>
          <w:bCs w:val="1"/>
          <w:color w:val="auto"/>
        </w:rPr>
        <w:t>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4980" w:type="dxa"/>
            <w:vAlign w:val="bottom"/>
            <w:tcBorders>
              <w:top w:val="single" w:sz="8" w:color="CCEEFF"/>
              <w:bottom w:val="single" w:sz="8" w:color="CCEEFF"/>
            </w:tcBorders>
            <w:shd w:val="clear" w:color="auto" w:fill="CCEEFF"/>
          </w:tcPr>
          <w:p>
            <w:pPr>
              <w:ind w:left="1940"/>
              <w:spacing w:after="0"/>
              <w:rPr>
                <w:sz w:val="20"/>
                <w:szCs w:val="20"/>
                <w:color w:val="auto"/>
              </w:rPr>
            </w:pPr>
            <w:r>
              <w:rPr>
                <w:rFonts w:ascii="Arial" w:cs="Arial" w:eastAsia="Arial" w:hAnsi="Arial"/>
                <w:sz w:val="16"/>
                <w:szCs w:val="16"/>
                <w:b w:val="1"/>
                <w:bCs w:val="1"/>
                <w:color w:val="auto"/>
              </w:rPr>
              <w:t>Location of gain (loss)</w:t>
            </w:r>
          </w:p>
        </w:tc>
        <w:tc>
          <w:tcPr>
            <w:tcW w:w="24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217"/>
        </w:trPr>
        <w:tc>
          <w:tcPr>
            <w:tcW w:w="39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Interest rate swaps</w:t>
            </w:r>
          </w:p>
        </w:tc>
        <w:tc>
          <w:tcPr>
            <w:tcW w:w="4980" w:type="dxa"/>
            <w:vAlign w:val="bottom"/>
            <w:tcBorders>
              <w:top w:val="single" w:sz="8" w:color="auto"/>
            </w:tcBorders>
          </w:tcPr>
          <w:p>
            <w:pPr>
              <w:ind w:left="460"/>
              <w:spacing w:after="0"/>
              <w:rPr>
                <w:sz w:val="20"/>
                <w:szCs w:val="20"/>
                <w:color w:val="auto"/>
              </w:rPr>
            </w:pPr>
            <w:r>
              <w:rPr>
                <w:rFonts w:ascii="Arial" w:cs="Arial" w:eastAsia="Arial" w:hAnsi="Arial"/>
                <w:sz w:val="16"/>
                <w:szCs w:val="16"/>
                <w:color w:val="auto"/>
              </w:rPr>
              <w:t>Mark to market loss on interest rate derivatives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three months ended March 31, 2020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Weighted-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remaining</w:t>
            </w:r>
          </w:p>
        </w:tc>
        <w:tc>
          <w:tcPr>
            <w:tcW w:w="1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03"/>
        </w:trPr>
        <w:tc>
          <w:tcPr>
            <w:tcW w:w="5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w:t>
            </w: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contractual</w:t>
            </w:r>
          </w:p>
        </w:tc>
        <w:tc>
          <w:tcPr>
            <w:tcW w:w="120" w:type="dxa"/>
            <w:vAlign w:val="bottom"/>
          </w:tcPr>
          <w:p>
            <w:pPr>
              <w:spacing w:after="0"/>
              <w:rPr>
                <w:sz w:val="17"/>
                <w:szCs w:val="17"/>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10"/>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98"/>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exercise price</w:t>
            </w: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life (years)</w:t>
            </w:r>
          </w:p>
        </w:tc>
        <w:tc>
          <w:tcPr>
            <w:tcW w:w="12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5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January 1, 2020</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1,508,325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13.43</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880" w:type="dxa"/>
            <w:vAlign w:val="bottom"/>
          </w:tcPr>
          <w:p>
            <w:pPr>
              <w:ind w:left="340"/>
              <w:spacing w:after="0"/>
              <w:rPr>
                <w:sz w:val="20"/>
                <w:szCs w:val="20"/>
                <w:color w:val="auto"/>
              </w:rPr>
            </w:pPr>
            <w:r>
              <w:rPr>
                <w:rFonts w:ascii="Arial" w:cs="Arial" w:eastAsia="Arial" w:hAnsi="Arial"/>
                <w:sz w:val="16"/>
                <w:szCs w:val="16"/>
                <w:color w:val="auto"/>
              </w:rPr>
              <w:t>Expirations</w:t>
            </w:r>
          </w:p>
        </w:tc>
        <w:tc>
          <w:tcPr>
            <w:tcW w:w="240" w:type="dxa"/>
            <w:vAlign w:val="bottom"/>
          </w:tcPr>
          <w:p>
            <w:pPr>
              <w:spacing w:after="0"/>
              <w:rPr>
                <w:sz w:val="19"/>
                <w:szCs w:val="19"/>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(14,875)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March 31, 2020</w:t>
            </w: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1,493,450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Options exercisable, March 31, 2020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8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1,100,547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unrecognized stock option expense remaining (in thousands)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979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March 31, 2020. The intrinsic value is calculated for each in-the-money stock option as the difference between the closing price of the Company’s common stock on March 31, 2020 and the exercise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three months ended March 31, 2020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203"/>
        </w:trPr>
        <w:tc>
          <w:tcPr>
            <w:tcW w:w="8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203"/>
        </w:trPr>
        <w:tc>
          <w:tcPr>
            <w:tcW w:w="8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Restricted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33"/>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January 1, 2020</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593,341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23"/>
        </w:trPr>
        <w:tc>
          <w:tcPr>
            <w:tcW w:w="8300" w:type="dxa"/>
            <w:vAlign w:val="bottom"/>
          </w:tcPr>
          <w:p>
            <w:pPr>
              <w:ind w:left="340"/>
              <w:spacing w:after="0"/>
              <w:rPr>
                <w:sz w:val="20"/>
                <w:szCs w:val="20"/>
                <w:color w:val="auto"/>
              </w:rPr>
            </w:pPr>
            <w:r>
              <w:rPr>
                <w:rFonts w:ascii="Arial" w:cs="Arial" w:eastAsia="Arial" w:hAnsi="Arial"/>
                <w:sz w:val="16"/>
                <w:szCs w:val="16"/>
                <w:color w:val="auto"/>
              </w:rPr>
              <w:t>Grants</w:t>
            </w:r>
          </w:p>
        </w:tc>
        <w:tc>
          <w:tcPr>
            <w:tcW w:w="20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225,285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Vested</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(142,717)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23"/>
        </w:trPr>
        <w:tc>
          <w:tcPr>
            <w:tcW w:w="8300" w:type="dxa"/>
            <w:vAlign w:val="bottom"/>
          </w:tcPr>
          <w:p>
            <w:pPr>
              <w:ind w:left="340"/>
              <w:spacing w:after="0"/>
              <w:rPr>
                <w:sz w:val="20"/>
                <w:szCs w:val="20"/>
                <w:color w:val="auto"/>
              </w:rPr>
            </w:pPr>
            <w:r>
              <w:rPr>
                <w:rFonts w:ascii="Arial" w:cs="Arial" w:eastAsia="Arial" w:hAnsi="Arial"/>
                <w:sz w:val="16"/>
                <w:szCs w:val="16"/>
                <w:color w:val="auto"/>
              </w:rPr>
              <w:t>Cancellations</w:t>
            </w:r>
          </w:p>
        </w:tc>
        <w:tc>
          <w:tcPr>
            <w:tcW w:w="20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33"/>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March 31, 2020</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670,296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30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4,730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three months ended March 31, 2020 was $0.8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Company’s Amended and Restated 2000 Long Term Incentive Plan (the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performance-based award activity and related information for the three months ended March 31, 2020 is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Non-vested performance-based awards,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1517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Cancellations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Non-vested performance-based awards,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15175"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unrecognized compensation expense remaining (in thousands)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203"/>
        </w:trPr>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Performance-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average grant</w:t>
            </w: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3"/>
              </w:rPr>
              <w:t>date fair</w:t>
            </w:r>
          </w:p>
        </w:tc>
        <w:tc>
          <w:tcPr>
            <w:tcW w:w="0" w:type="dxa"/>
            <w:vAlign w:val="bottom"/>
          </w:tcPr>
          <w:p>
            <w:pPr>
              <w:spacing w:after="0"/>
              <w:rPr>
                <w:sz w:val="1"/>
                <w:szCs w:val="1"/>
                <w:color w:val="auto"/>
              </w:rPr>
            </w:pPr>
          </w:p>
        </w:tc>
      </w:tr>
      <w:tr>
        <w:trPr>
          <w:trHeight w:val="162"/>
        </w:trPr>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based stock</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8"/>
              </w:rPr>
              <w:t xml:space="preserve">awards </w:t>
            </w:r>
            <w:r>
              <w:rPr>
                <w:rFonts w:ascii="Arial" w:cs="Arial" w:eastAsia="Arial" w:hAnsi="Arial"/>
                <w:sz w:val="21"/>
                <w:szCs w:val="21"/>
                <w:b w:val="1"/>
                <w:bCs w:val="1"/>
                <w:color w:val="auto"/>
                <w:w w:val="88"/>
                <w:vertAlign w:val="superscript"/>
              </w:rPr>
              <w:t>(1)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2"/>
              </w:rPr>
              <w:t>value</w:t>
            </w:r>
          </w:p>
        </w:tc>
        <w:tc>
          <w:tcPr>
            <w:tcW w:w="0" w:type="dxa"/>
            <w:vAlign w:val="bottom"/>
          </w:tcPr>
          <w:p>
            <w:pPr>
              <w:spacing w:after="0"/>
              <w:rPr>
                <w:sz w:val="1"/>
                <w:szCs w:val="1"/>
                <w:color w:val="auto"/>
              </w:rPr>
            </w:pPr>
          </w:p>
        </w:tc>
      </w:tr>
      <w:tr>
        <w:trPr>
          <w:trHeight w:val="217"/>
        </w:trPr>
        <w:tc>
          <w:tcPr>
            <w:tcW w:w="1520" w:type="dxa"/>
            <w:vAlign w:val="bottom"/>
          </w:tcPr>
          <w:p>
            <w:pPr>
              <w:ind w:left="840"/>
              <w:spacing w:after="0"/>
              <w:rPr>
                <w:sz w:val="20"/>
                <w:szCs w:val="20"/>
                <w:color w:val="auto"/>
              </w:rPr>
            </w:pPr>
            <w:r>
              <w:rPr>
                <w:rFonts w:ascii="Arial" w:cs="Arial" w:eastAsia="Arial" w:hAnsi="Arial"/>
                <w:sz w:val="16"/>
                <w:szCs w:val="16"/>
                <w:color w:val="auto"/>
              </w:rPr>
              <w:t>405,059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257"/>
        </w:trPr>
        <w:tc>
          <w:tcPr>
            <w:tcW w:w="1520" w:type="dxa"/>
            <w:vAlign w:val="bottom"/>
          </w:tcPr>
          <w:p>
            <w:pPr>
              <w:ind w:left="860"/>
              <w:spacing w:after="0"/>
              <w:rPr>
                <w:sz w:val="20"/>
                <w:szCs w:val="20"/>
                <w:color w:val="auto"/>
              </w:rPr>
            </w:pPr>
            <w:r>
              <w:rPr>
                <w:rFonts w:ascii="Arial" w:cs="Arial" w:eastAsia="Arial" w:hAnsi="Arial"/>
                <w:sz w:val="16"/>
                <w:szCs w:val="16"/>
                <w:color w:val="auto"/>
              </w:rPr>
              <w:t>(62,215)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18.45</w:t>
            </w:r>
          </w:p>
        </w:tc>
        <w:tc>
          <w:tcPr>
            <w:tcW w:w="0" w:type="dxa"/>
            <w:vAlign w:val="bottom"/>
          </w:tcPr>
          <w:p>
            <w:pPr>
              <w:spacing w:after="0"/>
              <w:rPr>
                <w:sz w:val="1"/>
                <w:szCs w:val="1"/>
                <w:color w:val="auto"/>
              </w:rPr>
            </w:pPr>
          </w:p>
        </w:tc>
      </w:tr>
      <w:tr>
        <w:trPr>
          <w:trHeight w:val="256"/>
        </w:trPr>
        <w:tc>
          <w:tcPr>
            <w:tcW w:w="1520" w:type="dxa"/>
            <w:vAlign w:val="bottom"/>
          </w:tcPr>
          <w:p>
            <w:pPr>
              <w:ind w:left="860"/>
              <w:spacing w:after="0"/>
              <w:rPr>
                <w:sz w:val="20"/>
                <w:szCs w:val="20"/>
                <w:color w:val="auto"/>
              </w:rPr>
            </w:pPr>
            <w:r>
              <w:rPr>
                <w:rFonts w:ascii="Arial" w:cs="Arial" w:eastAsia="Arial" w:hAnsi="Arial"/>
                <w:sz w:val="16"/>
                <w:szCs w:val="16"/>
                <w:color w:val="auto"/>
              </w:rPr>
              <w:t>(14,524)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17.39</w:t>
            </w:r>
          </w:p>
        </w:tc>
        <w:tc>
          <w:tcPr>
            <w:tcW w:w="0" w:type="dxa"/>
            <w:vAlign w:val="bottom"/>
          </w:tcPr>
          <w:p>
            <w:pPr>
              <w:spacing w:after="0"/>
              <w:rPr>
                <w:sz w:val="1"/>
                <w:szCs w:val="1"/>
                <w:color w:val="auto"/>
              </w:rPr>
            </w:pPr>
          </w:p>
        </w:tc>
      </w:tr>
      <w:tr>
        <w:trPr>
          <w:trHeight w:val="33"/>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5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328,320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000" w:hanging="988"/>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1,509</w:t>
      </w:r>
    </w:p>
    <w:p>
      <w:pPr>
        <w:spacing w:after="0" w:line="7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6"/>
          <w:szCs w:val="16"/>
          <w:color w:val="auto"/>
        </w:rPr>
        <w:t>1.4</w:t>
      </w:r>
    </w:p>
    <w:p>
      <w:pPr>
        <w:spacing w:after="0" w:line="145" w:lineRule="exact"/>
        <w:rPr>
          <w:sz w:val="20"/>
          <w:szCs w:val="20"/>
          <w:color w:val="auto"/>
        </w:rPr>
      </w:pPr>
    </w:p>
    <w:p>
      <w:pPr>
        <w:sectPr>
          <w:pgSz w:w="11900" w:h="16838" w:orient="portrait"/>
          <w:cols w:equalWidth="0" w:num="2">
            <w:col w:w="7340" w:space="720"/>
            <w:col w:w="3180"/>
          </w:cols>
          <w:pgMar w:left="320" w:top="121" w:right="339" w:bottom="1440" w:gutter="0" w:footer="0" w:header="0"/>
          <w:type w:val="continuous"/>
        </w:sectPr>
      </w:pPr>
    </w:p>
    <w:p>
      <w:pPr>
        <w:ind w:left="320" w:hanging="312"/>
        <w:spacing w:after="0"/>
        <w:tabs>
          <w:tab w:leader="none" w:pos="32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the target number of shares to be issued for each performance-based award.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performance-based awards that vested during the three months ended March 31, 2020 was $0.4 million.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March 31, 2020, there were 185,326 shares available for awards that could be granted under the Plan, assuming maximum performance of performance-based awards.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The Company recorded stock compensation expense as follows (in thousands):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2"/>
        </w:trPr>
        <w:tc>
          <w:tcPr>
            <w:tcW w:w="8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gridSpan w:val="4"/>
          </w:tcPr>
          <w:p>
            <w:pPr>
              <w:jc w:val="right"/>
              <w:ind w:right="298"/>
              <w:spacing w:after="0"/>
              <w:rPr>
                <w:sz w:val="20"/>
                <w:szCs w:val="20"/>
                <w:color w:val="auto"/>
              </w:rPr>
            </w:pPr>
            <w:r>
              <w:rPr>
                <w:rFonts w:ascii="Arial" w:cs="Arial" w:eastAsia="Arial" w:hAnsi="Arial"/>
                <w:sz w:val="18"/>
                <w:szCs w:val="18"/>
                <w:b w:val="1"/>
                <w:bCs w:val="1"/>
                <w:color w:val="auto"/>
                <w:w w:val="98"/>
              </w:rPr>
              <w:t>Three Months Ended</w:t>
            </w:r>
          </w:p>
        </w:tc>
      </w:tr>
      <w:tr>
        <w:trPr>
          <w:trHeight w:val="234"/>
        </w:trPr>
        <w:tc>
          <w:tcPr>
            <w:tcW w:w="8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0"/>
                <w:szCs w:val="20"/>
                <w:color w:val="auto"/>
              </w:rPr>
            </w:pPr>
          </w:p>
        </w:tc>
      </w:tr>
      <w:tr>
        <w:trPr>
          <w:trHeight w:val="27"/>
        </w:trPr>
        <w:tc>
          <w:tcPr>
            <w:tcW w:w="8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8840" w:type="dxa"/>
            <w:vAlign w:val="bottom"/>
          </w:tcPr>
          <w:p>
            <w:pPr>
              <w:ind w:left="20"/>
              <w:spacing w:after="0"/>
              <w:rPr>
                <w:sz w:val="20"/>
                <w:szCs w:val="20"/>
                <w:color w:val="auto"/>
              </w:rPr>
            </w:pPr>
            <w:r>
              <w:rPr>
                <w:rFonts w:ascii="Arial" w:cs="Arial" w:eastAsia="Arial" w:hAnsi="Arial"/>
                <w:sz w:val="18"/>
                <w:szCs w:val="18"/>
                <w:b w:val="1"/>
                <w:bCs w:val="1"/>
                <w:color w:val="auto"/>
              </w:rPr>
              <w:t>Stock Compensation Expense Components</w:t>
            </w:r>
          </w:p>
        </w:tc>
        <w:tc>
          <w:tcPr>
            <w:tcW w:w="240" w:type="dxa"/>
            <w:vAlign w:val="bottom"/>
          </w:tcPr>
          <w:p>
            <w:pPr>
              <w:spacing w:after="0"/>
              <w:rPr>
                <w:sz w:val="20"/>
                <w:szCs w:val="20"/>
                <w:color w:val="auto"/>
              </w:rPr>
            </w:pPr>
          </w:p>
        </w:tc>
        <w:tc>
          <w:tcPr>
            <w:tcW w:w="920" w:type="dxa"/>
            <w:vAlign w:val="bottom"/>
          </w:tcPr>
          <w:p>
            <w:pPr>
              <w:jc w:val="right"/>
              <w:ind w:right="316"/>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78"/>
              <w:spacing w:after="0"/>
              <w:rPr>
                <w:sz w:val="20"/>
                <w:szCs w:val="20"/>
                <w:color w:val="auto"/>
              </w:rPr>
            </w:pPr>
            <w:r>
              <w:rPr>
                <w:rFonts w:ascii="Arial" w:cs="Arial" w:eastAsia="Arial" w:hAnsi="Arial"/>
                <w:sz w:val="18"/>
                <w:szCs w:val="18"/>
                <w:b w:val="1"/>
                <w:bCs w:val="1"/>
                <w:color w:val="auto"/>
                <w:w w:val="94"/>
              </w:rPr>
              <w:t>2019</w:t>
            </w:r>
          </w:p>
        </w:tc>
      </w:tr>
      <w:tr>
        <w:trPr>
          <w:trHeight w:val="27"/>
        </w:trPr>
        <w:tc>
          <w:tcPr>
            <w:tcW w:w="8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8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Equity based stock option expense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146</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122</w:t>
            </w:r>
          </w:p>
        </w:tc>
      </w:tr>
      <w:tr>
        <w:trPr>
          <w:trHeight w:val="243"/>
        </w:trPr>
        <w:tc>
          <w:tcPr>
            <w:tcW w:w="8840" w:type="dxa"/>
            <w:vAlign w:val="bottom"/>
          </w:tcPr>
          <w:p>
            <w:pPr>
              <w:ind w:left="440"/>
              <w:spacing w:after="0"/>
              <w:rPr>
                <w:sz w:val="20"/>
                <w:szCs w:val="20"/>
                <w:color w:val="auto"/>
              </w:rPr>
            </w:pPr>
            <w:r>
              <w:rPr>
                <w:rFonts w:ascii="Arial" w:cs="Arial" w:eastAsia="Arial" w:hAnsi="Arial"/>
                <w:sz w:val="18"/>
                <w:szCs w:val="18"/>
                <w:color w:val="auto"/>
              </w:rPr>
              <w:t>Restricted and performance-based stock awards expense</w:t>
            </w:r>
          </w:p>
        </w:tc>
        <w:tc>
          <w:tcPr>
            <w:tcW w:w="240" w:type="dxa"/>
            <w:vAlign w:val="bottom"/>
          </w:tcPr>
          <w:p>
            <w:pPr>
              <w:spacing w:after="0"/>
              <w:rPr>
                <w:sz w:val="21"/>
                <w:szCs w:val="21"/>
                <w:color w:val="auto"/>
              </w:rPr>
            </w:pPr>
          </w:p>
        </w:tc>
        <w:tc>
          <w:tcPr>
            <w:tcW w:w="920" w:type="dxa"/>
            <w:vAlign w:val="bottom"/>
          </w:tcPr>
          <w:p>
            <w:pPr>
              <w:jc w:val="right"/>
              <w:ind w:right="76"/>
              <w:spacing w:after="0"/>
              <w:rPr>
                <w:sz w:val="20"/>
                <w:szCs w:val="20"/>
                <w:color w:val="auto"/>
              </w:rPr>
            </w:pPr>
            <w:r>
              <w:rPr>
                <w:rFonts w:ascii="Arial" w:cs="Arial" w:eastAsia="Arial" w:hAnsi="Arial"/>
                <w:sz w:val="16"/>
                <w:szCs w:val="16"/>
                <w:color w:val="auto"/>
              </w:rPr>
              <w:t>1,174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778</w:t>
            </w:r>
          </w:p>
        </w:tc>
      </w:tr>
      <w:tr>
        <w:trPr>
          <w:trHeight w:val="27"/>
        </w:trPr>
        <w:tc>
          <w:tcPr>
            <w:tcW w:w="8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 compensation expense for equity based awards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1,320</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900</w:t>
            </w:r>
          </w:p>
        </w:tc>
      </w:tr>
      <w:tr>
        <w:trPr>
          <w:trHeight w:val="243"/>
        </w:trPr>
        <w:tc>
          <w:tcPr>
            <w:tcW w:w="8840" w:type="dxa"/>
            <w:vAlign w:val="bottom"/>
          </w:tcPr>
          <w:p>
            <w:pPr>
              <w:ind w:left="440"/>
              <w:spacing w:after="0"/>
              <w:rPr>
                <w:sz w:val="20"/>
                <w:szCs w:val="20"/>
                <w:color w:val="auto"/>
              </w:rPr>
            </w:pPr>
            <w:r>
              <w:rPr>
                <w:rFonts w:ascii="Arial" w:cs="Arial" w:eastAsia="Arial" w:hAnsi="Arial"/>
                <w:sz w:val="18"/>
                <w:szCs w:val="18"/>
                <w:color w:val="auto"/>
              </w:rPr>
              <w:t>Liability based stock option expense</w:t>
            </w:r>
          </w:p>
        </w:tc>
        <w:tc>
          <w:tcPr>
            <w:tcW w:w="240" w:type="dxa"/>
            <w:vAlign w:val="bottom"/>
          </w:tcPr>
          <w:p>
            <w:pPr>
              <w:spacing w:after="0"/>
              <w:rPr>
                <w:sz w:val="21"/>
                <w:szCs w:val="21"/>
                <w:color w:val="auto"/>
              </w:rPr>
            </w:pPr>
          </w:p>
        </w:tc>
        <w:tc>
          <w:tcPr>
            <w:tcW w:w="920" w:type="dxa"/>
            <w:vAlign w:val="bottom"/>
          </w:tcPr>
          <w:p>
            <w:pPr>
              <w:jc w:val="right"/>
              <w:ind w:right="76"/>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7</w:t>
            </w:r>
          </w:p>
        </w:tc>
      </w:tr>
      <w:tr>
        <w:trPr>
          <w:trHeight w:val="27"/>
        </w:trPr>
        <w:tc>
          <w:tcPr>
            <w:tcW w:w="8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5"/>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 Compensation Expense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6"/>
                <w:szCs w:val="16"/>
                <w:color w:val="auto"/>
              </w:rPr>
              <w:t>1,326</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907</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—LOSS PER COMMON SHARE</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Basic loss per common share has been computed by dividing net loss by the weighted-average number of shares of the Company’s common stock outstanding during the relevant period. Diluted loss per common share adjusts net loss and basic loss per common share for the effect of all potentially dilutive shares of the Company’s common stock. Anti-dilutive securities are not included in the computation of diluted earnings per share under the treasury stock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loss per common share for the three months ended March 31, 2020 and 2019 are as follows:</w:t>
      </w:r>
    </w:p>
    <w:p>
      <w:pPr>
        <w:spacing w:after="0" w:line="59" w:lineRule="exact"/>
        <w:rPr>
          <w:sz w:val="20"/>
          <w:szCs w:val="20"/>
          <w:color w:val="auto"/>
        </w:rPr>
      </w:pPr>
    </w:p>
    <w:p>
      <w:pPr>
        <w:jc w:val="center"/>
        <w:ind w:left="81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22860</wp:posOffset>
            </wp:positionV>
            <wp:extent cx="19291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200" w:type="dxa"/>
            <w:vAlign w:val="bottom"/>
          </w:tcPr>
          <w:p>
            <w:pPr>
              <w:spacing w:after="0"/>
              <w:rPr>
                <w:sz w:val="20"/>
                <w:szCs w:val="20"/>
                <w:color w:val="auto"/>
              </w:rPr>
            </w:pPr>
          </w:p>
        </w:tc>
        <w:tc>
          <w:tcPr>
            <w:tcW w:w="3040" w:type="dxa"/>
            <w:vAlign w:val="bottom"/>
            <w:gridSpan w:val="5"/>
          </w:tcPr>
          <w:p>
            <w:pPr>
              <w:jc w:val="right"/>
              <w:spacing w:after="0"/>
              <w:rPr>
                <w:sz w:val="20"/>
                <w:szCs w:val="20"/>
                <w:color w:val="auto"/>
              </w:rPr>
            </w:pPr>
            <w:r>
              <w:rPr>
                <w:rFonts w:ascii="Arial" w:cs="Arial" w:eastAsia="Arial" w:hAnsi="Arial"/>
                <w:sz w:val="18"/>
                <w:szCs w:val="18"/>
                <w:color w:val="auto"/>
                <w:w w:val="89"/>
              </w:rPr>
              <w:t>(in thousands, except per share amounts)</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 Basic and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(28,164)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outstanding – Basic and Diluted</w:t>
            </w:r>
          </w:p>
        </w:tc>
        <w:tc>
          <w:tcPr>
            <w:tcW w:w="3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20,745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20,510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loss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Antidilutive Securities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54"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Income tax benefit of $3.7 million and $2.5 million for the three months ended March 31, 2020 and 2019, respectively, represent taxes on both U.S. and foreign earnings at combined effective income tax benefit rates of 11.6% and 34.1%, respectively. The effective tax rate for the three months ended March 31, 2020 differs from the federal statutory income tax rate of 21.0% primarily due to the impact of the non-deductible portion of the goodwill impairment charge. The effective rate for the three months ended March 31, 2019 differs from the federal statutory income tax rate of 21.0% primarily due to state and local taxes and a benefit related to rate changes, partially offset by non-deductible expenses. The Company has identified the following jurisdictions as “major” tax jurisdictions: U.S. Federal, California, Massachusetts, Texas and the United Kingdom. The Company’s 2015 U.S. Federal income tax return and New York State tax returns for years 2014-2016 remain under audit with no material assessments as of March 31, 2020.</w:t>
      </w:r>
    </w:p>
    <w:p>
      <w:pPr>
        <w:spacing w:after="0" w:line="189" w:lineRule="exact"/>
        <w:rPr>
          <w:sz w:val="20"/>
          <w:szCs w:val="20"/>
          <w:color w:val="auto"/>
        </w:rPr>
      </w:pPr>
    </w:p>
    <w:p>
      <w:pPr>
        <w:ind w:right="460"/>
        <w:spacing w:after="0" w:line="258" w:lineRule="auto"/>
        <w:rPr>
          <w:sz w:val="20"/>
          <w:szCs w:val="20"/>
          <w:color w:val="auto"/>
        </w:rPr>
      </w:pPr>
      <w:r>
        <w:rPr>
          <w:rFonts w:ascii="Arial" w:cs="Arial" w:eastAsia="Arial" w:hAnsi="Arial"/>
          <w:sz w:val="17"/>
          <w:szCs w:val="17"/>
          <w:color w:val="auto"/>
        </w:rPr>
        <w:t>The Company evaluates its tax positions on a quarterly basis and revises its estimates accordingly. There were no material changes to the Company’s uncertain tax positions, interest, or penalties during the three-month periods ended March 31, 2020 and March 31, 2019.</w:t>
      </w:r>
    </w:p>
    <w:p>
      <w:pPr>
        <w:spacing w:after="0" w:line="24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On March 27, 2020, the Coronavirus Aid, Relief, and Economic Security Act (the “CARES Act”) was enacted into law and the new legislation contains several key tax provisions, including the five-year net operating loss carryback, an adjusted business interest limitation, and payroll tax deferral. The Company is required to recognize the effect of tax law changes in the period of enactment. The Company has assessed the applicability of the CARES Act and determined there is no material impact to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BUSINESS SEGMENTS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its internet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200" w:lineRule="exact"/>
        <w:rPr>
          <w:sz w:val="20"/>
          <w:szCs w:val="20"/>
          <w:color w:val="auto"/>
        </w:rPr>
      </w:pPr>
    </w:p>
    <w:p>
      <w:pPr>
        <w:spacing w:after="0" w:line="259"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22860</wp:posOffset>
            </wp:positionV>
            <wp:extent cx="17316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129,208</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127,038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22,888</w:t>
            </w:r>
          </w:p>
        </w:tc>
        <w:tc>
          <w:tcPr>
            <w:tcW w:w="0" w:type="dxa"/>
            <w:vAlign w:val="bottom"/>
          </w:tcPr>
          <w:p>
            <w:pPr>
              <w:spacing w:after="0"/>
              <w:rPr>
                <w:sz w:val="1"/>
                <w:szCs w:val="1"/>
                <w:color w:val="auto"/>
              </w:rPr>
            </w:pPr>
          </w:p>
        </w:tc>
      </w:tr>
      <w:tr>
        <w:trPr>
          <w:trHeight w:val="237"/>
        </w:trPr>
        <w:tc>
          <w:tcPr>
            <w:tcW w:w="832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145,070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149,926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Loss from operations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(25,245)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depreciation and amortization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r>
      <w:tr>
        <w:trPr>
          <w:trHeight w:val="237"/>
        </w:trPr>
        <w:tc>
          <w:tcPr>
            <w:tcW w:w="8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gridSpan w:val="4"/>
          </w:tcPr>
          <w:p>
            <w:pPr>
              <w:jc w:val="right"/>
              <w:ind w:right="830"/>
              <w:spacing w:after="0"/>
              <w:rPr>
                <w:sz w:val="20"/>
                <w:szCs w:val="20"/>
                <w:color w:val="auto"/>
              </w:rPr>
            </w:pPr>
            <w:r>
              <w:rPr>
                <w:rFonts w:ascii="Arial" w:cs="Arial" w:eastAsia="Arial" w:hAnsi="Arial"/>
                <w:sz w:val="18"/>
                <w:szCs w:val="18"/>
                <w:color w:val="auto"/>
              </w:rPr>
              <w:t>(in thousands)</w:t>
            </w:r>
          </w:p>
        </w:tc>
      </w:tr>
      <w:tr>
        <w:trPr>
          <w:trHeight w:val="27"/>
        </w:trPr>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U.S.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569,222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639,047</w:t>
            </w:r>
          </w:p>
        </w:tc>
      </w:tr>
      <w:tr>
        <w:trPr>
          <w:trHeight w:val="27"/>
        </w:trPr>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96,802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117,935</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Unallocated corporate</w:t>
            </w:r>
          </w:p>
        </w:tc>
        <w:tc>
          <w:tcPr>
            <w:tcW w:w="1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92,445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13,041</w:t>
            </w:r>
          </w:p>
        </w:tc>
      </w:tr>
      <w:tr>
        <w:trPr>
          <w:trHeight w:val="27"/>
        </w:trPr>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758,469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770,023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May 2008, WSPR received from the EPA a Notice of Potential Liability and Request for Information pursuant to 42 U.S.C.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20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The tolling agreements do not constitute in any way an admission or acknowledgment of any fact, conclusion of law or liability by the parties to the agreements.</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(MNA) program including monitoring of the plume fringe at the Site. The EPA’s estimated total net present worth cost for its selected remedy is $17.3 million.</w:t>
      </w:r>
    </w:p>
    <w:p>
      <w:pPr>
        <w:spacing w:after="0" w:line="21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By letter dated March 18, 2020, the Company’s counsel requested that CBP suspend the matter until the protest is reviewed and decided by Customs Headquarters based on the sufficiency of the evidence presented. CBP has confirmed that the protest is under review.</w:t>
      </w:r>
    </w:p>
    <w:p>
      <w:pPr>
        <w:spacing w:after="0" w:line="2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event CBP accepts the evidence presented, then no additional duties or penalties will be owed. If CBP rejects the Company’s position, then the estimated amount of duties that could be owed is $3.1 million. In such event, it is reasonably possible that additional penalties could be assessed, depending upon the level of culpability found, of up to $6.2 million for negligence and up to $12.4 million for gross negligence. In the event penalties are assessed, the Company will have the opportunity to further contest CBP’s findings and seek cancellation or mitigation of such assessments.</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the three months ended March 31, 2020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Dividend per share</w:t>
            </w:r>
          </w:p>
        </w:tc>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auto"/>
              </w:rPr>
              <w:t>Date declared</w:t>
            </w:r>
          </w:p>
        </w:tc>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Date of record</w:t>
            </w:r>
          </w:p>
        </w:tc>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Payment date</w:t>
            </w:r>
          </w:p>
        </w:tc>
      </w:tr>
      <w:tr>
        <w:trPr>
          <w:trHeight w:val="33"/>
        </w:trPr>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$0.0425</w:t>
            </w: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3/10/2020</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11/16/2020</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12/16/2020</w:t>
            </w:r>
          </w:p>
        </w:tc>
      </w:tr>
      <w:tr>
        <w:trPr>
          <w:trHeight w:val="33"/>
        </w:trPr>
        <w:tc>
          <w:tcPr>
            <w:tcW w:w="2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On February 14, 2020, the Company paid dividends of $0.9 million to shareholders of record on January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March 10, 2020, the Board of Directors declared a quarterly dividend of $0.0425 per share payable on May 15, 2020 to</w:t>
      </w:r>
    </w:p>
    <w:p>
      <w:pPr>
        <w:spacing w:after="0" w:line="2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shareholders of record on May 1, 2020. Subsequently, the Company issued a press release on April 23, 2020, announcing that the Board of Directors unanimously approved the rescheduling of the May quarterly dividend. Accordingly, shareholders of record as of November 16, 2020 will be eligible to receive $0.0425 per share on December 16, 2020.</w:t>
      </w:r>
    </w:p>
    <w:p>
      <w:pPr>
        <w:spacing w:after="0" w:line="2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the three months ended March 31, 2020, the Company reduced retained earnings for the accrual of $0.9 million relating to the dividend payable on December 16,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68"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33020</wp:posOffset>
            </wp:positionV>
            <wp:extent cx="1731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18"/>
                <w:szCs w:val="18"/>
                <w:color w:val="auto"/>
              </w:rPr>
            </w:pPr>
          </w:p>
        </w:tc>
        <w:tc>
          <w:tcPr>
            <w:tcW w:w="860" w:type="dxa"/>
            <w:vAlign w:val="bottom"/>
          </w:tcPr>
          <w:p>
            <w:pPr>
              <w:jc w:val="right"/>
              <w:ind w:right="419"/>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860" w:type="dxa"/>
            <w:vAlign w:val="bottom"/>
          </w:tcPr>
          <w:p>
            <w:pPr>
              <w:spacing w:after="0"/>
              <w:rPr>
                <w:sz w:val="18"/>
                <w:szCs w:val="18"/>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4,154</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4,494</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taxes, net of refunds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w:t>
            </w: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w:t>
            </w: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(loss) gain adjustment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(4,458)</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1,306</w:t>
            </w:r>
          </w:p>
        </w:tc>
      </w:tr>
      <w:tr>
        <w:trPr>
          <w:trHeight w:val="33"/>
        </w:trPr>
        <w:tc>
          <w:tcPr>
            <w:tcW w:w="8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68"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8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(in thousands)</w:t>
            </w: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translation adjustment: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(34,019)</w:t>
            </w:r>
          </w:p>
        </w:tc>
        <w:tc>
          <w:tcPr>
            <w:tcW w:w="1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(33,727)</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Translation (loss) income during period</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(4,458)</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1,306</w:t>
            </w: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(38,477)</w:t>
            </w:r>
          </w:p>
        </w:tc>
        <w:tc>
          <w:tcPr>
            <w:tcW w:w="18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(32,421)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deferred (losses) gains on cash flow hedges: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1,164</w:t>
            </w:r>
          </w:p>
        </w:tc>
        <w:tc>
          <w:tcPr>
            <w:tcW w:w="1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360"/>
              <w:spacing w:after="0"/>
              <w:rPr>
                <w:sz w:val="20"/>
                <w:szCs w:val="20"/>
                <w:color w:val="auto"/>
              </w:rPr>
            </w:pPr>
            <w:r>
              <w:rPr>
                <w:rFonts w:ascii="Arial" w:cs="Arial" w:eastAsia="Arial" w:hAnsi="Arial"/>
                <w:sz w:val="16"/>
                <w:szCs w:val="16"/>
                <w:color w:val="auto"/>
              </w:rPr>
              <w:t xml:space="preserve">Settlement of cash flow hedge </w:t>
            </w:r>
            <w:r>
              <w:rPr>
                <w:rFonts w:ascii="Arial" w:cs="Arial" w:eastAsia="Arial" w:hAnsi="Arial"/>
                <w:sz w:val="21"/>
                <w:szCs w:val="21"/>
                <w:color w:val="auto"/>
                <w:vertAlign w:val="superscript"/>
              </w:rPr>
              <w:t>(1)</w:t>
            </w:r>
          </w:p>
        </w:tc>
        <w:tc>
          <w:tcPr>
            <w:tcW w:w="3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119</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unrealized (losses) gains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(2,996)</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6"/>
                <w:szCs w:val="16"/>
                <w:color w:val="auto"/>
              </w:rPr>
              <w:t>Net change in cash flow hedges, net of taxes of $(998) and $189</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(2,877)</w:t>
            </w:r>
          </w:p>
        </w:tc>
        <w:tc>
          <w:tcPr>
            <w:tcW w:w="1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(1,713)</w:t>
            </w: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Accumulated effect of retirement benefit obligations: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16"/>
        </w:trPr>
        <w:tc>
          <w:tcPr>
            <w:tcW w:w="8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(2)</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Amortization of actuarial gains, net of taxes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(1,580)</w:t>
            </w:r>
          </w:p>
        </w:tc>
        <w:tc>
          <w:tcPr>
            <w:tcW w:w="18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losses at end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(41,770)</w:t>
            </w: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9"/>
          <w:szCs w:val="9"/>
          <w:color w:val="auto"/>
        </w:rPr>
      </w:pPr>
      <w:r>
        <w:rPr>
          <w:rFonts w:ascii="Arial" w:cs="Arial" w:eastAsia="Arial" w:hAnsi="Arial"/>
          <w:sz w:val="14"/>
          <w:szCs w:val="14"/>
          <w:color w:val="auto"/>
        </w:rPr>
        <w:t>Amounts are recorded in selling, general and administrative expense on the unaudited condensed consolidated statements of operations.</w:t>
      </w:r>
    </w:p>
    <w:p>
      <w:pPr>
        <w:spacing w:after="0" w:line="109" w:lineRule="exact"/>
        <w:rPr>
          <w:rFonts w:ascii="Arial" w:cs="Arial" w:eastAsia="Arial" w:hAnsi="Arial"/>
          <w:sz w:val="9"/>
          <w:szCs w:val="9"/>
          <w:color w:val="auto"/>
        </w:rPr>
      </w:pPr>
    </w:p>
    <w:p>
      <w:pPr>
        <w:ind w:left="320" w:hanging="312"/>
        <w:spacing w:after="0"/>
        <w:tabs>
          <w:tab w:leader="none" w:pos="320" w:val="left"/>
        </w:tabs>
        <w:numPr>
          <w:ilvl w:val="0"/>
          <w:numId w:val="7"/>
        </w:numPr>
        <w:rPr>
          <w:rFonts w:ascii="Arial" w:cs="Arial" w:eastAsia="Arial" w:hAnsi="Arial"/>
          <w:sz w:val="9"/>
          <w:szCs w:val="9"/>
          <w:color w:val="auto"/>
        </w:rPr>
      </w:pPr>
      <w:r>
        <w:rPr>
          <w:rFonts w:ascii="Arial" w:cs="Arial" w:eastAsia="Arial" w:hAnsi="Arial"/>
          <w:sz w:val="14"/>
          <w:szCs w:val="14"/>
          <w:color w:val="auto"/>
        </w:rPr>
        <w:t>Amounts reclassified are recorded in interest expense and cost of sales on the unaudited condensed consolidated statement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March 11, 2020, the World Health Organization declared the novel strain of COVID-19 a global pandemic and recommended containment and mitigation measures worldwide. The pandemic has significantly impacted economic conditions globally, with economic impacts accelerating in the U.S. during the second half of March, as federal, state and local governments reacted to the public health crisis, creating significant uncertainties in the economy. As of the date of this filing, the Company has been impacted by the economic decline resulting, among others, from brick-and-mortar customer closures and reduced demand from these customers. Despite labor concerns due to COVID-19, the Company’s global distribution facility capacity and supply chain remain fully operational.</w:t>
      </w:r>
    </w:p>
    <w:p>
      <w:pPr>
        <w:spacing w:after="0" w:line="84"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Company cannot reasonably estimate the length or severity of this pandemic, however, as a result of these developments the Company believes that there could be a material adverse impact on its future sales, results of operations, and cash flows in the remainder of fiscal 2020, including the potential impairment of certain intangible and other long-lived assets.</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response to the evolving impact of the COVID-19 global pandemic, the Company announced a number of cost reduction actions in April 2020 including a reduction in cash compensation to certain of the Company’s senior executives and the Company’s Board of Directors. In addition, the Company has furloughed a number of employees as a precautionary measure in the event of a prolonged economic downturn.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these cost reductions announced in April, the Company has taken actions to safeguard its liquidity position. In March 2020, the Company borrowed $43.1 million under the ABL Agreement to provide additional liquidity and financial flexibility in light of current economic conditions and uncertainties arising in connection with the COVID-19 pandemic. In addition, the Board of Directors has authorized the postponement of the Company's quarterly cash dividend, which was to be paid on May 15, 2020, to shareholders of record on May 1, 2020. On April 23, 2020, the Company announced a new record date of November 16, 2020, with the dividend payable on December 16, 2020.</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When used in this Quarterly Report on Form 10-Q, the words “estimates,” “expects,” “anticipates,” “projects,” “plans,” “intends,” “believes,” “may,” “should,” “assumes,” “seeks,”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Quarterly Report. Important factors that could cause the Company’s actual results to differ materially from those expressed as forward-looking statements are set forth in this Quarterly Report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in the Company’s Annual Report on Form 10-K for the fiscal year ended December 31, 2019 (the “2019 Annual Report on Form 10-K”)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Such risks, uncertainties and other important factors include, among others, risks related to:</w:t>
      </w:r>
    </w:p>
    <w:p>
      <w:pPr>
        <w:spacing w:after="0" w:line="8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factors and political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Exit of the United Kingdom from the European Union;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Tariffs;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Indebtedness and compliance with credit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the capital markets and credit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credit-worthiness of our customers and the counterparties to our derivatives;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and integration of our European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integration;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Intellectual property, brands and licenses;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trade and transportation;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 keeping unit rationalization (“SKU Rationalization”) initiative;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interruptions;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and investments;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health pandemics, such as COVID-19.</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2019, Kitchenware products and Tableware products accounted for approximately 79% of the Company’s U.S. segment’s net sales and 82% of the Company’s consolidated net sales.</w:t>
      </w:r>
    </w:p>
    <w:p>
      <w:pPr>
        <w:spacing w:after="0" w:line="178"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22"/>
          <w:szCs w:val="22"/>
          <w:color w:val="auto"/>
          <w:vertAlign w:val="superscript"/>
        </w:rPr>
        <w:t>®</w:t>
      </w:r>
      <w:r>
        <w:rPr>
          <w:rFonts w:ascii="Arial" w:cs="Arial" w:eastAsia="Arial" w:hAnsi="Arial"/>
          <w:sz w:val="17"/>
          <w:szCs w:val="17"/>
          <w:color w:val="auto"/>
        </w:rPr>
        <w:t>, Mikasa</w:t>
      </w:r>
      <w:r>
        <w:rPr>
          <w:rFonts w:ascii="Arial" w:cs="Arial" w:eastAsia="Arial" w:hAnsi="Arial"/>
          <w:sz w:val="22"/>
          <w:szCs w:val="22"/>
          <w:color w:val="auto"/>
          <w:vertAlign w:val="superscript"/>
        </w:rPr>
        <w:t>®</w:t>
      </w:r>
      <w:r>
        <w:rPr>
          <w:rFonts w:ascii="Arial" w:cs="Arial" w:eastAsia="Arial" w:hAnsi="Arial"/>
          <w:sz w:val="17"/>
          <w:szCs w:val="17"/>
          <w:color w:val="auto"/>
        </w:rPr>
        <w:t>, Taylor</w:t>
      </w:r>
      <w:r>
        <w:rPr>
          <w:rFonts w:ascii="Arial" w:cs="Arial" w:eastAsia="Arial" w:hAnsi="Arial"/>
          <w:sz w:val="22"/>
          <w:szCs w:val="22"/>
          <w:color w:val="auto"/>
          <w:vertAlign w:val="superscript"/>
        </w:rPr>
        <w:t>®</w:t>
      </w:r>
      <w:r>
        <w:rPr>
          <w:rFonts w:ascii="Arial" w:cs="Arial" w:eastAsia="Arial" w:hAnsi="Arial"/>
          <w:sz w:val="17"/>
          <w:szCs w:val="17"/>
          <w:color w:val="auto"/>
        </w:rPr>
        <w:t>, KitchenAid</w:t>
      </w:r>
      <w:r>
        <w:rPr>
          <w:rFonts w:ascii="Arial" w:cs="Arial" w:eastAsia="Arial" w:hAnsi="Arial"/>
          <w:sz w:val="22"/>
          <w:szCs w:val="22"/>
          <w:color w:val="auto"/>
          <w:vertAlign w:val="superscript"/>
        </w:rPr>
        <w:t>®</w:t>
      </w:r>
      <w:r>
        <w:rPr>
          <w:rFonts w:ascii="Arial" w:cs="Arial" w:eastAsia="Arial" w:hAnsi="Arial"/>
          <w:sz w:val="17"/>
          <w:szCs w:val="17"/>
          <w:color w:val="auto"/>
        </w:rPr>
        <w:t>, KitchenCraft</w:t>
      </w:r>
      <w:r>
        <w:rPr>
          <w:rFonts w:ascii="Arial" w:cs="Arial" w:eastAsia="Arial" w:hAnsi="Arial"/>
          <w:sz w:val="22"/>
          <w:szCs w:val="22"/>
          <w:color w:val="auto"/>
          <w:vertAlign w:val="superscript"/>
        </w:rPr>
        <w:t>®</w:t>
      </w:r>
      <w:r>
        <w:rPr>
          <w:rFonts w:ascii="Arial" w:cs="Arial" w:eastAsia="Arial" w:hAnsi="Arial"/>
          <w:sz w:val="17"/>
          <w:szCs w:val="17"/>
          <w:color w:val="auto"/>
        </w:rPr>
        <w:t>, Pfaltzgraff</w:t>
      </w:r>
      <w:r>
        <w:rPr>
          <w:rFonts w:ascii="Arial" w:cs="Arial" w:eastAsia="Arial" w:hAnsi="Arial"/>
          <w:sz w:val="22"/>
          <w:szCs w:val="22"/>
          <w:color w:val="auto"/>
          <w:vertAlign w:val="superscript"/>
        </w:rPr>
        <w:t>®</w:t>
      </w:r>
      <w:r>
        <w:rPr>
          <w:rFonts w:ascii="Arial" w:cs="Arial" w:eastAsia="Arial" w:hAnsi="Arial"/>
          <w:sz w:val="17"/>
          <w:szCs w:val="17"/>
          <w:color w:val="auto"/>
        </w:rPr>
        <w:t>, Built NY</w:t>
      </w:r>
      <w:r>
        <w:rPr>
          <w:rFonts w:ascii="Arial" w:cs="Arial" w:eastAsia="Arial" w:hAnsi="Arial"/>
          <w:sz w:val="22"/>
          <w:szCs w:val="22"/>
          <w:color w:val="auto"/>
          <w:vertAlign w:val="superscript"/>
        </w:rPr>
        <w:t>®</w:t>
      </w:r>
      <w:r>
        <w:rPr>
          <w:rFonts w:ascii="Arial" w:cs="Arial" w:eastAsia="Arial" w:hAnsi="Arial"/>
          <w:sz w:val="17"/>
          <w:szCs w:val="17"/>
          <w:color w:val="auto"/>
        </w:rPr>
        <w:t>, Rabbit</w:t>
      </w:r>
      <w:r>
        <w:rPr>
          <w:rFonts w:ascii="Arial" w:cs="Arial" w:eastAsia="Arial" w:hAnsi="Arial"/>
          <w:sz w:val="22"/>
          <w:szCs w:val="22"/>
          <w:color w:val="auto"/>
          <w:vertAlign w:val="superscript"/>
        </w:rPr>
        <w:t>®</w:t>
      </w:r>
      <w:r>
        <w:rPr>
          <w:rFonts w:ascii="Arial" w:cs="Arial" w:eastAsia="Arial" w:hAnsi="Arial"/>
          <w:sz w:val="17"/>
          <w:szCs w:val="17"/>
          <w:color w:val="auto"/>
        </w:rPr>
        <w:t>, Kamenstein</w:t>
      </w:r>
      <w:r>
        <w:rPr>
          <w:rFonts w:ascii="Arial" w:cs="Arial" w:eastAsia="Arial" w:hAnsi="Arial"/>
          <w:sz w:val="22"/>
          <w:szCs w:val="22"/>
          <w:color w:val="auto"/>
          <w:vertAlign w:val="superscript"/>
        </w:rPr>
        <w:t>®</w:t>
      </w:r>
      <w:r>
        <w:rPr>
          <w:rFonts w:ascii="Arial" w:cs="Arial" w:eastAsia="Arial" w:hAnsi="Arial"/>
          <w:sz w:val="17"/>
          <w:szCs w:val="17"/>
          <w:color w:val="auto"/>
        </w:rPr>
        <w:t>, and MasterClass®.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its internet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months ended March 31, 2020 and 2019 in the accompanying unaudited condensed consolidated statements of</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operations. Pursuant to a Shares Subscription Agreement, the Company may designate four persons to be nominated as members of Vasconia’s Board of Directors. As of March 31, 2020, Vasconia’s Board of Directors is comprised of twelve members of whom the Company has designated three members.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Company’s business and working capital needs are highly seasonal, with a majority of sales occurring in the third and fourth quarters. In 2019 and 2018, net sales for the third and fourth quarters accounted for 60% and 62% of total annual net sales, respectively. In anticipation of the pre-holiday shipping season, inventory levels increase primarily in the June through October time period. Consistent with the seasonality of the Company’s net sales and inventory levels, the Company also experiences seasonality in its inventory turnover and turnover days from one quarter to the next.</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expects that the COVID-19 pandemic will lead to shifts in some of its selling and purchasing cycles as customers are likely to deviate from their typical ordering patterns.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the Company did not incur any restructuring expenses.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the World Health Organization declared COVID-19 a global pandemic. The pandemic has resulted in a significant reduction in traditional retail traffic due to changes in consumer behavior as individuals are being encouraged to practice social distancing, and other restrictions have been mandated by foreign, federal, state and local governments, such as closure of non-essential businesses or reduced operating hours for businesses. This reduction in traditional retail traffic resulted in a decline in global demand for the Company’s products from the Company's brick-and-mortar retail customers in the second half of March. The Company expects this decline in demand from brick-and-mortar retail customers to continue while social distancing and other restrictions mandated by foreign, federal, state and local governments remain in place.</w:t>
      </w:r>
    </w:p>
    <w:p>
      <w:pPr>
        <w:spacing w:after="0" w:line="205"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As of May 21, 2020, the Company’s distribution centers remain operational despite labor concerns and continue to support e-commerce and certain brick-and-mortar retail customers that have remained open. The Company has not experienced disruptions in its supply chain related to the COVID-19 pandemic to date.</w:t>
      </w:r>
    </w:p>
    <w:p>
      <w:pPr>
        <w:spacing w:after="0" w:line="3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response to the current conditions, the Company's Board of Directors postponed the record and payment date of the quarterly dividend declared on March 10, 2020. Additionally, to secure the Company’s liquidity position and provide financial flexibility given uncertain market conditions, the Company drew $43.1 million on its revolving credit facility. See the subsection below entitled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xml:space="preserve"> for further details.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There have been no material changes to the Company’s critical accounting policies and estimates discussed in the 2019 Annual Report on Form 10-K in Item 7 under the heading </w:t>
      </w:r>
      <w:r>
        <w:rPr>
          <w:rFonts w:ascii="Arial" w:cs="Arial" w:eastAsia="Arial" w:hAnsi="Arial"/>
          <w:sz w:val="18"/>
          <w:szCs w:val="18"/>
          <w:i w:val="1"/>
          <w:iCs w:val="1"/>
          <w:color w:val="auto"/>
        </w:rPr>
        <w:t>Management’s Discussion and Analysis of Financial Condition and Results of Operations – Critical Accounting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Estimates</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statements of operations data of the Company as a percentage of net sales for the periods indicated:</w:t>
      </w:r>
    </w:p>
    <w:p>
      <w:pPr>
        <w:spacing w:after="0" w:line="64"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sales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Distribution expenses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Restructuring expenses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other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from operations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Mark to market loss on interest rate derivatives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before income taxes and equity in earnings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tax benefit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Equity in earnings (losses),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right"/>
        <w:ind w:right="50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52070</wp:posOffset>
            </wp:positionV>
            <wp:extent cx="8655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100.0 %</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34925</wp:posOffset>
            </wp:positionV>
            <wp:extent cx="8655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66"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36.5</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11.4</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28.6</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13.9</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(17.4)</w:t>
      </w:r>
    </w:p>
    <w:p>
      <w:pPr>
        <w:spacing w:after="0" w:line="73"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(3.2)</w:t>
      </w:r>
    </w:p>
    <w:p>
      <w:pPr>
        <w:spacing w:after="0" w:line="73"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34925</wp:posOffset>
            </wp:positionV>
            <wp:extent cx="8655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6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(22.2)</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2.6</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0.2</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60960</wp:posOffset>
            </wp:positionV>
            <wp:extent cx="8655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right"/>
        <w:ind w:right="500"/>
        <w:spacing w:after="0"/>
        <w:rPr>
          <w:sz w:val="20"/>
          <w:szCs w:val="20"/>
          <w:color w:val="auto"/>
        </w:rPr>
      </w:pPr>
      <w:r>
        <w:rPr>
          <w:rFonts w:ascii="Arial" w:cs="Arial" w:eastAsia="Arial" w:hAnsi="Arial"/>
          <w:sz w:val="15"/>
          <w:szCs w:val="15"/>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45085</wp:posOffset>
            </wp:positionV>
            <wp:extent cx="8743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100.0 %</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34925</wp:posOffset>
            </wp:positionV>
            <wp:extent cx="8743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66"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36.2</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10.6</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26.8</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0.4</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(1.6)</w:t>
      </w:r>
    </w:p>
    <w:p>
      <w:pPr>
        <w:spacing w:after="0" w:line="73"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(3.3)</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34925</wp:posOffset>
            </wp:positionV>
            <wp:extent cx="8743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6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(4.9)</w:t>
      </w:r>
    </w:p>
    <w:p>
      <w:pPr>
        <w:spacing w:after="0" w:line="7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1.6</w:t>
      </w:r>
    </w:p>
    <w:p>
      <w:pPr>
        <w:spacing w:after="0" w:line="73"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(0.1)</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60960</wp:posOffset>
            </wp:positionV>
            <wp:extent cx="8743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180" w:space="720"/>
            <w:col w:w="820" w:space="660"/>
            <w:col w:w="84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60" w:right="180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MARCH 31, 2020 COMPARED TO THE THREE MONTHS ENDED MARCH 31, 2019</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Consolidated net sales for the three months ended March 31, 2020 were $145.1 million, representing a decrease of $4.8 million, or 3.2%, as compared to net sales of $149.9 million for the corresponding period in 2019. In constant currency, a non-GAAP financial measure, which excludes the impact of foreign exchange fluctuations and was determined by applying 2020 average rates to 2019 local currency amounts, net sales decreased by $4.7 million, or 3.1%, as compared to consolidated net sales in the corresponding period in 2019.</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sales for the U.S. segment for the three months ended March 31, 2020 were $129.2 million, an increase of $2.2 million, or 1.7%, as compared to net sales of $127.0 million for the corresponding period in 2019.</w:t>
      </w:r>
    </w:p>
    <w:p>
      <w:pPr>
        <w:spacing w:after="0" w:line="170"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Net sales for the U.S. segment’s Kitchenware product category were $79.3 million for the three months ended March 31, 2020, an increase of $10.0 million, or 14.4%, as compared to $69.3 million for the corresponding period in 2019. The increase was attributable to the continuance of promotional programs that commenced in the latter part of 2019 for tools and gadgets, cutlery and bakeware in addition to increased e-commerce sales.</w:t>
      </w:r>
    </w:p>
    <w:p>
      <w:pPr>
        <w:spacing w:after="0" w:line="1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sales for the U.S. segment’s Tableware product category were $23.6 million for the three months ended March 31, 2020, a decrease of $2.9 million, or 10.9%, as compared to $26.5 million for the corresponding period in 2019. The decrease was primarily driven by lower sales of dinnerware products to brick-and-mortar retailers; this decrease was partially offset by increased e-commerce sales.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sales for the U.S. segment’s Home Solutions product category were $26.3 million for the three months ended March 31, 2020, a decrease of $5.0 million, or 16.0%, as compared to $31.3 million for the corresponding period in 2019. The decrease was driven by lower sales in the private label hydration category.</w:t>
      </w:r>
    </w:p>
    <w:p>
      <w:pPr>
        <w:spacing w:after="0" w:line="18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Net sales for the International segment were $15.9 million for the three months ended March 31, 2020, a decrease of $7.0 million, or 30.6%, as compared to net sales of $22.9 million for the corresponding period in 2019. In constant currency, which excludes the impact of foreign exchange fluctuations, net sales decreased $6.8 million, or 30.1%, as compared to consolidated net sales in the corresponding period in 2019. The decrease in sales, and sales in constant currency, was primarily due to lower sales to brick-and-mortar retailers as a result of lower demand and closures due to COVID-19.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Gross margin for the three months ended March 31, 2020 was $52.9 million, or 36.5%, as compared to $54.3 million, or 36.2%, for the corresponding period in 2019.</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Gross margin for the U.S. segment was $49.3 million, or 38.2%, for the three months ended March 31, 2020, as compared to $46.3 million, or 36.5%, for the corresponding period in 2019. The increase in gross margin percentage was primarily due to changes in product mix.</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Gross margin for the International segment was $3.6 million, or 22.9%, for the three months ended March 31, 2020, as compared to $8.0 million, or 34.9%, for the corresponding period in 2019. The decrease in gross margin percentage was primarily due to increased sales allowances granted to customers in the 2020 period, in addition to a decrease in sales against a period over period comparable amount of fixed import and warehouse inventoriable costs.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Distribution expenses for the three months ended March 31, 2020 were $16.6 million, as compared to $15.9 million for the corresponding period in 2019. Distribution expenses as a percentage of net sales were 11.4% for the three months ended March 31, 2020, as compared to 10.6% for the three months ended March 31, 2019.</w:t>
      </w:r>
    </w:p>
    <w:p>
      <w:pPr>
        <w:spacing w:after="0" w:line="31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Distribution expenses as a percentage of net sales for the U.S. segment were approximately 9.8% and 10.4% for the three months ended March 31, 2020 and 2019, respectively. Distribution expenses during the three months ended March 31, 2019 include $0.2 million for the Company’s facility relocation efforts of its west coast distribution facility. As a percentage of sales shipped from the Company’s U.S. warehouses, excluding relocation expenses, distribution expenses were 9.8% and 10.8% for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three months ended March 31, 2020 and 2019, respectively. The improvement reflects the continued realization of labor management efficiency and the leverage benefit of fixed costs on higher sales volume.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Distribution expenses as a percentage of net sales for the International segment were 24.7% for the three months ended March 31, 2020, compared to</w:t>
      </w:r>
    </w:p>
    <w:p>
      <w:pPr>
        <w:spacing w:after="0" w:line="46"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11.6% for the corresponding period in 2019. Distribution expenses during the three months ended March 31, 2020 include $0.8 million for the Company’s facility relocation costs. As a percentage of sales shipped from the Company’s U.K. warehouses, excluding the moving and relocation costs for U.K. operations, distribution expenses were 15.9% and 11.6% for the three months ended March 31, 2020 and 2019, respectively. The increase is primarily attributed to temporary labor inefficiencies associated with setting up the new U.K. warehouse but not directly attributable to relocation costs.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Selling, general and administrative expenses for the three months ended March 31, 2020 were $41.5 million, an increase of $1.4 million, or 3.4%, as compared to $40.1 million for the corresponding period in 2019.</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for the U.S. segment were $30.4 million for the three months ended March 31, 2020, as compared to $28.4 million for the corresponding period in 2019. As a percentage of net sales, selling, general and administrative expenses were 23.5% and 22.4% for the three months ended March 31, 2020 and 2019, respectively. The increase was primarily attributable to a higher estimate for bad debt expense related to the economic uncertainties caused by the COVID-19 pandemic.</w:t>
      </w:r>
    </w:p>
    <w:p>
      <w:pPr>
        <w:spacing w:after="0" w:line="200" w:lineRule="exact"/>
        <w:rPr>
          <w:sz w:val="20"/>
          <w:szCs w:val="20"/>
          <w:color w:val="auto"/>
        </w:rPr>
      </w:pPr>
    </w:p>
    <w:p>
      <w:pPr>
        <w:spacing w:after="0" w:line="27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Selling, general and administrative expenses for the International segment were $6.5 million for the three months ended March 31, 2020, as compared to $6.1 million for the corresponding period in 2019. The increase was primarily attributable to a higher estimate for bad debt expense related to the economic uncertainties caused by the COVID-19 pandemic, and was partially offset by lower employee and selling expenses.</w:t>
      </w:r>
    </w:p>
    <w:p>
      <w:pPr>
        <w:spacing w:after="0" w:line="1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Unallocated corporate expenses for the three months ended March 31, 2020 were $4.6 million, as compared to $5.6 million for the corresponding period in 2019. The decrease was mainly attributable to lower professional fees.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infinite-lived intangible asset impairment</w:t>
      </w:r>
    </w:p>
    <w:p>
      <w:pPr>
        <w:spacing w:after="0" w:line="243"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During the three months ended March 31, 2020, the Company recorded a $20.1 million non-cash goodwill and intangible asset impairment charge related to the U.S. reporting unit. The impairment charge resulted from, among other factors, more conservative estimated future cash flows in light of the uncertain market conditions arising from the COVID-19 pandemic.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$4.7 million for three months ended March 31, 2020 and $4.9 million for the three months ended March 31, 2019.</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loss on interest rate derivatives</w:t>
      </w:r>
    </w:p>
    <w:p>
      <w:pPr>
        <w:spacing w:after="0" w:line="16"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During the three months ended March 31, 2020, the Company recorded a non-cash charge of $2.3 million for a mark to market loss on certain of its interest rate derivatives. These derivatives were entered into for purposes of locking-in a fixed interest rate on the Company's variable interest rate debt. The loss was caused by the recent precipitous decline in interest rates. The intent of the Company is to hold these derivative contracts until their maturity. Therefore, this loss will reverse over time.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22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Income tax benefit for the three months ended March 31, 2020 was $3.7 million as compared to $2.5 million for the corresponding period in 2019. The Company’s effective income tax benefit rate for the three months ended March 31, 2020 was 11.6% as compared to 34.1% for the corresponding 2019 period. The effective tax rate for the three months ended March 31, 2020 differs from the federal statutory income tax rate of 21.0% primarily due to the impact of the non-deductible portion of the goodwill impairment charge. The effective rate for the three months ended March 31, 2019 differs from the federal statutory income tax rate of 21.0% primarily due to state and local taxes and a benefit related to rate changes, partially offset by non-deductible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Equity in earnings of Vasconia, net of taxes, was $0.3 million for the three months ended March 31, 2020, as compared to equity in losses of Vasconia, net of taxes, of $0.1 million for the three months ended March 31, 2019. Vasconia reported a loss from operations of $0.5 for the three months ended March 31, 2020, as compared to income from operations of $1.9 million for the three months ended March 31, 2019. The loss from operations is primarily due to a decrease in operating income from Vasconia's aluminum division.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Historically, the Company’s principal sources of cash to fund liquidity needs were: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 As a result of the COVID-19 pandemic, there is the potential for reduced demand for the Company's products and limited distribution facility capacity. Consequently, the Company may not be able to generate cash from operations at the levels historically provided while operating at these reduced capacities. Accordingly, in response to adverse conditions and as a precautionary measure, throughout March 2020, the Company drew down $43.1 million from its revolving credit facility under its ABL Agreement, as defined below.</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the Company had cash and cash equivalents of $85.3 million, compared to $11.4 million at December 31, 2019. Working capital was $260.0 million at March 31, 2020, compared to $221.8 million at December 31, 2019. Liquidity, which includes cash and cash equivalents and availability under the ABL Agreement, was approximately $136.6 million at March 31, 2020.</w:t>
      </w:r>
    </w:p>
    <w:p>
      <w:pPr>
        <w:spacing w:after="0" w:line="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In addition, recent tariff increases resulted in higher inventory carrying costs at March 31, 2020 compared to March 31, 2019. For the three months ended March 31, 2020, inventory turnover was 2.2 times, or 167 days, as compared to 2.1 times, or 172 days, for the three months ended March 31, 2019.</w:t>
      </w:r>
    </w:p>
    <w:p>
      <w:pPr>
        <w:spacing w:after="0" w:line="56"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Company believes that availability under the revolving credit facility under its ABL Agreement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w:t>
      </w:r>
    </w:p>
    <w:p>
      <w:pPr>
        <w:spacing w:after="0" w:line="4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expects the COVID-19 pandemic to adversely and materially affect the business operations and financial condition of some of its wholesale customers. 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changes in customers' creditworthiness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Company’s credit agreement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which provides for a senior secured term loan credit facility in the original principal amount of $275.0 million, which matures on February 28, 2025. The Term Loan facility will be repaid in quarterly payments, which commenced June 30, 2018, of principal equal to 0.25% of the original aggregate principal amount of the Term Loan facility. The Term Loan requires the Company to make an annual prepayment of principal based upon excess cash flow (“Excess Cash Flow”), if any. This estimated amount is recorded in current maturity of term loan on the unaudited condensed consolidated balance sheets. The Company paid a prepayment amount of $6.9 million in April 2020. 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and December 31, 2019,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 2019</w:t>
            </w:r>
          </w:p>
        </w:tc>
      </w:tr>
      <w:tr>
        <w:trPr>
          <w:trHeight w:val="233"/>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127,977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150,000</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20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(74,438)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(32,822)</w:t>
            </w:r>
          </w:p>
        </w:tc>
      </w:tr>
      <w:tr>
        <w:trPr>
          <w:trHeight w:val="33"/>
        </w:trPr>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(2,179)</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r>
      <w:tr>
        <w:trPr>
          <w:trHeight w:val="217"/>
        </w:trPr>
        <w:tc>
          <w:tcPr>
            <w:tcW w:w="764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51,360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114,890</w:t>
            </w:r>
          </w:p>
        </w:tc>
      </w:tr>
      <w:tr>
        <w:trPr>
          <w:trHeight w:val="33"/>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9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2020</w:t>
            </w:r>
          </w:p>
        </w:tc>
        <w:tc>
          <w:tcPr>
            <w:tcW w:w="260" w:type="dxa"/>
            <w:vAlign w:val="bottom"/>
          </w:tcPr>
          <w:p>
            <w:pPr>
              <w:spacing w:after="0"/>
              <w:rPr>
                <w:sz w:val="20"/>
                <w:szCs w:val="20"/>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2019</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Term Loan facility:</w:t>
            </w:r>
          </w:p>
        </w:tc>
        <w:tc>
          <w:tcPr>
            <w:tcW w:w="3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120"/>
              <w:spacing w:after="0"/>
              <w:rPr>
                <w:sz w:val="20"/>
                <w:szCs w:val="20"/>
                <w:color w:val="auto"/>
              </w:rPr>
            </w:pPr>
            <w:r>
              <w:rPr>
                <w:rFonts w:ascii="Arial" w:cs="Arial" w:eastAsia="Arial" w:hAnsi="Arial"/>
                <w:sz w:val="18"/>
                <w:szCs w:val="18"/>
                <w:color w:val="auto"/>
              </w:rPr>
              <w:t>Term Loan facility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2,750</w:t>
            </w:r>
          </w:p>
        </w:tc>
        <w:tc>
          <w:tcPr>
            <w:tcW w:w="1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2,750</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Estimated Excess Cash Flow payment</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6,903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7,145</w:t>
            </w:r>
          </w:p>
        </w:tc>
      </w:tr>
      <w:tr>
        <w:trPr>
          <w:trHeight w:val="243"/>
        </w:trPr>
        <w:tc>
          <w:tcPr>
            <w:tcW w:w="6580" w:type="dxa"/>
            <w:vAlign w:val="bottom"/>
          </w:tcPr>
          <w:p>
            <w:pPr>
              <w:ind w:left="120"/>
              <w:spacing w:after="0"/>
              <w:rPr>
                <w:sz w:val="20"/>
                <w:szCs w:val="20"/>
                <w:color w:val="auto"/>
              </w:rPr>
            </w:pPr>
            <w:r>
              <w:rPr>
                <w:rFonts w:ascii="Arial" w:cs="Arial" w:eastAsia="Arial" w:hAnsi="Arial"/>
                <w:sz w:val="18"/>
                <w:szCs w:val="18"/>
                <w:color w:val="auto"/>
              </w:rPr>
              <w:t>Unamortized debt issuance costs</w:t>
            </w:r>
          </w:p>
        </w:tc>
        <w:tc>
          <w:tcPr>
            <w:tcW w:w="32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(1,478)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8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portion of Term Loan facility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8,175</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8,413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40" w:type="dxa"/>
            <w:vAlign w:val="bottom"/>
          </w:tcPr>
          <w:p>
            <w:pPr>
              <w:spacing w:after="0"/>
              <w:rPr>
                <w:sz w:val="4"/>
                <w:szCs w:val="4"/>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 of Term Loan facility:</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120"/>
              <w:spacing w:after="0"/>
              <w:rPr>
                <w:sz w:val="20"/>
                <w:szCs w:val="20"/>
                <w:color w:val="auto"/>
              </w:rPr>
            </w:pPr>
            <w:r>
              <w:rPr>
                <w:rFonts w:ascii="Arial" w:cs="Arial" w:eastAsia="Arial" w:hAnsi="Arial"/>
                <w:sz w:val="18"/>
                <w:szCs w:val="18"/>
                <w:color w:val="auto"/>
              </w:rPr>
              <w:t>Term Loan facility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259,847</w:t>
            </w:r>
          </w:p>
        </w:tc>
        <w:tc>
          <w:tcPr>
            <w:tcW w:w="1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260,293</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Unamortized 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(5,637)</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(6,012)</w:t>
            </w: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Total Non-current portion of Term Loan facility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254,210</w:t>
            </w:r>
          </w:p>
        </w:tc>
        <w:tc>
          <w:tcPr>
            <w:tcW w:w="1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254,281</w:t>
            </w:r>
          </w:p>
        </w:tc>
      </w:tr>
      <w:tr>
        <w:trPr>
          <w:trHeight w:val="27"/>
        </w:trPr>
        <w:tc>
          <w:tcPr>
            <w:tcW w:w="6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
        </w:trPr>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6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March 31, 2020 ranged from 1.8% to 4.0%. In addition, the Company pays a commitment fee on the unused portion of the ABL Agreement.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60"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 plus a margin of 2.5% or</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(ii) LIBOR, but not less than 1%, plus a margin of 3.5%. The interest rate on outstanding borrowings under the Term Loan at March 31, 2020 was 4.5%.</w:t>
      </w:r>
    </w:p>
    <w:p>
      <w:pPr>
        <w:spacing w:after="0" w:line="14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March 31, 2020.</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Consolidated 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consolidated adjusted EBITDA, for the last four fiscal quarters: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Consolidated adjusted EBITDA</w:t>
            </w:r>
          </w:p>
        </w:tc>
      </w:tr>
      <w:tr>
        <w:trPr>
          <w:trHeight w:val="148"/>
        </w:trPr>
        <w:tc>
          <w:tcPr>
            <w:tcW w:w="9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for the Four Quarters Ended</w:t>
            </w:r>
          </w:p>
        </w:tc>
      </w:tr>
      <w:tr>
        <w:trPr>
          <w:trHeight w:val="192"/>
        </w:trPr>
        <w:tc>
          <w:tcPr>
            <w:tcW w:w="9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March 31, 2020</w:t>
            </w:r>
          </w:p>
        </w:tc>
      </w:tr>
      <w:tr>
        <w:trPr>
          <w:trHeight w:val="196"/>
        </w:trPr>
        <w:tc>
          <w:tcPr>
            <w:tcW w:w="9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jc w:val="center"/>
              <w:ind w:right="15"/>
              <w:spacing w:after="0"/>
              <w:rPr>
                <w:sz w:val="20"/>
                <w:szCs w:val="20"/>
                <w:color w:val="auto"/>
              </w:rPr>
            </w:pPr>
            <w:r>
              <w:rPr>
                <w:rFonts w:ascii="Arial" w:cs="Arial" w:eastAsia="Arial" w:hAnsi="Arial"/>
                <w:sz w:val="14"/>
                <w:szCs w:val="14"/>
                <w:color w:val="auto"/>
                <w:w w:val="92"/>
              </w:rPr>
              <w:t>(in thousands)</w:t>
            </w:r>
          </w:p>
        </w:tc>
      </w:tr>
      <w:tr>
        <w:trPr>
          <w:trHeight w:val="256"/>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3,252</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Three months ended December 31, 2019</w:t>
            </w:r>
          </w:p>
        </w:tc>
        <w:tc>
          <w:tcPr>
            <w:tcW w:w="120" w:type="dxa"/>
            <w:vAlign w:val="bottom"/>
          </w:tcPr>
          <w:p>
            <w:pPr>
              <w:spacing w:after="0"/>
              <w:rPr>
                <w:sz w:val="21"/>
                <w:szCs w:val="21"/>
                <w:color w:val="auto"/>
              </w:rPr>
            </w:pPr>
          </w:p>
        </w:tc>
        <w:tc>
          <w:tcPr>
            <w:tcW w:w="1960" w:type="dxa"/>
            <w:vAlign w:val="bottom"/>
          </w:tcPr>
          <w:p>
            <w:pPr>
              <w:jc w:val="right"/>
              <w:ind w:right="75"/>
              <w:spacing w:after="0"/>
              <w:rPr>
                <w:sz w:val="20"/>
                <w:szCs w:val="20"/>
                <w:color w:val="auto"/>
              </w:rPr>
            </w:pPr>
            <w:r>
              <w:rPr>
                <w:rFonts w:ascii="Arial" w:cs="Arial" w:eastAsia="Arial" w:hAnsi="Arial"/>
                <w:sz w:val="18"/>
                <w:szCs w:val="18"/>
                <w:color w:val="auto"/>
              </w:rPr>
              <w:t>27,873</w:t>
            </w:r>
          </w:p>
        </w:tc>
      </w:tr>
      <w:tr>
        <w:trPr>
          <w:trHeight w:val="27"/>
        </w:trPr>
        <w:tc>
          <w:tcPr>
            <w:tcW w:w="9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2019</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25,758</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Three months ended June 30, 2019</w:t>
            </w:r>
          </w:p>
        </w:tc>
        <w:tc>
          <w:tcPr>
            <w:tcW w:w="120" w:type="dxa"/>
            <w:vAlign w:val="bottom"/>
          </w:tcPr>
          <w:p>
            <w:pPr>
              <w:spacing w:after="0"/>
              <w:rPr>
                <w:sz w:val="21"/>
                <w:szCs w:val="21"/>
                <w:color w:val="auto"/>
              </w:rPr>
            </w:pPr>
          </w:p>
        </w:tc>
        <w:tc>
          <w:tcPr>
            <w:tcW w:w="1960" w:type="dxa"/>
            <w:vAlign w:val="bottom"/>
          </w:tcPr>
          <w:p>
            <w:pPr>
              <w:jc w:val="right"/>
              <w:ind w:right="75"/>
              <w:spacing w:after="0"/>
              <w:rPr>
                <w:sz w:val="20"/>
                <w:szCs w:val="20"/>
                <w:color w:val="auto"/>
              </w:rPr>
            </w:pPr>
            <w:r>
              <w:rPr>
                <w:rFonts w:ascii="Arial" w:cs="Arial" w:eastAsia="Arial" w:hAnsi="Arial"/>
                <w:sz w:val="18"/>
                <w:szCs w:val="18"/>
                <w:color w:val="auto"/>
              </w:rPr>
              <w:t>4,306</w:t>
            </w:r>
          </w:p>
        </w:tc>
      </w:tr>
      <w:tr>
        <w:trPr>
          <w:trHeight w:val="27"/>
        </w:trPr>
        <w:tc>
          <w:tcPr>
            <w:tcW w:w="9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adjusted EBITDA, before limitation</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61,189</w:t>
            </w:r>
          </w:p>
        </w:tc>
      </w:tr>
      <w:tr>
        <w:trPr>
          <w:trHeight w:val="243"/>
        </w:trPr>
        <w:tc>
          <w:tcPr>
            <w:tcW w:w="9160" w:type="dxa"/>
            <w:vAlign w:val="bottom"/>
          </w:tcPr>
          <w:p>
            <w:pPr>
              <w:ind w:left="340"/>
              <w:spacing w:after="0"/>
              <w:rPr>
                <w:sz w:val="20"/>
                <w:szCs w:val="20"/>
                <w:color w:val="auto"/>
              </w:rPr>
            </w:pPr>
            <w:r>
              <w:rPr>
                <w:rFonts w:ascii="Arial" w:cs="Arial" w:eastAsia="Arial" w:hAnsi="Arial"/>
                <w:sz w:val="18"/>
                <w:szCs w:val="18"/>
                <w:color w:val="auto"/>
              </w:rPr>
              <w:t>Permitted non-recurring charge limitation</w:t>
            </w:r>
          </w:p>
        </w:tc>
        <w:tc>
          <w:tcPr>
            <w:tcW w:w="120" w:type="dxa"/>
            <w:vAlign w:val="bottom"/>
          </w:tcPr>
          <w:p>
            <w:pPr>
              <w:spacing w:after="0"/>
              <w:rPr>
                <w:sz w:val="21"/>
                <w:szCs w:val="21"/>
                <w:color w:val="auto"/>
              </w:rPr>
            </w:pPr>
          </w:p>
        </w:tc>
        <w:tc>
          <w:tcPr>
            <w:tcW w:w="1960" w:type="dxa"/>
            <w:vAlign w:val="bottom"/>
          </w:tcPr>
          <w:p>
            <w:pPr>
              <w:jc w:val="right"/>
              <w:ind w:right="15"/>
              <w:spacing w:after="0"/>
              <w:rPr>
                <w:sz w:val="20"/>
                <w:szCs w:val="20"/>
                <w:color w:val="auto"/>
              </w:rPr>
            </w:pPr>
            <w:r>
              <w:rPr>
                <w:rFonts w:ascii="Arial" w:cs="Arial" w:eastAsia="Arial" w:hAnsi="Arial"/>
                <w:sz w:val="18"/>
                <w:szCs w:val="18"/>
                <w:color w:val="auto"/>
              </w:rPr>
              <w:t>(8,988)</w:t>
            </w:r>
          </w:p>
        </w:tc>
      </w:tr>
      <w:tr>
        <w:trPr>
          <w:trHeight w:val="27"/>
        </w:trPr>
        <w:tc>
          <w:tcPr>
            <w:tcW w:w="9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88"/>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adjusted EBITDA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52,201</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three months ended March 31, 2020 were $1.2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Consolidated adjusted EBITDA is a non-GAAP financial measure within the meaning of Regulation G and Item 10(e) of Regulation S-K, each promulgated by the Securities and Exchange Commission. This measure is provided because management of the Company uses this financial measure in evaluating the Company’s on-going financial results and trends, and management believes that exclusion of certain items allows for more accurate comparison of the Company’s operating performance by investors and analysts. Management also uses this non-GAAP information as an indicator of business performance. Consolidated adjusted EBITDA, as discussed above, is also one of the measures used to calculate financial covenants required to be provided to the Company’s lenders pursuant to its Debt Agreements.</w:t>
      </w:r>
    </w:p>
    <w:p>
      <w:pPr>
        <w:spacing w:after="0" w:line="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net loss, as reported, to consolidated adjusted EBITDA, for the four quarters ended March 31,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2"/>
              </w:rPr>
              <w:t>Twelve Months</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8"/>
                <w:szCs w:val="18"/>
                <w:color w:val="auto"/>
              </w:rPr>
            </w:pPr>
          </w:p>
        </w:tc>
        <w:tc>
          <w:tcPr>
            <w:tcW w:w="144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Ended March 31,</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8"/>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7"/>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8"/>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8"/>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(11,513)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(13,519)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(14,516)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(28,164)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(67,712)</w:t>
            </w:r>
          </w:p>
        </w:tc>
        <w:tc>
          <w:tcPr>
            <w:tcW w:w="0" w:type="dxa"/>
            <w:vAlign w:val="bottom"/>
          </w:tcPr>
          <w:p>
            <w:pPr>
              <w:spacing w:after="0"/>
              <w:rPr>
                <w:sz w:val="1"/>
                <w:szCs w:val="1"/>
                <w:color w:val="auto"/>
              </w:rPr>
            </w:pPr>
          </w:p>
        </w:tc>
      </w:tr>
      <w:tr>
        <w:trPr>
          <w:trHeight w:val="254"/>
        </w:trPr>
        <w:tc>
          <w:tcPr>
            <w:tcW w:w="4160" w:type="dxa"/>
            <w:vAlign w:val="bottom"/>
          </w:tcPr>
          <w:p>
            <w:pPr>
              <w:ind w:left="360"/>
              <w:spacing w:after="0"/>
              <w:rPr>
                <w:sz w:val="20"/>
                <w:szCs w:val="20"/>
                <w:color w:val="auto"/>
              </w:rPr>
            </w:pPr>
            <w:r>
              <w:rPr>
                <w:rFonts w:ascii="Arial" w:cs="Arial" w:eastAsia="Arial" w:hAnsi="Arial"/>
                <w:sz w:val="16"/>
                <w:szCs w:val="16"/>
                <w:color w:val="auto"/>
              </w:rPr>
              <w:t>Undistributed equity losses (earnings), net</w:t>
            </w:r>
          </w:p>
        </w:tc>
        <w:tc>
          <w:tcPr>
            <w:tcW w:w="140" w:type="dxa"/>
            <w:vAlign w:val="bottom"/>
          </w:tcPr>
          <w:p>
            <w:pPr>
              <w:spacing w:after="0"/>
              <w:rPr>
                <w:sz w:val="22"/>
                <w:szCs w:val="22"/>
                <w:color w:val="auto"/>
              </w:rPr>
            </w:pPr>
          </w:p>
        </w:tc>
        <w:tc>
          <w:tcPr>
            <w:tcW w:w="900" w:type="dxa"/>
            <w:vAlign w:val="bottom"/>
          </w:tcPr>
          <w:p>
            <w:pPr>
              <w:jc w:val="right"/>
              <w:ind w:right="58"/>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77"/>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5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(benefit) provision</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(5,795)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7"/>
              <w:spacing w:after="0"/>
              <w:rPr>
                <w:sz w:val="20"/>
                <w:szCs w:val="20"/>
                <w:color w:val="auto"/>
              </w:rPr>
            </w:pPr>
            <w:r>
              <w:rPr>
                <w:rFonts w:ascii="Arial" w:cs="Arial" w:eastAsia="Arial" w:hAnsi="Arial"/>
                <w:sz w:val="16"/>
                <w:szCs w:val="16"/>
                <w:color w:val="auto"/>
              </w:rPr>
              <w:t>15,066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(5,704)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(3,729)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23"/>
        </w:trPr>
        <w:tc>
          <w:tcPr>
            <w:tcW w:w="416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9"/>
                <w:szCs w:val="19"/>
                <w:color w:val="auto"/>
              </w:rPr>
            </w:pPr>
          </w:p>
        </w:tc>
        <w:tc>
          <w:tcPr>
            <w:tcW w:w="900" w:type="dxa"/>
            <w:vAlign w:val="bottom"/>
          </w:tcPr>
          <w:p>
            <w:pPr>
              <w:jc w:val="right"/>
              <w:ind w:right="58"/>
              <w:spacing w:after="0"/>
              <w:rPr>
                <w:sz w:val="20"/>
                <w:szCs w:val="20"/>
                <w:color w:val="auto"/>
              </w:rPr>
            </w:pPr>
            <w:r>
              <w:rPr>
                <w:rFonts w:ascii="Arial" w:cs="Arial" w:eastAsia="Arial" w:hAnsi="Arial"/>
                <w:sz w:val="16"/>
                <w:szCs w:val="16"/>
                <w:color w:val="auto"/>
              </w:rPr>
              <w:t>4,694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77"/>
              <w:spacing w:after="0"/>
              <w:rPr>
                <w:sz w:val="20"/>
                <w:szCs w:val="20"/>
                <w:color w:val="auto"/>
              </w:rPr>
            </w:pPr>
            <w:r>
              <w:rPr>
                <w:rFonts w:ascii="Arial" w:cs="Arial" w:eastAsia="Arial" w:hAnsi="Arial"/>
                <w:sz w:val="16"/>
                <w:szCs w:val="16"/>
                <w:color w:val="auto"/>
              </w:rPr>
              <w:t>5,172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5,590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4,736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20,192</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Mark to market loss on interest rate derivatives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2,251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2,251</w:t>
            </w:r>
          </w:p>
        </w:tc>
        <w:tc>
          <w:tcPr>
            <w:tcW w:w="0" w:type="dxa"/>
            <w:vAlign w:val="bottom"/>
          </w:tcPr>
          <w:p>
            <w:pPr>
              <w:spacing w:after="0"/>
              <w:rPr>
                <w:sz w:val="1"/>
                <w:szCs w:val="1"/>
                <w:color w:val="auto"/>
              </w:rPr>
            </w:pPr>
          </w:p>
        </w:tc>
      </w:tr>
      <w:tr>
        <w:trPr>
          <w:trHeight w:val="224"/>
        </w:trPr>
        <w:tc>
          <w:tcPr>
            <w:tcW w:w="41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9"/>
                <w:szCs w:val="19"/>
                <w:color w:val="auto"/>
              </w:rPr>
            </w:pPr>
          </w:p>
        </w:tc>
        <w:tc>
          <w:tcPr>
            <w:tcW w:w="900" w:type="dxa"/>
            <w:vAlign w:val="bottom"/>
          </w:tcPr>
          <w:p>
            <w:pPr>
              <w:jc w:val="right"/>
              <w:ind w:right="58"/>
              <w:spacing w:after="0"/>
              <w:rPr>
                <w:sz w:val="20"/>
                <w:szCs w:val="20"/>
                <w:color w:val="auto"/>
              </w:rPr>
            </w:pPr>
            <w:r>
              <w:rPr>
                <w:rFonts w:ascii="Arial" w:cs="Arial" w:eastAsia="Arial" w:hAnsi="Arial"/>
                <w:sz w:val="16"/>
                <w:szCs w:val="16"/>
                <w:color w:val="auto"/>
              </w:rPr>
              <w:t>6,290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77"/>
              <w:spacing w:after="0"/>
              <w:rPr>
                <w:sz w:val="20"/>
                <w:szCs w:val="20"/>
                <w:color w:val="auto"/>
              </w:rPr>
            </w:pPr>
            <w:r>
              <w:rPr>
                <w:rFonts w:ascii="Arial" w:cs="Arial" w:eastAsia="Arial" w:hAnsi="Arial"/>
                <w:sz w:val="16"/>
                <w:szCs w:val="16"/>
                <w:color w:val="auto"/>
              </w:rPr>
              <w:t>6,122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6,344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6,234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24,990</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Goodwill and other impairments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9,748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33,242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20,100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63,090</w:t>
            </w:r>
          </w:p>
        </w:tc>
        <w:tc>
          <w:tcPr>
            <w:tcW w:w="0" w:type="dxa"/>
            <w:vAlign w:val="bottom"/>
          </w:tcPr>
          <w:p>
            <w:pPr>
              <w:spacing w:after="0"/>
              <w:rPr>
                <w:sz w:val="1"/>
                <w:szCs w:val="1"/>
                <w:color w:val="auto"/>
              </w:rPr>
            </w:pPr>
          </w:p>
        </w:tc>
      </w:tr>
      <w:tr>
        <w:trPr>
          <w:trHeight w:val="223"/>
        </w:trPr>
        <w:tc>
          <w:tcPr>
            <w:tcW w:w="4160" w:type="dxa"/>
            <w:vAlign w:val="bottom"/>
          </w:tcPr>
          <w:p>
            <w:pPr>
              <w:ind w:left="340"/>
              <w:spacing w:after="0"/>
              <w:rPr>
                <w:sz w:val="20"/>
                <w:szCs w:val="20"/>
                <w:color w:val="auto"/>
              </w:rPr>
            </w:pPr>
            <w:r>
              <w:rPr>
                <w:rFonts w:ascii="Arial" w:cs="Arial" w:eastAsia="Arial" w:hAnsi="Arial"/>
                <w:sz w:val="16"/>
                <w:szCs w:val="16"/>
                <w:color w:val="auto"/>
              </w:rPr>
              <w:t>Stock compensation expense</w:t>
            </w:r>
          </w:p>
        </w:tc>
        <w:tc>
          <w:tcPr>
            <w:tcW w:w="140" w:type="dxa"/>
            <w:vAlign w:val="bottom"/>
          </w:tcPr>
          <w:p>
            <w:pPr>
              <w:spacing w:after="0"/>
              <w:rPr>
                <w:sz w:val="19"/>
                <w:szCs w:val="19"/>
                <w:color w:val="auto"/>
              </w:rPr>
            </w:pPr>
          </w:p>
        </w:tc>
        <w:tc>
          <w:tcPr>
            <w:tcW w:w="900" w:type="dxa"/>
            <w:vAlign w:val="bottom"/>
          </w:tcPr>
          <w:p>
            <w:pPr>
              <w:jc w:val="right"/>
              <w:ind w:right="58"/>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77"/>
              <w:spacing w:after="0"/>
              <w:rPr>
                <w:sz w:val="20"/>
                <w:szCs w:val="20"/>
                <w:color w:val="auto"/>
              </w:rPr>
            </w:pPr>
            <w:r>
              <w:rPr>
                <w:rFonts w:ascii="Arial" w:cs="Arial" w:eastAsia="Arial" w:hAnsi="Arial"/>
                <w:sz w:val="16"/>
                <w:szCs w:val="16"/>
                <w:color w:val="auto"/>
              </w:rPr>
              <w:t>1,505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5,460</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 xml:space="preserve">SKU Rationalization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8,500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224"/>
        </w:trPr>
        <w:tc>
          <w:tcPr>
            <w:tcW w:w="4160" w:type="dxa"/>
            <w:vAlign w:val="bottom"/>
          </w:tcPr>
          <w:p>
            <w:pPr>
              <w:ind w:left="340"/>
              <w:spacing w:after="0"/>
              <w:rPr>
                <w:sz w:val="20"/>
                <w:szCs w:val="20"/>
                <w:color w:val="auto"/>
              </w:rPr>
            </w:pPr>
            <w:r>
              <w:rPr>
                <w:rFonts w:ascii="Arial" w:cs="Arial" w:eastAsia="Arial" w:hAnsi="Arial"/>
                <w:sz w:val="16"/>
                <w:szCs w:val="16"/>
                <w:color w:val="auto"/>
              </w:rPr>
              <w:t>Acquisition and divestment related expenses</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 xml:space="preserve">Restructuring expenses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7"/>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257"/>
        </w:trPr>
        <w:tc>
          <w:tcPr>
            <w:tcW w:w="4160" w:type="dxa"/>
            <w:vAlign w:val="bottom"/>
          </w:tcPr>
          <w:p>
            <w:pPr>
              <w:ind w:left="400"/>
              <w:spacing w:after="0"/>
              <w:rPr>
                <w:sz w:val="20"/>
                <w:szCs w:val="20"/>
                <w:color w:val="auto"/>
              </w:rPr>
            </w:pPr>
            <w:r>
              <w:rPr>
                <w:rFonts w:ascii="Arial" w:cs="Arial" w:eastAsia="Arial" w:hAnsi="Arial"/>
                <w:sz w:val="16"/>
                <w:szCs w:val="16"/>
                <w:color w:val="auto"/>
              </w:rPr>
              <w:t xml:space="preserve">Integration charges </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900" w:type="dxa"/>
            <w:vAlign w:val="bottom"/>
          </w:tcPr>
          <w:p>
            <w:pPr>
              <w:jc w:val="right"/>
              <w:ind w:right="58"/>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77"/>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56"/>
        </w:trPr>
        <w:tc>
          <w:tcPr>
            <w:tcW w:w="4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 xml:space="preserve">Warehouse relocation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7"/>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1,689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47"/>
        </w:trPr>
        <w:tc>
          <w:tcPr>
            <w:tcW w:w="4160" w:type="dxa"/>
            <w:vAlign w:val="bottom"/>
          </w:tcPr>
          <w:p>
            <w:pPr>
              <w:ind w:left="20"/>
              <w:spacing w:after="0"/>
              <w:rPr>
                <w:sz w:val="20"/>
                <w:szCs w:val="20"/>
                <w:color w:val="auto"/>
              </w:rPr>
            </w:pPr>
            <w:r>
              <w:rPr>
                <w:rFonts w:ascii="Arial" w:cs="Arial" w:eastAsia="Arial" w:hAnsi="Arial"/>
                <w:sz w:val="16"/>
                <w:szCs w:val="16"/>
                <w:color w:val="auto"/>
              </w:rPr>
              <w:t>Consolidated adjusted EBITDA, before limitation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4,306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77"/>
              <w:spacing w:after="0"/>
              <w:rPr>
                <w:sz w:val="20"/>
                <w:szCs w:val="20"/>
                <w:color w:val="auto"/>
              </w:rPr>
            </w:pPr>
            <w:r>
              <w:rPr>
                <w:rFonts w:ascii="Arial" w:cs="Arial" w:eastAsia="Arial" w:hAnsi="Arial"/>
                <w:sz w:val="16"/>
                <w:szCs w:val="16"/>
                <w:color w:val="auto"/>
              </w:rPr>
              <w:t>25,758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27,873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3,252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61,189</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 xml:space="preserve">Permitted non-recurring charge limitation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(8,988)</w:t>
            </w:r>
          </w:p>
        </w:tc>
        <w:tc>
          <w:tcPr>
            <w:tcW w:w="0" w:type="dxa"/>
            <w:vAlign w:val="bottom"/>
          </w:tcPr>
          <w:p>
            <w:pPr>
              <w:spacing w:after="0"/>
              <w:rPr>
                <w:sz w:val="1"/>
                <w:szCs w:val="1"/>
                <w:color w:val="auto"/>
              </w:rPr>
            </w:pPr>
          </w:p>
        </w:tc>
      </w:tr>
      <w:tr>
        <w:trPr>
          <w:trHeight w:val="247"/>
        </w:trPr>
        <w:tc>
          <w:tcPr>
            <w:tcW w:w="4160" w:type="dxa"/>
            <w:vAlign w:val="bottom"/>
          </w:tcPr>
          <w:p>
            <w:pPr>
              <w:ind w:left="20"/>
              <w:spacing w:after="0"/>
              <w:rPr>
                <w:sz w:val="20"/>
                <w:szCs w:val="20"/>
                <w:color w:val="auto"/>
              </w:rPr>
            </w:pPr>
            <w:r>
              <w:rPr>
                <w:rFonts w:ascii="Arial" w:cs="Arial" w:eastAsia="Arial" w:hAnsi="Arial"/>
                <w:sz w:val="16"/>
                <w:szCs w:val="16"/>
                <w:color w:val="auto"/>
              </w:rPr>
              <w:t>Consolidated adjusted EBITDA</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52,201</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00" w:right="440" w:hanging="492"/>
        <w:spacing w:after="0" w:line="235" w:lineRule="auto"/>
        <w:tabs>
          <w:tab w:leader="none" w:pos="488"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Permitted non-recurring charges include restructuring expenses, integration charges, warehouse relocation costs, and SKU Rationalization. These are permitted exclusions from the Company’s consolidated adjusted EBITDA, subject to limitations, pursuant to the Company’s Debt Agreements.</w:t>
      </w:r>
    </w:p>
    <w:p>
      <w:pPr>
        <w:spacing w:after="0" w:line="19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Consolidated adjusted EBITDA is a non-GAAP financial measure which is defined in the Company’s debt agreements. Consolidated adjusted EBITDA is defined as net income (loss), adjusted to exclude undistributed equity in (earnings) losses, income tax (benefit) provision, interest expense, mark to market loss on interest rate derivatives, depreciation and amortization, goodwill and other impairments, stock compensation expense, and other items detailed in the table above that are consistent with exclusions permitted by our debt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$25.0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spacing w:after="0" w:line="7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Pursuant to this agreement, the Company sold to HSBC $37.9 million and $25.1 million of receivables during the three months ended March 31, 2020 and 2019, respectively. Charges of $0.2 million and $0.1 million related to the sale of the receivables are included in selling, general and administrative expenses in the unaudited condensed consolidated statements of operations for the three months ended March 31, 2020 and 2019, respectively. At March 31, 2020 and 2019, $23.2 million and $17.3 million, respectively, of receivables sold were outstanding and due to HSBC from customers.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 is a party to interest rate swap agreements, with an aggregate notional value of $94.0 million at March 31, 2020, designated as cash flow hedges of the Company’s exposure to the variability of the payment of interest on a portion of its Term Loan borrowings. The hedge periods of these agreements commenced in April 2018 and expire in March 2023. The notional amounts are reduced over these periods.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March 31, 2020. These are non-designated interest rate swaps that serve as economic hedges of the Company’s exposure to the variability of the payment of interest on a portion of its Term Loan borrowings and expire in February 2025.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total outstanding notional value of interest rate swaps was $119.0 million at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 dollar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 of foreign exchange contracts at March 31, 2020 was $2.1 million.</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March 31, 2020, the Company does not have any foreign currency forward contract derivatives that are not designated as hedges.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Net cash provided by operating activities was $33.7 million and $17.5 million for the three months ended March 31, 2020 and 2019, respectively. The change in 2020 as compared to the corresponding 2019 period was primarily attributable to the timing of collections related to the Company's accounts receivable.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$1.2 million and $1.4 million for the three months ended March 31,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provided by financing activities was $41.7 million for the three months ended March 31, 2020, as compared to net cash used in financing activities of $17.6 million for the corresponding 2019 period. The change was mainly attributable to draw downs made by the Company from its revolving credit facility under its ABL Agreement in 2020 as compared to repayments made to its revolving credit facility under its ABL Agreement in the corresponding 2019 period.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2019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rFonts w:ascii="Arial" w:cs="Arial" w:eastAsia="Arial" w:hAnsi="Arial"/>
          <w:sz w:val="18"/>
          <w:szCs w:val="18"/>
          <w:b w:val="1"/>
          <w:bCs w:val="1"/>
          <w:color w:val="auto"/>
        </w:rPr>
      </w:pPr>
    </w:p>
    <w:p>
      <w:pPr>
        <w:ind w:left="50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March 31, 2020,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65" w:lineRule="exact"/>
        <w:rPr>
          <w:rFonts w:ascii="Arial" w:cs="Arial" w:eastAsia="Arial" w:hAnsi="Arial"/>
          <w:sz w:val="18"/>
          <w:szCs w:val="18"/>
          <w:b w:val="1"/>
          <w:bCs w:val="1"/>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500" w:right="2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There were no changes in the Company’s internal controls over financial reporting that occurred during the Company’s most recent fiscal quarter that has materially affected, or is reasonably likely to materially affect, the Company’s internal controls over financial reporting. We have not experienced any material impact to our internal controls over financial reporting despite the fact that most of our employees are working remotely due to the COVID-19 pandemic. We are continually monitoring and assessing the effects that the COVID-19 pandemic may have on our internal controls to minimize the impact on their design and operating effectiveness.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May 2008, WSPR received from the EPA a Notice of Potential Liability and Request for Information pursuant to 42 U.S.C.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20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9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The tolling agreements do not constitute in any way an admission or acknowledgment of any fact, conclusion of law or liability by the parties to the agreements.</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(MNA) program including monitoring of the plume fringe at the Site. The EPA’s estimated total net present worth cost for its selected remedy is $17.3 million.</w:t>
      </w:r>
    </w:p>
    <w:p>
      <w:pPr>
        <w:spacing w:after="0" w:line="21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By letter dated March 18, 2020, the Company’s counsel requested that CBP suspend the matter until the protest is reviewed and decided by Customs Headquarters based on the sufficiency of the evidence presented. CBP has confirmed that the protest is under review.</w:t>
      </w:r>
    </w:p>
    <w:p>
      <w:pPr>
        <w:spacing w:after="0" w:line="2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event CBP accepts the evidence presented, then no additional duties or penalties will be owed. If CBP rejects the Company’s position, then the estimated amount of duties that could be owed is $3.1 million. In such event, it is reasonably possible that additional penalties could be assessed, depending upon the level of culpability found, of up to $6.2 million for negligence and up to $12.4 million for gross negligence. In the event penalties are assessed, the Company will have the opportunity to further contest CBP’s findings and seek cancellation or mitigation of such assessments.</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light of recent developments relating to COVID-19, the Company is supplementing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the 2019 Annual Report on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risk factor should be read in conjunction with the risk factors described in the 2019 Annual Report on Form 10-K.</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The Company must successfully manage the demand, supply, and operational challenges associated with the actual or perceived effects of the COVID-19 pandemic. Any failure to do so could have a material adverse impact on the Company’s business, financial condition, results of operations, cash flows, and competitive position.</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COVID-19 pandemic has negatively impacted the global economy and disrupted global supply chains. Continuing concerns over economic and business prospects in the U.S. and other countries have contributed to increased volatility and diminished expectations for the global economy. These factors, coupled with the prospect of decreased business and consumer confidence and increased unemployment resulting from the outbreak of COVID-19, may precipitate a prolonged economic slowdown and recession.</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business may be unfavorably impacted by the fear of exposure to or actual effects of the COVID-19 pandemic, such as reduced travel or recommendations or mandates from governmental authorities to cease particular business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These impacts include, but are not limited to:</w:t>
      </w:r>
    </w:p>
    <w:p>
      <w:pPr>
        <w:spacing w:after="0" w:line="117" w:lineRule="exact"/>
        <w:rPr>
          <w:sz w:val="20"/>
          <w:szCs w:val="20"/>
          <w:color w:val="auto"/>
        </w:rPr>
      </w:pPr>
    </w:p>
    <w:p>
      <w:pPr>
        <w:ind w:left="660" w:right="42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Reductions in demand or volatility in demand for one or more of the Company’s products, which may be caused by, among other things: the temporary inability of consumers to purchase the Company’s products due to illness, brick and mortar retailers closing their store operations, which has resulted in reduced demand from such customers, quarantine or other travel restrictions, or financial hardship for customers and consumers;</w:t>
      </w:r>
    </w:p>
    <w:p>
      <w:pPr>
        <w:spacing w:after="0" w:line="78" w:lineRule="exact"/>
        <w:rPr>
          <w:rFonts w:ascii="Arial" w:cs="Arial" w:eastAsia="Arial" w:hAnsi="Arial"/>
          <w:sz w:val="18"/>
          <w:szCs w:val="18"/>
          <w:color w:val="auto"/>
        </w:rPr>
      </w:pPr>
    </w:p>
    <w:p>
      <w:pPr>
        <w:ind w:left="660" w:right="6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meet the Company’s customers’ needs and achieve cost targets due to disruptions in the Company's supply chain arrangements as well as distribution centers caused by the loss or disruption of transportation, workforce, or other distribution capability;</w:t>
      </w:r>
    </w:p>
    <w:p>
      <w:pPr>
        <w:spacing w:after="0" w:line="38" w:lineRule="exact"/>
        <w:rPr>
          <w:rFonts w:ascii="Arial" w:cs="Arial" w:eastAsia="Arial" w:hAnsi="Arial"/>
          <w:sz w:val="17"/>
          <w:szCs w:val="17"/>
          <w:color w:val="auto"/>
        </w:rPr>
      </w:pPr>
    </w:p>
    <w:p>
      <w:pPr>
        <w:ind w:left="660" w:right="14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third parties on which the Company relies, including the Company’s suppliers, third-party manufacturers, distributors, and external business partners, to meet their obligations to the Company, or significant disruptions in their ability to do so, which may be caused by their own financial or operational difficulties;</w:t>
      </w:r>
    </w:p>
    <w:p>
      <w:pPr>
        <w:spacing w:after="0" w:line="75"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changes in the political and labor conditions in markets in which the Company sells, or distributes products, including quarantines, governmental or regulatory actions, closures or other restrictions that limit or close the Company’s distribution facilities, restrict the Company’s employees’ ability or willingness to travel or perform necessary business functions, or otherwise prevent the Company's facilities or its third-party partners, suppliers, or customers from sufficiently staffing operations, including operations necessary for the production, distribution, sale, and support of the Company's products;</w:t>
      </w:r>
    </w:p>
    <w:p>
      <w:pPr>
        <w:spacing w:after="0" w:line="79"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cybersecurity threats that could result from many of the Company’s key employees working remotely; new and preexisting technologies such as reliance on home networks, virtual workspaces, videoconferencing, and other forms of remote work practices to support this temporary working environment may expose additional cybersecurity threats and vulnerabilities to the Company's network, and increase the exposure of the Company to electrical or internet outages; or</w:t>
      </w:r>
    </w:p>
    <w:p>
      <w:pPr>
        <w:spacing w:after="0" w:line="119" w:lineRule="exact"/>
        <w:rPr>
          <w:rFonts w:ascii="Arial" w:cs="Arial" w:eastAsia="Arial" w:hAnsi="Arial"/>
          <w:sz w:val="18"/>
          <w:szCs w:val="18"/>
          <w:color w:val="auto"/>
        </w:rPr>
      </w:pPr>
    </w:p>
    <w:p>
      <w:pPr>
        <w:ind w:left="660" w:right="100" w:hanging="328"/>
        <w:spacing w:after="0" w:line="265"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Negative impact on the Company’s workforce that could result if executive officers or other key employees or a large number of its workers fall ill. The temporary or permanent loss of any of the Company’s executive officers or other key employees could harm the Company’s business and negatively affect the Company’s ability to timely achieve its strategic initiatives. Moreover, the Company may not be successful in finding and integrating suitable successors in the event of the loss of executive officers or other key employees or if such persons become unavailable for a prolonged period of time.</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 are no comparable recent events that provide guidance as to the effect the spread of COVID-19 as a global pandemic may have, and, as a result, the ultimate impact of the outbreak is highly uncertain and subject to change. The Company does not yet know the full extent of the impact of COVID-19 on the global economy. Although disruptions from COVID-19 may continue to occur, the long-term economic impact and near-term financial impact on the Company of the COVID-19 pandemic, including but not limited to, any possible impairment, restructuring, and other charges, cannot be reliably quantified or estimated at this time due to the uncertainty of future developments. Despite efforts to manage and remedy the impact of COVID-19, the ultimate impact of COVID-19 could materially and adversely affect the Company’s business, financial condition, results of operations, cash flows, and competitive position, and depends on factors beyond the Company’s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knowledge or control, including the duration and severity of COVID-19 as well as third-party actions taken to contain its spread and mitigate its public health effects.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center"/>
              <w:ind w:right="179"/>
              <w:spacing w:after="0"/>
              <w:rPr>
                <w:sz w:val="20"/>
                <w:szCs w:val="20"/>
                <w:color w:val="auto"/>
              </w:rPr>
            </w:pPr>
            <w:r>
              <w:rPr>
                <w:rFonts w:ascii="Arial" w:cs="Arial" w:eastAsia="Arial" w:hAnsi="Arial"/>
                <w:sz w:val="16"/>
                <w:szCs w:val="16"/>
                <w:b w:val="1"/>
                <w:bCs w:val="1"/>
                <w:color w:val="auto"/>
                <w:w w:val="97"/>
              </w:rPr>
              <w:t>Maximum</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approximate</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left="259"/>
              <w:spacing w:after="0"/>
              <w:rPr>
                <w:sz w:val="20"/>
                <w:szCs w:val="20"/>
                <w:color w:val="auto"/>
              </w:rPr>
            </w:pPr>
            <w:r>
              <w:rPr>
                <w:rFonts w:ascii="Arial" w:cs="Arial" w:eastAsia="Arial" w:hAnsi="Arial"/>
                <w:sz w:val="16"/>
                <w:szCs w:val="16"/>
                <w:b w:val="1"/>
                <w:bCs w:val="1"/>
                <w:color w:val="auto"/>
                <w:w w:val="92"/>
              </w:rPr>
              <w:t>Total number 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88"/>
              </w:rPr>
              <w:t>shares that may</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88"/>
              </w:rPr>
              <w:t>yet be purchased</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87"/>
              </w:rPr>
              <w:t>shares purchased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0"/>
              </w:rPr>
              <w:t>under the plans</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restart"/>
          </w:tcPr>
          <w:p>
            <w:pPr>
              <w:ind w:left="220"/>
              <w:spacing w:after="0"/>
              <w:rPr>
                <w:sz w:val="20"/>
                <w:szCs w:val="20"/>
                <w:color w:val="auto"/>
              </w:rPr>
            </w:pPr>
            <w:r>
              <w:rPr>
                <w:rFonts w:ascii="Arial" w:cs="Arial" w:eastAsia="Arial" w:hAnsi="Arial"/>
                <w:sz w:val="16"/>
                <w:szCs w:val="16"/>
                <w:b w:val="1"/>
                <w:bCs w:val="1"/>
                <w:color w:val="auto"/>
                <w:w w:val="94"/>
              </w:rPr>
              <w:t>Average price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left="279"/>
              <w:spacing w:after="0" w:line="162" w:lineRule="exact"/>
              <w:rPr>
                <w:sz w:val="20"/>
                <w:szCs w:val="20"/>
                <w:color w:val="auto"/>
              </w:rPr>
            </w:pPr>
            <w:r>
              <w:rPr>
                <w:rFonts w:ascii="Arial" w:cs="Arial" w:eastAsia="Arial" w:hAnsi="Arial"/>
                <w:sz w:val="16"/>
                <w:szCs w:val="16"/>
                <w:b w:val="1"/>
                <w:bCs w:val="1"/>
                <w:color w:val="auto"/>
                <w:w w:val="91"/>
              </w:rPr>
              <w:t>as part of publicly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3"/>
              </w:rPr>
              <w:t>or programs</w:t>
            </w:r>
          </w:p>
        </w:tc>
        <w:tc>
          <w:tcPr>
            <w:tcW w:w="0" w:type="dxa"/>
            <w:vAlign w:val="bottom"/>
          </w:tcPr>
          <w:p>
            <w:pPr>
              <w:spacing w:after="0"/>
              <w:rPr>
                <w:sz w:val="1"/>
                <w:szCs w:val="1"/>
                <w:color w:val="auto"/>
              </w:rPr>
            </w:pPr>
          </w:p>
        </w:tc>
      </w:tr>
      <w:tr>
        <w:trPr>
          <w:trHeight w:val="162"/>
        </w:trPr>
        <w:tc>
          <w:tcPr>
            <w:tcW w:w="2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21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5"/>
              </w:rPr>
              <w:t>shares</w:t>
            </w: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88"/>
              </w:rPr>
              <w:t>announced plans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87"/>
              </w:rPr>
              <w:t>subsequent to</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w w:val="93"/>
              </w:rPr>
              <w:t>paid per share</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ind w:left="279"/>
              <w:spacing w:after="0" w:line="216" w:lineRule="exact"/>
              <w:rPr>
                <w:sz w:val="20"/>
                <w:szCs w:val="20"/>
                <w:color w:val="auto"/>
              </w:rPr>
            </w:pPr>
            <w:r>
              <w:rPr>
                <w:rFonts w:ascii="Arial" w:cs="Arial" w:eastAsia="Arial" w:hAnsi="Arial"/>
                <w:sz w:val="16"/>
                <w:szCs w:val="16"/>
                <w:b w:val="1"/>
                <w:bCs w:val="1"/>
                <w:color w:val="auto"/>
                <w:w w:val="87"/>
              </w:rPr>
              <w:t>or programs</w:t>
            </w:r>
            <w:r>
              <w:rPr>
                <w:rFonts w:ascii="Arial" w:cs="Arial" w:eastAsia="Arial" w:hAnsi="Arial"/>
                <w:sz w:val="21"/>
                <w:szCs w:val="21"/>
                <w:b w:val="1"/>
                <w:bCs w:val="1"/>
                <w:color w:val="auto"/>
                <w:w w:val="87"/>
                <w:vertAlign w:val="superscript"/>
              </w:rPr>
              <w:t>(2)</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79"/>
              <w:spacing w:after="0" w:line="216" w:lineRule="exact"/>
              <w:rPr>
                <w:sz w:val="20"/>
                <w:szCs w:val="20"/>
                <w:color w:val="auto"/>
              </w:rPr>
            </w:pPr>
            <w:r>
              <w:rPr>
                <w:rFonts w:ascii="Arial" w:cs="Arial" w:eastAsia="Arial" w:hAnsi="Arial"/>
                <w:sz w:val="16"/>
                <w:szCs w:val="16"/>
                <w:b w:val="1"/>
                <w:bCs w:val="1"/>
                <w:color w:val="auto"/>
                <w:w w:val="87"/>
              </w:rPr>
              <w:t xml:space="preserve">end of period </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17"/>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1 - March 31, 2020</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51,865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6,771,467</w:t>
            </w:r>
          </w:p>
        </w:tc>
        <w:tc>
          <w:tcPr>
            <w:tcW w:w="0" w:type="dxa"/>
            <w:vAlign w:val="bottom"/>
          </w:tcPr>
          <w:p>
            <w:pPr>
              <w:spacing w:after="0"/>
              <w:rPr>
                <w:sz w:val="1"/>
                <w:szCs w:val="1"/>
                <w:color w:val="auto"/>
              </w:rPr>
            </w:pPr>
          </w:p>
        </w:tc>
      </w:tr>
      <w:tr>
        <w:trPr>
          <w:trHeight w:val="33"/>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60" w:hanging="332"/>
        <w:spacing w:after="0" w:line="286" w:lineRule="auto"/>
        <w:tabs>
          <w:tab w:leader="none" w:pos="3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repurchased shares were acquired other than as part of a publicly announced plan or program. The Company repurchased these securities in connection with its Amended and Restated 2000 Long Term Incentive Plan which allow participants to use shares to satisfy the exercise price of options exercised, certain tax liabilities arising from the exercise of options, and certain tax liabilities arising from the vesting of restricted stock. The number above does not include unvested shares forfeited back to us pursuant to the terms of our stock compensation plans.</w:t>
      </w:r>
    </w:p>
    <w:p>
      <w:pPr>
        <w:spacing w:after="0" w:line="1" w:lineRule="exact"/>
        <w:rPr>
          <w:rFonts w:ascii="Arial" w:cs="Arial" w:eastAsia="Arial" w:hAnsi="Arial"/>
          <w:sz w:val="16"/>
          <w:szCs w:val="16"/>
          <w:color w:val="auto"/>
        </w:rPr>
      </w:pPr>
    </w:p>
    <w:p>
      <w:pPr>
        <w:ind w:left="340" w:hanging="332"/>
        <w:spacing w:after="0" w:line="255"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March 31, 2020.</w:t>
      </w: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ind w:left="5540" w:hanging="111"/>
        <w:spacing w:after="0"/>
        <w:tabs>
          <w:tab w:leader="none" w:pos="5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below, which is incorporated by reference herein.</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700" w:type="dxa"/>
            <w:vAlign w:val="bottom"/>
            <w:gridSpan w:val="10"/>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270"/>
        </w:trPr>
        <w:tc>
          <w:tcPr>
            <w:tcW w:w="14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2"/>
        </w:trPr>
        <w:tc>
          <w:tcPr>
            <w:tcW w:w="1400" w:type="dxa"/>
            <w:vAlign w:val="bottom"/>
          </w:tcPr>
          <w:p>
            <w:pPr>
              <w:spacing w:after="0"/>
              <w:rPr>
                <w:sz w:val="20"/>
                <w:szCs w:val="20"/>
                <w:color w:val="auto"/>
              </w:rPr>
            </w:pPr>
            <w:r>
              <w:rPr>
                <w:rFonts w:ascii="Arial" w:cs="Arial" w:eastAsia="Arial" w:hAnsi="Arial"/>
                <w:sz w:val="18"/>
                <w:szCs w:val="18"/>
                <w:color w:val="auto"/>
              </w:rPr>
              <w:t>10.1</w:t>
            </w:r>
          </w:p>
        </w:tc>
        <w:tc>
          <w:tcPr>
            <w:tcW w:w="9760" w:type="dxa"/>
            <w:vAlign w:val="bottom"/>
            <w:gridSpan w:val="14"/>
          </w:tcPr>
          <w:p>
            <w:pPr>
              <w:ind w:left="20"/>
              <w:spacing w:after="0"/>
              <w:rPr>
                <w:rFonts w:ascii="Arial" w:cs="Arial" w:eastAsia="Arial" w:hAnsi="Arial"/>
                <w:sz w:val="18"/>
                <w:szCs w:val="18"/>
                <w:u w:val="single" w:color="auto"/>
                <w:color w:val="0000FF"/>
                <w:w w:val="92"/>
              </w:rPr>
            </w:pPr>
            <w:hyperlink w:anchor="page47">
              <w:r>
                <w:rPr>
                  <w:rFonts w:ascii="Arial" w:cs="Arial" w:eastAsia="Arial" w:hAnsi="Arial"/>
                  <w:sz w:val="18"/>
                  <w:szCs w:val="18"/>
                  <w:u w:val="single" w:color="auto"/>
                  <w:color w:val="0000FF"/>
                  <w:w w:val="92"/>
                </w:rPr>
                <w:t>Letter Agreement Amending and Supplementing Employment Agreement between Lifetime Brands, Inc. and Robert B. Kay, effective</w:t>
              </w:r>
            </w:hyperlink>
          </w:p>
        </w:tc>
      </w:tr>
      <w:tr>
        <w:trPr>
          <w:trHeight w:val="190"/>
        </w:trPr>
        <w:tc>
          <w:tcPr>
            <w:tcW w:w="1400" w:type="dxa"/>
            <w:vAlign w:val="bottom"/>
          </w:tcPr>
          <w:p>
            <w:pPr>
              <w:spacing w:after="0"/>
              <w:rPr>
                <w:sz w:val="16"/>
                <w:szCs w:val="16"/>
                <w:color w:val="auto"/>
              </w:rPr>
            </w:pPr>
          </w:p>
        </w:tc>
        <w:tc>
          <w:tcPr>
            <w:tcW w:w="9760" w:type="dxa"/>
            <w:vAlign w:val="bottom"/>
            <w:gridSpan w:val="14"/>
          </w:tcPr>
          <w:p>
            <w:pPr>
              <w:ind w:left="20"/>
              <w:spacing w:after="0" w:line="190" w:lineRule="exact"/>
              <w:rPr>
                <w:rFonts w:ascii="Arial" w:cs="Arial" w:eastAsia="Arial" w:hAnsi="Arial"/>
                <w:sz w:val="18"/>
                <w:szCs w:val="18"/>
                <w:color w:val="0000FF"/>
              </w:rPr>
            </w:pPr>
            <w:hyperlink w:anchor="page47">
              <w:r>
                <w:rPr>
                  <w:rFonts w:ascii="Arial" w:cs="Arial" w:eastAsia="Arial" w:hAnsi="Arial"/>
                  <w:sz w:val="18"/>
                  <w:szCs w:val="18"/>
                  <w:u w:val="single" w:color="auto"/>
                  <w:color w:val="0000FF"/>
                </w:rPr>
                <w:t>April</w:t>
              </w:r>
              <w:r>
                <w:rPr>
                  <w:rFonts w:ascii="Arial" w:cs="Arial" w:eastAsia="Arial" w:hAnsi="Arial"/>
                  <w:sz w:val="18"/>
                  <w:szCs w:val="18"/>
                  <w:color w:val="0000FF"/>
                </w:rPr>
                <w:t xml:space="preserve"> </w:t>
              </w:r>
            </w:hyperlink>
            <w:r>
              <w:rPr>
                <w:rFonts w:ascii="Arial" w:cs="Arial" w:eastAsia="Arial" w:hAnsi="Arial"/>
                <w:sz w:val="18"/>
                <w:szCs w:val="18"/>
                <w:color w:val="0000FF"/>
              </w:rPr>
              <w:t>13</w:t>
            </w:r>
            <w:hyperlink w:anchor="page47">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w:t>
              </w:r>
            </w:hyperlink>
          </w:p>
        </w:tc>
      </w:tr>
      <w:tr>
        <w:trPr>
          <w:trHeight w:val="20"/>
        </w:trPr>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400" w:type="dxa"/>
            <w:vAlign w:val="bottom"/>
          </w:tcPr>
          <w:p>
            <w:pPr>
              <w:spacing w:after="0"/>
              <w:rPr>
                <w:sz w:val="20"/>
                <w:szCs w:val="20"/>
                <w:color w:val="auto"/>
              </w:rPr>
            </w:pPr>
            <w:r>
              <w:rPr>
                <w:rFonts w:ascii="Arial" w:cs="Arial" w:eastAsia="Arial" w:hAnsi="Arial"/>
                <w:sz w:val="18"/>
                <w:szCs w:val="18"/>
                <w:color w:val="auto"/>
              </w:rPr>
              <w:t>10.2</w:t>
            </w:r>
          </w:p>
        </w:tc>
        <w:tc>
          <w:tcPr>
            <w:tcW w:w="9760" w:type="dxa"/>
            <w:vAlign w:val="bottom"/>
            <w:gridSpan w:val="14"/>
          </w:tcPr>
          <w:p>
            <w:pPr>
              <w:ind w:left="20"/>
              <w:spacing w:after="0"/>
              <w:rPr>
                <w:rFonts w:ascii="Arial" w:cs="Arial" w:eastAsia="Arial" w:hAnsi="Arial"/>
                <w:sz w:val="18"/>
                <w:szCs w:val="18"/>
                <w:color w:val="0000FF"/>
                <w:w w:val="92"/>
              </w:rPr>
            </w:pPr>
            <w:hyperlink w:anchor="page47">
              <w:r>
                <w:rPr>
                  <w:rFonts w:ascii="Arial" w:cs="Arial" w:eastAsia="Arial" w:hAnsi="Arial"/>
                  <w:sz w:val="18"/>
                  <w:szCs w:val="18"/>
                  <w:u w:val="single" w:color="auto"/>
                  <w:color w:val="0000FF"/>
                  <w:w w:val="92"/>
                </w:rPr>
                <w:t>Letter Agreement Amending and Supplementing Employment Agreement between Lifetime Brands, Inc. and Daniel Siegel,</w:t>
              </w:r>
              <w:r>
                <w:rPr>
                  <w:rFonts w:ascii="Arial" w:cs="Arial" w:eastAsia="Arial" w:hAnsi="Arial"/>
                  <w:sz w:val="18"/>
                  <w:szCs w:val="18"/>
                  <w:color w:val="0000FF"/>
                  <w:w w:val="92"/>
                </w:rPr>
                <w:t xml:space="preserve"> effective</w:t>
              </w:r>
            </w:hyperlink>
          </w:p>
        </w:tc>
      </w:tr>
      <w:tr>
        <w:trPr>
          <w:trHeight w:val="183"/>
        </w:trPr>
        <w:tc>
          <w:tcPr>
            <w:tcW w:w="1400" w:type="dxa"/>
            <w:vAlign w:val="bottom"/>
          </w:tcPr>
          <w:p>
            <w:pPr>
              <w:spacing w:after="0"/>
              <w:rPr>
                <w:sz w:val="15"/>
                <w:szCs w:val="15"/>
                <w:color w:val="auto"/>
              </w:rPr>
            </w:pPr>
          </w:p>
        </w:tc>
        <w:tc>
          <w:tcPr>
            <w:tcW w:w="8900" w:type="dxa"/>
            <w:vAlign w:val="bottom"/>
            <w:gridSpan w:val="6"/>
          </w:tcPr>
          <w:p>
            <w:pPr>
              <w:ind w:left="20"/>
              <w:spacing w:after="0" w:line="182" w:lineRule="exact"/>
              <w:rPr>
                <w:rFonts w:ascii="Arial" w:cs="Arial" w:eastAsia="Arial" w:hAnsi="Arial"/>
                <w:sz w:val="18"/>
                <w:szCs w:val="18"/>
                <w:color w:val="0000FF"/>
              </w:rPr>
            </w:pPr>
            <w:hyperlink w:anchor="page47">
              <w:r>
                <w:rPr>
                  <w:rFonts w:ascii="Arial" w:cs="Arial" w:eastAsia="Arial" w:hAnsi="Arial"/>
                  <w:sz w:val="18"/>
                  <w:szCs w:val="18"/>
                  <w:color w:val="0000FF"/>
                </w:rPr>
                <w:t>April 13, 2020</w:t>
              </w:r>
            </w:hyperlink>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r>
              <w:rPr>
                <w:rFonts w:ascii="Arial" w:cs="Arial" w:eastAsia="Arial" w:hAnsi="Arial"/>
                <w:sz w:val="18"/>
                <w:szCs w:val="18"/>
                <w:color w:val="auto"/>
              </w:rPr>
              <w:t>10.3</w:t>
            </w:r>
          </w:p>
        </w:tc>
        <w:tc>
          <w:tcPr>
            <w:tcW w:w="9760" w:type="dxa"/>
            <w:vAlign w:val="bottom"/>
            <w:gridSpan w:val="14"/>
          </w:tcPr>
          <w:p>
            <w:pPr>
              <w:ind w:left="20"/>
              <w:spacing w:after="0"/>
              <w:rPr>
                <w:rFonts w:ascii="Arial" w:cs="Arial" w:eastAsia="Arial" w:hAnsi="Arial"/>
                <w:sz w:val="18"/>
                <w:szCs w:val="18"/>
                <w:color w:val="0000FF"/>
                <w:w w:val="92"/>
              </w:rPr>
            </w:pPr>
            <w:hyperlink w:anchor="page47">
              <w:r>
                <w:rPr>
                  <w:rFonts w:ascii="Arial" w:cs="Arial" w:eastAsia="Arial" w:hAnsi="Arial"/>
                  <w:sz w:val="18"/>
                  <w:szCs w:val="18"/>
                  <w:u w:val="single" w:color="auto"/>
                  <w:color w:val="0000FF"/>
                  <w:w w:val="92"/>
                </w:rPr>
                <w:t>Letter Agreement Amending and Supplementing Employment Agreement between Lifetime Brands, Inc. and Jeffrey Siegel,</w:t>
              </w:r>
              <w:r>
                <w:rPr>
                  <w:rFonts w:ascii="Arial" w:cs="Arial" w:eastAsia="Arial" w:hAnsi="Arial"/>
                  <w:sz w:val="18"/>
                  <w:szCs w:val="18"/>
                  <w:color w:val="0000FF"/>
                  <w:w w:val="92"/>
                </w:rPr>
                <w:t xml:space="preserve"> effective</w:t>
              </w:r>
            </w:hyperlink>
          </w:p>
        </w:tc>
      </w:tr>
      <w:tr>
        <w:trPr>
          <w:trHeight w:val="183"/>
        </w:trPr>
        <w:tc>
          <w:tcPr>
            <w:tcW w:w="1400" w:type="dxa"/>
            <w:vAlign w:val="bottom"/>
          </w:tcPr>
          <w:p>
            <w:pPr>
              <w:spacing w:after="0"/>
              <w:rPr>
                <w:sz w:val="15"/>
                <w:szCs w:val="15"/>
                <w:color w:val="auto"/>
              </w:rPr>
            </w:pPr>
          </w:p>
        </w:tc>
        <w:tc>
          <w:tcPr>
            <w:tcW w:w="9000" w:type="dxa"/>
            <w:vAlign w:val="bottom"/>
            <w:gridSpan w:val="7"/>
          </w:tcPr>
          <w:p>
            <w:pPr>
              <w:ind w:left="20"/>
              <w:spacing w:after="0" w:line="182" w:lineRule="exact"/>
              <w:rPr>
                <w:rFonts w:ascii="Arial" w:cs="Arial" w:eastAsia="Arial" w:hAnsi="Arial"/>
                <w:sz w:val="18"/>
                <w:szCs w:val="18"/>
                <w:color w:val="0000FF"/>
              </w:rPr>
            </w:pPr>
            <w:hyperlink w:anchor="page47">
              <w:r>
                <w:rPr>
                  <w:rFonts w:ascii="Arial" w:cs="Arial" w:eastAsia="Arial" w:hAnsi="Arial"/>
                  <w:sz w:val="18"/>
                  <w:szCs w:val="18"/>
                  <w:color w:val="0000FF"/>
                </w:rPr>
                <w:t>April 13, 2020</w:t>
              </w:r>
            </w:hyperlink>
          </w:p>
        </w:tc>
        <w:tc>
          <w:tcPr>
            <w:tcW w:w="1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1400" w:type="dxa"/>
            <w:vAlign w:val="bottom"/>
          </w:tcPr>
          <w:p>
            <w:pPr>
              <w:spacing w:after="0"/>
              <w:rPr>
                <w:sz w:val="20"/>
                <w:szCs w:val="20"/>
                <w:color w:val="auto"/>
              </w:rPr>
            </w:pPr>
            <w:r>
              <w:rPr>
                <w:rFonts w:ascii="Arial" w:cs="Arial" w:eastAsia="Arial" w:hAnsi="Arial"/>
                <w:sz w:val="18"/>
                <w:szCs w:val="18"/>
                <w:color w:val="auto"/>
              </w:rPr>
              <w:t>10.4</w:t>
            </w:r>
          </w:p>
        </w:tc>
        <w:tc>
          <w:tcPr>
            <w:tcW w:w="9760" w:type="dxa"/>
            <w:vAlign w:val="bottom"/>
            <w:gridSpan w:val="14"/>
          </w:tcPr>
          <w:p>
            <w:pPr>
              <w:ind w:left="20"/>
              <w:spacing w:after="0"/>
              <w:rPr>
                <w:rFonts w:ascii="Arial" w:cs="Arial" w:eastAsia="Arial" w:hAnsi="Arial"/>
                <w:sz w:val="18"/>
                <w:szCs w:val="18"/>
                <w:u w:val="single" w:color="auto"/>
                <w:color w:val="0000FF"/>
                <w:w w:val="95"/>
              </w:rPr>
            </w:pPr>
            <w:hyperlink w:anchor="page50">
              <w:r>
                <w:rPr>
                  <w:rFonts w:ascii="Arial" w:cs="Arial" w:eastAsia="Arial" w:hAnsi="Arial"/>
                  <w:sz w:val="18"/>
                  <w:szCs w:val="18"/>
                  <w:u w:val="single" w:color="auto"/>
                  <w:color w:val="0000FF"/>
                  <w:w w:val="95"/>
                </w:rPr>
                <w:t>Letter Agreement Amending and Supplementing Employment Agreement between Lifetime Brands, Inc. and Laurence Winoker,</w:t>
              </w:r>
            </w:hyperlink>
          </w:p>
        </w:tc>
      </w:tr>
      <w:tr>
        <w:trPr>
          <w:trHeight w:val="230"/>
        </w:trPr>
        <w:tc>
          <w:tcPr>
            <w:tcW w:w="1400" w:type="dxa"/>
            <w:vAlign w:val="bottom"/>
          </w:tcPr>
          <w:p>
            <w:pPr>
              <w:spacing w:after="0"/>
              <w:rPr>
                <w:sz w:val="20"/>
                <w:szCs w:val="20"/>
                <w:color w:val="auto"/>
              </w:rPr>
            </w:pPr>
          </w:p>
        </w:tc>
        <w:tc>
          <w:tcPr>
            <w:tcW w:w="9760" w:type="dxa"/>
            <w:vAlign w:val="bottom"/>
            <w:gridSpan w:val="14"/>
          </w:tcPr>
          <w:p>
            <w:pPr>
              <w:ind w:left="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effective April 13, 2020</w:t>
              </w:r>
            </w:hyperlink>
          </w:p>
        </w:tc>
      </w:tr>
      <w:tr>
        <w:trPr>
          <w:trHeight w:val="203"/>
        </w:trPr>
        <w:tc>
          <w:tcPr>
            <w:tcW w:w="140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9760" w:type="dxa"/>
            <w:vAlign w:val="bottom"/>
            <w:gridSpan w:val="14"/>
          </w:tcPr>
          <w:p>
            <w:pPr>
              <w:ind w:left="20"/>
              <w:spacing w:after="0" w:line="182" w:lineRule="exact"/>
              <w:rPr>
                <w:rFonts w:ascii="Arial" w:cs="Arial" w:eastAsia="Arial" w:hAnsi="Arial"/>
                <w:sz w:val="18"/>
                <w:szCs w:val="18"/>
                <w:color w:val="0000FF"/>
                <w:w w:val="93"/>
              </w:rPr>
            </w:pPr>
            <w:hyperlink w:anchor="page51">
              <w:r>
                <w:rPr>
                  <w:rFonts w:ascii="Arial" w:cs="Arial" w:eastAsia="Arial" w:hAnsi="Arial"/>
                  <w:sz w:val="18"/>
                  <w:szCs w:val="18"/>
                  <w:color w:val="0000FF"/>
                  <w:w w:val="93"/>
                </w:rPr>
                <w:t>Certification by Robert B. Kay, Chief Executive Officer and Director, pursuant to Rule 13a-14(a) or Rule 15d-14(a) of the Securities</w:t>
              </w:r>
            </w:hyperlink>
          </w:p>
        </w:tc>
      </w:tr>
      <w:tr>
        <w:trPr>
          <w:trHeight w:val="155"/>
        </w:trPr>
        <w:tc>
          <w:tcPr>
            <w:tcW w:w="1400" w:type="dxa"/>
            <w:vAlign w:val="bottom"/>
          </w:tcPr>
          <w:p>
            <w:pPr>
              <w:spacing w:after="0"/>
              <w:rPr>
                <w:sz w:val="13"/>
                <w:szCs w:val="13"/>
                <w:color w:val="auto"/>
              </w:rPr>
            </w:pPr>
          </w:p>
        </w:tc>
        <w:tc>
          <w:tcPr>
            <w:tcW w:w="7100" w:type="dxa"/>
            <w:vAlign w:val="bottom"/>
            <w:tcBorders>
              <w:top w:val="single" w:sz="8" w:color="0000FF"/>
              <w:bottom w:val="single" w:sz="8" w:color="0000FF"/>
            </w:tcBorders>
            <w:gridSpan w:val="5"/>
          </w:tcPr>
          <w:p>
            <w:pPr>
              <w:ind w:left="20"/>
              <w:spacing w:after="0" w:line="156"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and Exchange Act of 1934, as adopted pursuant to Section 302 of the Sarbanes-Oxley Act of 2002</w:t>
              </w:r>
            </w:hyperlink>
          </w:p>
        </w:tc>
        <w:tc>
          <w:tcPr>
            <w:tcW w:w="246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400" w:type="dxa"/>
            <w:vAlign w:val="bottom"/>
          </w:tcPr>
          <w:p>
            <w:pPr>
              <w:spacing w:after="0"/>
              <w:rPr>
                <w:sz w:val="20"/>
                <w:szCs w:val="20"/>
                <w:color w:val="auto"/>
              </w:rPr>
            </w:pPr>
            <w:r>
              <w:rPr>
                <w:rFonts w:ascii="Arial" w:cs="Arial" w:eastAsia="Arial" w:hAnsi="Arial"/>
                <w:sz w:val="18"/>
                <w:szCs w:val="18"/>
                <w:color w:val="auto"/>
              </w:rPr>
              <w:t>31.2</w:t>
            </w:r>
          </w:p>
        </w:tc>
        <w:tc>
          <w:tcPr>
            <w:tcW w:w="9760" w:type="dxa"/>
            <w:vAlign w:val="bottom"/>
            <w:gridSpan w:val="14"/>
          </w:tcPr>
          <w:p>
            <w:pPr>
              <w:ind w:left="20"/>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Certification by Laurence Winoker, Senior Vice President – Finance, Treasurer and Chief Financial Officer, pursuant to Rule 13a-14(a)</w:t>
              </w:r>
            </w:hyperlink>
          </w:p>
        </w:tc>
      </w:tr>
      <w:tr>
        <w:trPr>
          <w:trHeight w:val="224"/>
        </w:trPr>
        <w:tc>
          <w:tcPr>
            <w:tcW w:w="1400" w:type="dxa"/>
            <w:vAlign w:val="bottom"/>
          </w:tcPr>
          <w:p>
            <w:pPr>
              <w:spacing w:after="0"/>
              <w:rPr>
                <w:sz w:val="19"/>
                <w:szCs w:val="19"/>
                <w:color w:val="auto"/>
              </w:rPr>
            </w:pPr>
          </w:p>
        </w:tc>
        <w:tc>
          <w:tcPr>
            <w:tcW w:w="9740" w:type="dxa"/>
            <w:vAlign w:val="bottom"/>
            <w:tcBorders>
              <w:top w:val="single" w:sz="8" w:color="0000FF"/>
            </w:tcBorders>
            <w:gridSpan w:val="13"/>
          </w:tcPr>
          <w:p>
            <w:pPr>
              <w:ind w:left="20"/>
              <w:spacing w:after="0"/>
              <w:rPr>
                <w:rFonts w:ascii="Arial" w:cs="Arial" w:eastAsia="Arial" w:hAnsi="Arial"/>
                <w:sz w:val="18"/>
                <w:szCs w:val="18"/>
                <w:u w:val="single" w:color="auto"/>
                <w:color w:val="0000FF"/>
                <w:w w:val="91"/>
              </w:rPr>
            </w:pPr>
            <w:hyperlink w:anchor="page52">
              <w:r>
                <w:rPr>
                  <w:rFonts w:ascii="Arial" w:cs="Arial" w:eastAsia="Arial" w:hAnsi="Arial"/>
                  <w:sz w:val="18"/>
                  <w:szCs w:val="18"/>
                  <w:u w:val="single" w:color="auto"/>
                  <w:color w:val="0000FF"/>
                  <w:w w:val="91"/>
                </w:rPr>
                <w:t>or Rule 15d-14(a) of the Securities and Exchange Act of 1934, as adopted pursuant to Section 302 of the Sarbanes-Oxley Act of 2002</w:t>
              </w:r>
            </w:hyperlink>
          </w:p>
        </w:tc>
        <w:tc>
          <w:tcPr>
            <w:tcW w:w="20" w:type="dxa"/>
            <w:vAlign w:val="bottom"/>
          </w:tcPr>
          <w:p>
            <w:pPr>
              <w:spacing w:after="0"/>
              <w:rPr>
                <w:sz w:val="19"/>
                <w:szCs w:val="19"/>
                <w:color w:val="auto"/>
              </w:rPr>
            </w:pPr>
          </w:p>
        </w:tc>
      </w:tr>
      <w:tr>
        <w:trPr>
          <w:trHeight w:val="215"/>
        </w:trPr>
        <w:tc>
          <w:tcPr>
            <w:tcW w:w="1400" w:type="dxa"/>
            <w:vAlign w:val="bottom"/>
          </w:tcPr>
          <w:p>
            <w:pPr>
              <w:spacing w:after="0"/>
              <w:rPr>
                <w:sz w:val="20"/>
                <w:szCs w:val="20"/>
                <w:color w:val="auto"/>
              </w:rPr>
            </w:pPr>
            <w:r>
              <w:rPr>
                <w:rFonts w:ascii="Arial" w:cs="Arial" w:eastAsia="Arial" w:hAnsi="Arial"/>
                <w:sz w:val="18"/>
                <w:szCs w:val="18"/>
                <w:color w:val="auto"/>
              </w:rPr>
              <w:t>32.1</w:t>
            </w:r>
          </w:p>
        </w:tc>
        <w:tc>
          <w:tcPr>
            <w:tcW w:w="9140" w:type="dxa"/>
            <w:vAlign w:val="bottom"/>
            <w:tcBorders>
              <w:bottom w:val="single" w:sz="8" w:color="0000FF"/>
            </w:tcBorders>
            <w:gridSpan w:val="8"/>
          </w:tcPr>
          <w:p>
            <w:pPr>
              <w:ind w:left="20"/>
              <w:spacing w:after="0" w:line="195" w:lineRule="exact"/>
              <w:rPr>
                <w:rFonts w:ascii="Arial" w:cs="Arial" w:eastAsia="Arial" w:hAnsi="Arial"/>
                <w:sz w:val="18"/>
                <w:szCs w:val="18"/>
                <w:color w:val="0000FF"/>
                <w:w w:val="91"/>
              </w:rPr>
            </w:pPr>
            <w:hyperlink w:anchor="page53">
              <w:r>
                <w:rPr>
                  <w:rFonts w:ascii="Arial" w:cs="Arial" w:eastAsia="Arial" w:hAnsi="Arial"/>
                  <w:sz w:val="18"/>
                  <w:szCs w:val="18"/>
                  <w:color w:val="0000FF"/>
                  <w:w w:val="91"/>
                </w:rPr>
                <w:t>Certification by Robert B. Kay, Chief Executive Officer and Director, and Laurence Winoker, Senior Vice President – Finance,</w:t>
              </w:r>
            </w:hyperlink>
          </w:p>
        </w:tc>
        <w:tc>
          <w:tcPr>
            <w:tcW w:w="460" w:type="dxa"/>
            <w:vAlign w:val="bottom"/>
            <w:gridSpan w:val="2"/>
          </w:tcPr>
          <w:p>
            <w:pPr>
              <w:spacing w:after="0"/>
              <w:rPr>
                <w:sz w:val="18"/>
                <w:szCs w:val="18"/>
                <w:color w:val="auto"/>
              </w:rPr>
            </w:pPr>
          </w:p>
        </w:tc>
        <w:tc>
          <w:tcPr>
            <w:tcW w:w="160" w:type="dxa"/>
            <w:vAlign w:val="bottom"/>
            <w:gridSpan w:val="4"/>
          </w:tcPr>
          <w:p>
            <w:pPr>
              <w:spacing w:after="0"/>
              <w:rPr>
                <w:sz w:val="18"/>
                <w:szCs w:val="18"/>
                <w:color w:val="auto"/>
              </w:rPr>
            </w:pPr>
          </w:p>
        </w:tc>
      </w:tr>
      <w:tr>
        <w:trPr>
          <w:trHeight w:val="156"/>
        </w:trPr>
        <w:tc>
          <w:tcPr>
            <w:tcW w:w="1400" w:type="dxa"/>
            <w:vAlign w:val="bottom"/>
          </w:tcPr>
          <w:p>
            <w:pPr>
              <w:spacing w:after="0"/>
              <w:rPr>
                <w:sz w:val="13"/>
                <w:szCs w:val="13"/>
                <w:color w:val="auto"/>
              </w:rPr>
            </w:pPr>
          </w:p>
        </w:tc>
        <w:tc>
          <w:tcPr>
            <w:tcW w:w="9760" w:type="dxa"/>
            <w:vAlign w:val="bottom"/>
            <w:gridSpan w:val="14"/>
          </w:tcPr>
          <w:p>
            <w:pPr>
              <w:ind w:left="20"/>
              <w:spacing w:after="0" w:line="156" w:lineRule="exact"/>
              <w:rPr>
                <w:rFonts w:ascii="Arial" w:cs="Arial" w:eastAsia="Arial" w:hAnsi="Arial"/>
                <w:sz w:val="18"/>
                <w:szCs w:val="18"/>
                <w:color w:val="0000FF"/>
                <w:w w:val="91"/>
              </w:rPr>
            </w:pPr>
            <w:hyperlink w:anchor="page53">
              <w:r>
                <w:rPr>
                  <w:rFonts w:ascii="Arial" w:cs="Arial" w:eastAsia="Arial" w:hAnsi="Arial"/>
                  <w:sz w:val="18"/>
                  <w:szCs w:val="18"/>
                  <w:color w:val="0000FF"/>
                  <w:w w:val="91"/>
                </w:rPr>
                <w:t>Treasurer and Chief Financial Officer, pursuant to 18 U.S.C. Section 1350, as adopted pursuant to Section 906 of the Sarbanes-Oxley</w:t>
              </w:r>
            </w:hyperlink>
          </w:p>
        </w:tc>
      </w:tr>
      <w:tr>
        <w:trPr>
          <w:trHeight w:val="156"/>
        </w:trPr>
        <w:tc>
          <w:tcPr>
            <w:tcW w:w="1400" w:type="dxa"/>
            <w:vAlign w:val="bottom"/>
          </w:tcPr>
          <w:p>
            <w:pPr>
              <w:spacing w:after="0"/>
              <w:rPr>
                <w:sz w:val="13"/>
                <w:szCs w:val="13"/>
                <w:color w:val="auto"/>
              </w:rPr>
            </w:pPr>
          </w:p>
        </w:tc>
        <w:tc>
          <w:tcPr>
            <w:tcW w:w="9600" w:type="dxa"/>
            <w:vAlign w:val="bottom"/>
            <w:tcBorders>
              <w:top w:val="single" w:sz="8" w:color="0000FF"/>
            </w:tcBorders>
            <w:gridSpan w:val="10"/>
          </w:tcPr>
          <w:p>
            <w:pPr>
              <w:ind w:left="20"/>
              <w:spacing w:after="0" w:line="156" w:lineRule="exact"/>
              <w:rPr>
                <w:rFonts w:ascii="Arial" w:cs="Arial" w:eastAsia="Arial" w:hAnsi="Arial"/>
                <w:sz w:val="18"/>
                <w:szCs w:val="18"/>
                <w:color w:val="0000FF"/>
              </w:rPr>
            </w:pPr>
            <w:hyperlink w:anchor="page53">
              <w:r>
                <w:rPr>
                  <w:rFonts w:ascii="Arial" w:cs="Arial" w:eastAsia="Arial" w:hAnsi="Arial"/>
                  <w:sz w:val="18"/>
                  <w:szCs w:val="18"/>
                  <w:color w:val="0000FF"/>
                </w:rPr>
                <w:t>Act of 2002</w:t>
              </w:r>
            </w:hyperlink>
          </w:p>
        </w:tc>
        <w:tc>
          <w:tcPr>
            <w:tcW w:w="160" w:type="dxa"/>
            <w:vAlign w:val="bottom"/>
            <w:gridSpan w:val="4"/>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900" w:type="dxa"/>
            <w:vAlign w:val="bottom"/>
            <w:gridSpan w:val="11"/>
          </w:tcPr>
          <w:p>
            <w:pPr>
              <w:spacing w:after="0" w:line="20" w:lineRule="exact"/>
              <w:rPr>
                <w:sz w:val="1"/>
                <w:szCs w:val="1"/>
                <w:color w:val="auto"/>
              </w:rPr>
            </w:pPr>
          </w:p>
        </w:tc>
      </w:tr>
      <w:tr>
        <w:trPr>
          <w:trHeight w:val="303"/>
        </w:trPr>
        <w:tc>
          <w:tcPr>
            <w:tcW w:w="1400" w:type="dxa"/>
            <w:vAlign w:val="bottom"/>
          </w:tcPr>
          <w:p>
            <w:pPr>
              <w:spacing w:after="0"/>
              <w:rPr>
                <w:sz w:val="20"/>
                <w:szCs w:val="20"/>
                <w:color w:val="auto"/>
              </w:rPr>
            </w:pPr>
            <w:r>
              <w:rPr>
                <w:rFonts w:ascii="Arial" w:cs="Arial" w:eastAsia="Arial" w:hAnsi="Arial"/>
                <w:sz w:val="18"/>
                <w:szCs w:val="18"/>
                <w:color w:val="auto"/>
              </w:rPr>
              <w:t>101.INS</w:t>
            </w:r>
          </w:p>
        </w:tc>
        <w:tc>
          <w:tcPr>
            <w:tcW w:w="9760" w:type="dxa"/>
            <w:vAlign w:val="bottom"/>
            <w:gridSpan w:val="14"/>
          </w:tcPr>
          <w:p>
            <w:pPr>
              <w:ind w:left="20"/>
              <w:spacing w:after="0"/>
              <w:rPr>
                <w:sz w:val="20"/>
                <w:szCs w:val="20"/>
                <w:color w:val="auto"/>
              </w:rPr>
            </w:pPr>
            <w:r>
              <w:rPr>
                <w:rFonts w:ascii="Arial" w:cs="Arial" w:eastAsia="Arial" w:hAnsi="Arial"/>
                <w:sz w:val="18"/>
                <w:szCs w:val="18"/>
                <w:color w:val="auto"/>
                <w:w w:val="95"/>
              </w:rPr>
              <w:t>Inline XBRL Instance Document (the instance document does not appear in the Interactive Data File because its XBRL tags are</w:t>
            </w:r>
          </w:p>
        </w:tc>
      </w:tr>
      <w:tr>
        <w:trPr>
          <w:trHeight w:val="230"/>
        </w:trPr>
        <w:tc>
          <w:tcPr>
            <w:tcW w:w="1400" w:type="dxa"/>
            <w:vAlign w:val="bottom"/>
          </w:tcPr>
          <w:p>
            <w:pPr>
              <w:spacing w:after="0"/>
              <w:rPr>
                <w:sz w:val="20"/>
                <w:szCs w:val="20"/>
                <w:color w:val="auto"/>
              </w:rPr>
            </w:pPr>
          </w:p>
        </w:tc>
        <w:tc>
          <w:tcPr>
            <w:tcW w:w="9760" w:type="dxa"/>
            <w:vAlign w:val="bottom"/>
            <w:gridSpan w:val="14"/>
          </w:tcPr>
          <w:p>
            <w:pPr>
              <w:ind w:left="20"/>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101.SCH</w:t>
            </w:r>
          </w:p>
        </w:tc>
        <w:tc>
          <w:tcPr>
            <w:tcW w:w="976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101.DEF</w:t>
            </w:r>
          </w:p>
        </w:tc>
        <w:tc>
          <w:tcPr>
            <w:tcW w:w="976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101.CAL</w:t>
            </w:r>
          </w:p>
        </w:tc>
        <w:tc>
          <w:tcPr>
            <w:tcW w:w="976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101.LAB</w:t>
            </w:r>
          </w:p>
        </w:tc>
        <w:tc>
          <w:tcPr>
            <w:tcW w:w="976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101.PRE</w:t>
            </w:r>
          </w:p>
        </w:tc>
        <w:tc>
          <w:tcPr>
            <w:tcW w:w="976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40" w:lineRule="exact"/>
        <w:rPr>
          <w:sz w:val="20"/>
          <w:szCs w:val="20"/>
          <w:color w:val="auto"/>
        </w:rPr>
      </w:pPr>
    </w:p>
    <w:p>
      <w:pPr>
        <w:ind w:left="1440" w:hanging="1414"/>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540" w:hanging="111"/>
        <w:spacing w:after="0"/>
        <w:tabs>
          <w:tab w:leader="none" w:pos="5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Lifetime Brands, Inc.</w:t>
      </w:r>
    </w:p>
    <w:p>
      <w:pPr>
        <w:spacing w:after="0" w:line="333" w:lineRule="exact"/>
        <w:rPr>
          <w:sz w:val="20"/>
          <w:szCs w:val="20"/>
          <w:color w:val="auto"/>
        </w:rPr>
      </w:pPr>
    </w:p>
    <w:tbl>
      <w:tblPr>
        <w:tblLayout w:type="fixed"/>
        <w:tblInd w:w="5880" w:type="dxa"/>
        <w:tblCellMar>
          <w:top w:w="0" w:type="dxa"/>
          <w:left w:w="0" w:type="dxa"/>
          <w:bottom w:w="0" w:type="dxa"/>
          <w:right w:w="0" w:type="dxa"/>
        </w:tblCellMar>
      </w:tblP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/s/ Robert B. Kay</w:t>
            </w:r>
          </w:p>
        </w:tc>
        <w:tc>
          <w:tcPr>
            <w:tcW w:w="1880" w:type="dxa"/>
            <w:vAlign w:val="bottom"/>
          </w:tcPr>
          <w:p>
            <w:pPr>
              <w:ind w:left="880"/>
              <w:spacing w:after="0"/>
              <w:rPr>
                <w:sz w:val="20"/>
                <w:szCs w:val="20"/>
                <w:color w:val="auto"/>
              </w:rPr>
            </w:pPr>
            <w:r>
              <w:rPr>
                <w:rFonts w:ascii="Arial" w:cs="Arial" w:eastAsia="Arial" w:hAnsi="Arial"/>
                <w:sz w:val="18"/>
                <w:szCs w:val="18"/>
                <w:color w:val="auto"/>
                <w:w w:val="89"/>
              </w:rPr>
              <w:t>May 21, 2020</w:t>
            </w:r>
          </w:p>
        </w:tc>
      </w:tr>
      <w:tr>
        <w:trPr>
          <w:trHeight w:val="27"/>
        </w:trPr>
        <w:tc>
          <w:tcPr>
            <w:tcW w:w="346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Robert B. Kay</w:t>
            </w:r>
          </w:p>
        </w:tc>
        <w:tc>
          <w:tcPr>
            <w:tcW w:w="1880" w:type="dxa"/>
            <w:vAlign w:val="bottom"/>
          </w:tcPr>
          <w:p>
            <w:pPr>
              <w:spacing w:after="0"/>
              <w:rPr>
                <w:sz w:val="20"/>
                <w:szCs w:val="20"/>
                <w:color w:val="auto"/>
              </w:rPr>
            </w:pPr>
          </w:p>
        </w:tc>
      </w:tr>
      <w:tr>
        <w:trPr>
          <w:trHeight w:val="270"/>
        </w:trPr>
        <w:tc>
          <w:tcPr>
            <w:tcW w:w="34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880" w:type="dxa"/>
            <w:vAlign w:val="bottom"/>
          </w:tcPr>
          <w:p>
            <w:pPr>
              <w:spacing w:after="0"/>
              <w:rPr>
                <w:sz w:val="23"/>
                <w:szCs w:val="23"/>
                <w:color w:val="auto"/>
              </w:rPr>
            </w:pPr>
          </w:p>
        </w:tc>
      </w:tr>
      <w:tr>
        <w:trPr>
          <w:trHeight w:val="270"/>
        </w:trPr>
        <w:tc>
          <w:tcPr>
            <w:tcW w:w="3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880" w:type="dxa"/>
            <w:vAlign w:val="bottom"/>
          </w:tcPr>
          <w:p>
            <w:pPr>
              <w:spacing w:after="0"/>
              <w:rPr>
                <w:sz w:val="23"/>
                <w:szCs w:val="23"/>
                <w:color w:val="auto"/>
              </w:rPr>
            </w:pPr>
          </w:p>
        </w:tc>
      </w:tr>
      <w:tr>
        <w:trPr>
          <w:trHeight w:val="540"/>
        </w:trPr>
        <w:tc>
          <w:tcPr>
            <w:tcW w:w="3460" w:type="dxa"/>
            <w:vAlign w:val="bottom"/>
          </w:tcPr>
          <w:p>
            <w:pPr>
              <w:ind w:left="20"/>
              <w:spacing w:after="0"/>
              <w:rPr>
                <w:sz w:val="20"/>
                <w:szCs w:val="20"/>
                <w:color w:val="auto"/>
              </w:rPr>
            </w:pPr>
            <w:r>
              <w:rPr>
                <w:rFonts w:ascii="Arial" w:cs="Arial" w:eastAsia="Arial" w:hAnsi="Arial"/>
                <w:sz w:val="18"/>
                <w:szCs w:val="18"/>
                <w:color w:val="auto"/>
              </w:rPr>
              <w:t>/s/ Laurence Winoker</w:t>
            </w:r>
          </w:p>
        </w:tc>
        <w:tc>
          <w:tcPr>
            <w:tcW w:w="1880" w:type="dxa"/>
            <w:vAlign w:val="bottom"/>
          </w:tcPr>
          <w:p>
            <w:pPr>
              <w:ind w:left="880"/>
              <w:spacing w:after="0"/>
              <w:rPr>
                <w:sz w:val="20"/>
                <w:szCs w:val="20"/>
                <w:color w:val="auto"/>
              </w:rPr>
            </w:pPr>
            <w:r>
              <w:rPr>
                <w:rFonts w:ascii="Arial" w:cs="Arial" w:eastAsia="Arial" w:hAnsi="Arial"/>
                <w:sz w:val="18"/>
                <w:szCs w:val="18"/>
                <w:color w:val="auto"/>
                <w:w w:val="89"/>
              </w:rPr>
              <w:t>May 21, 2020</w:t>
            </w:r>
          </w:p>
        </w:tc>
      </w:tr>
      <w:tr>
        <w:trPr>
          <w:trHeight w:val="27"/>
        </w:trPr>
        <w:tc>
          <w:tcPr>
            <w:tcW w:w="346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Laurence Winoker</w:t>
            </w:r>
          </w:p>
        </w:tc>
        <w:tc>
          <w:tcPr>
            <w:tcW w:w="1880" w:type="dxa"/>
            <w:vAlign w:val="bottom"/>
          </w:tcPr>
          <w:p>
            <w:pPr>
              <w:spacing w:after="0"/>
              <w:rPr>
                <w:sz w:val="20"/>
                <w:szCs w:val="20"/>
                <w:color w:val="auto"/>
              </w:rPr>
            </w:pPr>
          </w:p>
        </w:tc>
      </w:tr>
    </w:tbl>
    <w:p>
      <w:pPr>
        <w:spacing w:after="0" w:line="4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Senior Vice President – Finance, Treasurer and</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5"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10.1</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rob.kay@lifetimebrands.com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Rob,</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b w:val="1"/>
          <w:bCs w:val="1"/>
          <w:color w:val="auto"/>
        </w:rPr>
        <w:t>Letter Agreement</w:t>
      </w:r>
      <w:r>
        <w:rPr>
          <w:rFonts w:ascii="Arial" w:cs="Arial" w:eastAsia="Arial" w:hAnsi="Arial"/>
          <w:sz w:val="16"/>
          <w:szCs w:val="16"/>
          <w:color w:val="auto"/>
        </w:rPr>
        <w:t>”) shall supplement and amend the Employment Agreement between you and Lifetime Brands,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(as may have been previously amended,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10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light of the unprecedented economic environment due to the novel coronavirus pandemic, its impact on the US economy and the legal and regulatory landscape, and in order to mitigate the financial impact of this pandemic on the Company, the Company is taking certain measures. As part of the Company’s response to the novel coronavirus pandemic, your annual rate of base salary as in effect on the date hereof, and as defined in the Employment Agreement, will be decreased by 20%, effective April 13, 2020 (the “</w:t>
      </w:r>
      <w:r>
        <w:rPr>
          <w:rFonts w:ascii="Arial" w:cs="Arial" w:eastAsia="Arial" w:hAnsi="Arial"/>
          <w:sz w:val="16"/>
          <w:szCs w:val="16"/>
          <w:b w:val="1"/>
          <w:bCs w:val="1"/>
          <w:color w:val="auto"/>
        </w:rPr>
        <w:t>Effective Date</w:t>
      </w:r>
      <w:r>
        <w:rPr>
          <w:rFonts w:ascii="Arial" w:cs="Arial" w:eastAsia="Arial" w:hAnsi="Arial"/>
          <w:sz w:val="16"/>
          <w:szCs w:val="16"/>
          <w:color w:val="auto"/>
        </w:rPr>
        <w:t>”), and such reduced amount will constitute your “Base Salary” under the Employment Agreement and under any and all benefit or compensation agreements, plans, programs or policies of the Company or its affiliates; provided however that, (A) any annual bonus that you are otherwise eligible to receive will be calculated based on your annual rate of base salary in effect prior to the Effective Date and (B) in the event that you become eligible to receive any termination payments and benefits pursuant to the Employment Agreement, such amounts will be calculated based on your annual rate of base salary in effect prior to the Effective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It is anticipated that the reduction in your annual rate of Base Salary, as described above, is temporary, and the</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Company agrees to reinstate your base salary in effect prior to the Effective Date upon the earlier of: (I) October 1, 2020 or (II) such time that the Board of Directors of the Company, in its sole discretion, determines that such reinstatement is appropriate, taking into consideration the status of the novel coronavirus pandemic, the Company’s financial condition and other relevant factors.</w:t>
      </w:r>
    </w:p>
    <w:p>
      <w:pPr>
        <w:spacing w:after="0" w:line="217" w:lineRule="exact"/>
        <w:rPr>
          <w:sz w:val="20"/>
          <w:szCs w:val="20"/>
          <w:color w:val="auto"/>
        </w:rPr>
      </w:pPr>
    </w:p>
    <w:p>
      <w:pPr>
        <w:ind w:right="2900"/>
        <w:spacing w:after="0" w:line="291" w:lineRule="auto"/>
        <w:rPr>
          <w:sz w:val="20"/>
          <w:szCs w:val="20"/>
          <w:color w:val="auto"/>
        </w:rPr>
      </w:pPr>
      <w:r>
        <w:rPr>
          <w:rFonts w:ascii="Arial" w:cs="Arial" w:eastAsia="Arial" w:hAnsi="Arial"/>
          <w:sz w:val="16"/>
          <w:szCs w:val="16"/>
          <w:color w:val="auto"/>
        </w:rPr>
        <w:t>You hereby consent to the terms set forth in this Letter Agreement and acknowledge and agree that the terms set forth herein do not constitute a breach of the Employment Agreement or “Good Reason,” constructive discharge, or</w:t>
      </w:r>
    </w:p>
    <w:p>
      <w:pPr>
        <w:ind w:right="80"/>
        <w:spacing w:after="0" w:line="286" w:lineRule="auto"/>
        <w:rPr>
          <w:sz w:val="20"/>
          <w:szCs w:val="20"/>
          <w:color w:val="auto"/>
        </w:rPr>
      </w:pPr>
      <w:r>
        <w:rPr>
          <w:rFonts w:ascii="Arial" w:cs="Arial" w:eastAsia="Arial" w:hAnsi="Arial"/>
          <w:sz w:val="16"/>
          <w:szCs w:val="16"/>
          <w:color w:val="auto"/>
        </w:rPr>
        <w:t>constructive termination for purposes of the Employment Agreement, any benefit or compensation agreements, plans, programs, or policies of the Company or its affiliates (including, without limitation, any outstanding awards under the Company’s Amended and Restated 2000 Long-Term Incentive Plan), or for any other purpose. You represent that you have had an adequate opportunity to review this Letter Agreement and that you understand all of its terms, and agree that your decision to enter into this Agreement is completely voluntary. By agreeing to the terms of this Letter Agreement, you further acknowledge and agree that this Letter Agreement constitutes adequate notice of the subject matter described herein, notwithstanding the notice provisions of the Employment Agreement or any other agreement, plan, program or policy of the Company or its affiliates. This Letter Agreement does not alter or modify in any way the at will employment status of your relationship to the Company. Except as modified by this Letter Agreement, the Employment Agreement shall remain in full force and effect; provided, that in the event that any provision in this Letter Agreement conflicts with the Employment Agreement or any other agreement, policy, plan or arrangement between the Company and you, the terms of this Letter Agreement shall govern.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Yours sincerely,</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Jeffrey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72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Siegel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Chairman of the Board of Directors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behalf of Lifetime Brands Inc.</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Agreed to Acknowledged by: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72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B. Kay</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04/04/2020</w:t>
      </w:r>
    </w:p>
    <w:p>
      <w:pPr>
        <w:sectPr>
          <w:pgSz w:w="11900" w:h="16838" w:orient="portrait"/>
          <w:cols w:equalWidth="0" w:num="1">
            <w:col w:w="11240"/>
          </w:cols>
          <w:pgMar w:left="320" w:top="126"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Daniel Siegel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daniel.siegel@lifetimebrands.com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Dan,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b w:val="1"/>
          <w:bCs w:val="1"/>
          <w:color w:val="auto"/>
        </w:rPr>
        <w:t>Letter Agreement</w:t>
      </w:r>
      <w:r>
        <w:rPr>
          <w:rFonts w:ascii="Arial" w:cs="Arial" w:eastAsia="Arial" w:hAnsi="Arial"/>
          <w:sz w:val="16"/>
          <w:szCs w:val="16"/>
          <w:color w:val="auto"/>
        </w:rPr>
        <w:t>”) shall supplement and amend the Employment Agreement between you and Lifetime Brands,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(as may have been previously amended,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10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light of the unprecedented economic environment due to the novel coronavirus pandemic, its impact on the US economy and the legal and regulatory landscape, and in order to mitigate the financial impact of this pandemic on the Company, the Company is taking certain measures. As part of the Company’s response to the novel coronavirus pandemic, your annual rate of base salary as in effect on the date hereof, and as defined in the Employment Agreement, will be decreased by 12.5%, effective April 13, 2020 (the “</w:t>
      </w:r>
      <w:r>
        <w:rPr>
          <w:rFonts w:ascii="Arial" w:cs="Arial" w:eastAsia="Arial" w:hAnsi="Arial"/>
          <w:sz w:val="16"/>
          <w:szCs w:val="16"/>
          <w:b w:val="1"/>
          <w:bCs w:val="1"/>
          <w:color w:val="auto"/>
        </w:rPr>
        <w:t>Effective Date</w:t>
      </w:r>
      <w:r>
        <w:rPr>
          <w:rFonts w:ascii="Arial" w:cs="Arial" w:eastAsia="Arial" w:hAnsi="Arial"/>
          <w:sz w:val="16"/>
          <w:szCs w:val="16"/>
          <w:color w:val="auto"/>
        </w:rPr>
        <w:t>”), and such reduced amount will constitute your “Base Salary” under the Employment Agreement and under any and all benefit or compensation agreements, plans, programs or policies of the Company or its affiliates; provided however that, (A) any annual bonus that you are otherwise eligible to receive will be calculated based on your annual rate of base salary in effect prior to the Effective Date and (B) in the event that you become eligible to receive any termination payments and benefits pursuant to the Employment Agreement, such amounts will be calculated based on your annual rate of base salary in effect prior to the Effective Date.</w:t>
      </w:r>
    </w:p>
    <w:p>
      <w:pPr>
        <w:spacing w:after="0" w:line="5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It is anticipated that the reduction in your annual rate of Base Salary, as described above, is temporary, and the Company agrees to reinstate your base salary in effect prior to the Effective Date upon the earlier of (I) October 1, 2020 or (II) such time that the Chief Executive Officer of the Company or his designee, in his or her sole discretion, determines that such reinstatement is appropriate, taking into consideration the status of the novel coronavirus pandemic, the Company’s financial condition and other relevant factors.</w:t>
      </w:r>
    </w:p>
    <w:p>
      <w:pPr>
        <w:spacing w:after="0" w:line="21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You hereby consent to the terms set forth in this Letter Agreement and acknowledge and agree that the terms set forth herein do not constitute a breach of the Employment Agreement or “Good Reason,” constructive discharge, or constructive termination for purposes of the Employment Agreement, any benefit or compensation agreements, plans, programs, or policies of the Company or its affiliates (including, without limitation, any outstanding awards under the Company’s Amended and Restated 2000 Long-Term Incentive Plan), or for any other purpose. You represent that you have had an adequate opportunity to review this Letter Agreement and that you understand all of its terms, and agree that your decision to enter into this Agreement is completely voluntary. By agreeing to the terms of this Letter Agreement, you further acknowledge and agree that this Letter Agreement constitutes adequate notice of the subject matter described herein, notwithstanding the notice provisions of the Employment Agreement or any other agreement, plan, program or policy of the Company or its affiliates. This Letter Agreement does not alter or modify in any way the at will employment status of your relationship to the Company. Except as modified by this Letter Agreement, the Employment Agreement shall remain in full force and effect; provided, that in the event that any provision in this Letter Agreement conflicts with the Employment Agreement or any other agreement, policy, plan or arrangement between the Company and you, the terms of this Letter Agreement shall govern.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Yours sincerely,</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174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B. Kay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behalf of Lifetime Brands Inc.</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Agreed to Acknowledged by: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174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Daniel Siegel</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04/06/2020</w:t>
      </w:r>
    </w:p>
    <w:p>
      <w:pPr>
        <w:sectPr>
          <w:pgSz w:w="11900" w:h="16838" w:orient="portrait"/>
          <w:cols w:equalWidth="0" w:num="1">
            <w:col w:w="11240"/>
          </w:cols>
          <w:pgMar w:left="320" w:top="12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Jeffrey Siegel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jeffrey.siegel@lifetimebrands.com</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Dear Jeff,</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b w:val="1"/>
          <w:bCs w:val="1"/>
          <w:color w:val="auto"/>
        </w:rPr>
        <w:t>Letter Agreement</w:t>
      </w:r>
      <w:r>
        <w:rPr>
          <w:rFonts w:ascii="Arial" w:cs="Arial" w:eastAsia="Arial" w:hAnsi="Arial"/>
          <w:sz w:val="16"/>
          <w:szCs w:val="16"/>
          <w:color w:val="auto"/>
        </w:rPr>
        <w:t>”) shall supplement and amend the Employment Agreement between you and Lifetime Brands,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(as may have been previously amended,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10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light of the unprecedented economic environment due to the novel coronavirus pandemic, its impact on the US economy and the legal and regulatory landscape, and in order to mitigate the financial impact of this pandemic on the Company, the Company is taking certain measures. As part of the Company’s response to the novel coronavirus pandemic, your annual rate of base salary as in effect on the date hereof, and as defined in the Employment Agreement, will be decreased by 20%, effective April 13, 2020 (the “</w:t>
      </w:r>
      <w:r>
        <w:rPr>
          <w:rFonts w:ascii="Arial" w:cs="Arial" w:eastAsia="Arial" w:hAnsi="Arial"/>
          <w:sz w:val="16"/>
          <w:szCs w:val="16"/>
          <w:b w:val="1"/>
          <w:bCs w:val="1"/>
          <w:color w:val="auto"/>
        </w:rPr>
        <w:t>Effective Date</w:t>
      </w:r>
      <w:r>
        <w:rPr>
          <w:rFonts w:ascii="Arial" w:cs="Arial" w:eastAsia="Arial" w:hAnsi="Arial"/>
          <w:sz w:val="16"/>
          <w:szCs w:val="16"/>
          <w:color w:val="auto"/>
        </w:rPr>
        <w:t>”), and such reduced amount will constitute your “Base Salary” under the Employment Agreement and under any and all benefit or compensation agreements, plans, programs or policies of the Company or its affiliates; provided however that, (A) any annual bonus that you are otherwise eligible to receive will be calculated based on your annual rate of base salary in effect prior to the Effective Date and (B) in the event that you become eligible to receive any termination payments and benefits pursuant to the Employment Agreement, such amounts will be calculated based on your annual rate of base salary in effect prior to the Effective Date.</w:t>
      </w:r>
    </w:p>
    <w:p>
      <w:pPr>
        <w:spacing w:after="0" w:line="57"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It is anticipated that the reduction in your annual rate of Base Salary, as described above, is temporary, and the Company agrees to reinstate your base salary in effect prior to the Effective Date upon the earlier of (I) October 1, 2020 or (II) such time that the Board of Directors of the Company, in its sole discretion, determines that such reinstatement is appropriate, taking into consideration the status of the novel coronavirus pandemic, the Company’s financial condition and other relevant factors.</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You hereby consent to the terms set forth in this Letter Agreement and acknowledge and agree that the terms set forth herein do not constitute a breach of the Employment Agreement or “Good Reason,” constructive discharge, or constructive termination for purposes of the Employment Agreement, any benefit or compensation agreements, plans, programs, or policies of the Company or its affiliates (including, without limitation, any outstanding awards under the Company’s Amended and Restated 2000 Long-Term Incentive Plan), or for any other purpose. You represent that you have had an adequate opportunity to review this Letter Agreement and that you understand all of its terms, and agree that your decision to enter into this Agreement is completely voluntary. By agreeing to the terms of this Letter Agreement, you further acknowledge and agree that this Letter Agreement constitutes adequate notice of the subject matter described herein, notwithstanding the notice provisions of the Employment Agreement or any other agreement, plan, program or policy of the Company or its affiliates. This Letter Agreement does not alter or modify in any way the at will employment status of your relationship to the Company. Except as modified by this Letter Agreement, the Employment Agreement shall remain in full force and effect; provided, that in the event that any provision in this Letter Agreement conflicts with the Employment Agreement or any other agreement, policy, plan or arrangement between the Company and you, the terms of this Letter Agreement shall govern.</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Yours sincerely,</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174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B. Kay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behalf of Lifetime Brands Inc.</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Agreed to Acknowledged by: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Jeffrey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174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Siegel</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04/04/2020</w:t>
      </w:r>
    </w:p>
    <w:p>
      <w:pPr>
        <w:sectPr>
          <w:pgSz w:w="11900" w:h="16838" w:orient="portrait"/>
          <w:cols w:equalWidth="0" w:num="1">
            <w:col w:w="11240"/>
          </w:cols>
          <w:pgMar w:left="320" w:top="85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10.4</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laurence.winoker@lifetimebrands.com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Larry,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b w:val="1"/>
          <w:bCs w:val="1"/>
          <w:color w:val="auto"/>
        </w:rPr>
        <w:t>Letter Agreement</w:t>
      </w:r>
      <w:r>
        <w:rPr>
          <w:rFonts w:ascii="Arial" w:cs="Arial" w:eastAsia="Arial" w:hAnsi="Arial"/>
          <w:sz w:val="16"/>
          <w:szCs w:val="16"/>
          <w:color w:val="auto"/>
        </w:rPr>
        <w:t>”) shall supplement and amend the Employment Agreement between you and Lifetime Brands,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(as may have been previously amended,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10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light of the unprecedented economic environment due to the novel coronavirus pandemic, its impact on the US economy and the legal and regulatory landscape, and in order to mitigate the financial impact of this pandemic on the Company, the Company is taking certain measures. As part of the Company’s response to the novel coronavirus pandemic, your annual rate of base salary as in effect on the date hereof, and as defined in the Employment Agreement, will be decreased by 12.5%, effective April 13, 2020 (the “</w:t>
      </w:r>
      <w:r>
        <w:rPr>
          <w:rFonts w:ascii="Arial" w:cs="Arial" w:eastAsia="Arial" w:hAnsi="Arial"/>
          <w:sz w:val="16"/>
          <w:szCs w:val="16"/>
          <w:b w:val="1"/>
          <w:bCs w:val="1"/>
          <w:color w:val="auto"/>
        </w:rPr>
        <w:t>Effective Date</w:t>
      </w:r>
      <w:r>
        <w:rPr>
          <w:rFonts w:ascii="Arial" w:cs="Arial" w:eastAsia="Arial" w:hAnsi="Arial"/>
          <w:sz w:val="16"/>
          <w:szCs w:val="16"/>
          <w:color w:val="auto"/>
        </w:rPr>
        <w:t>”), and such reduced amount will constitute your “Base Salary” under the Employment Agreement and under any and all benefit or compensation agreements, plans, programs or policies of the Company or its affiliates; provided however that, (A) any annual bonus that you are otherwise eligible to receive will be calculated based on your annual rate of base salary in effect prior to the Effective Date and (B) in the event that you become eligible to receive any termination payments and benefits pursuant to the Employment Agreement, such amounts will be calculated based on your annual rate of base salary in effect prior to the Effective Date.</w:t>
      </w:r>
    </w:p>
    <w:p>
      <w:pPr>
        <w:spacing w:after="0" w:line="5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It is anticipated that the reduction in your annual rate of Base Salary, as described above, is temporary, and the Company agrees to reinstate your base salary in effect prior to the Effective Date upon the earlier of (I) October 1, 2020 or (II) such time that the Chief Executive Officer of the Company or his designee, in his or her sole discretion, determines that such reinstatement is appropriate, taking into consideration the status of the novel coronavirus pandemic, the Company’s financial condition and other relevant factors.</w:t>
      </w:r>
    </w:p>
    <w:p>
      <w:pPr>
        <w:spacing w:after="0" w:line="7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You hereby consent to the terms set forth in this Letter Agreement and acknowledge and agree that the terms set forth herein do not constitute a breach of the Employment Agreement or “Good Reason,” constructive discharge, or constructive termination for purposes of the Employment Agreement, any benefit or compensation agreements, plans, programs, or policies of the Company or its affiliates (including, without limitation, any outstanding awards under the Company’s Amended and Restated 2000 Long-Term Incentive Plan), or for any other purpose. You represent that you have had an adequate opportunity to review this Letter Agreement and that you understand all of its terms, and agree that your decision to enter into this Agreement is completely voluntary. By agreeing to the terms of this Letter Agreement, you further acknowledge and agree that this Letter Agreement constitutes adequate notice of the subject matter described herein, notwithstanding the notice provisions of the Employment Agreement or any other agreement, plan, program or policy of the Company or its affiliates. This Letter Agreement does not alter or modify in any way the at will employment status of your relationship to the Company. Except as modified by this Letter Agreement, the Employment Agreement shall remain in full force and effect; provided, that in the event that any provision in this Letter Agreement conflicts with the Employment Agreement or any other agreement, policy, plan or arrangement between the Company and you, the terms of this Letter Agreement shall govern.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Yours sincerely,</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72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Kay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behalf of Lifetime Brands Inc.</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Agreed to Acknowledged by: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72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Laurence Winoker</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04/04/2020</w:t>
      </w:r>
    </w:p>
    <w:p>
      <w:pPr>
        <w:sectPr>
          <w:pgSz w:w="11900" w:h="16838" w:orient="portrait"/>
          <w:cols w:equalWidth="0" w:num="1">
            <w:col w:w="11240"/>
          </w:cols>
          <w:pgMar w:left="320" w:top="12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1.I have reviewed this quarterly report on Form 10-Q of Lifetime Brands, Inc. (“the registrant”);</w:t>
      </w:r>
    </w:p>
    <w:p>
      <w:pPr>
        <w:spacing w:after="0" w:line="117" w:lineRule="exact"/>
        <w:rPr>
          <w:sz w:val="20"/>
          <w:szCs w:val="20"/>
          <w:color w:val="auto"/>
        </w:rPr>
      </w:pPr>
    </w:p>
    <w:p>
      <w:pPr>
        <w:jc w:val="both"/>
        <w:ind w:left="420" w:right="180" w:hanging="7"/>
        <w:spacing w:after="0" w:line="263" w:lineRule="auto"/>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420" w:right="340" w:hanging="7"/>
        <w:spacing w:after="0" w:line="342" w:lineRule="auto"/>
        <w:tabs>
          <w:tab w:leader="none" w:pos="6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jc w:val="both"/>
        <w:ind w:left="420" w:right="260" w:hanging="7"/>
        <w:spacing w:after="0" w:line="263" w:lineRule="auto"/>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700" w:right="140" w:hanging="315"/>
        <w:spacing w:after="0" w:line="286" w:lineRule="auto"/>
        <w:tabs>
          <w:tab w:leader="none" w:pos="1690" w:val="left"/>
        </w:tabs>
        <w:numPr>
          <w:ilvl w:val="3"/>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700" w:right="40" w:hanging="315"/>
        <w:spacing w:after="0" w:line="263" w:lineRule="auto"/>
        <w:tabs>
          <w:tab w:leader="none" w:pos="1700" w:val="left"/>
        </w:tabs>
        <w:numPr>
          <w:ilvl w:val="3"/>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700" w:right="140" w:hanging="315"/>
        <w:spacing w:after="0" w:line="263" w:lineRule="auto"/>
        <w:tabs>
          <w:tab w:leader="none" w:pos="1690" w:val="left"/>
        </w:tabs>
        <w:numPr>
          <w:ilvl w:val="3"/>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700" w:right="40" w:hanging="315"/>
        <w:spacing w:after="0" w:line="263" w:lineRule="auto"/>
        <w:tabs>
          <w:tab w:leader="none" w:pos="1700" w:val="left"/>
        </w:tabs>
        <w:numPr>
          <w:ilvl w:val="3"/>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520" w:hanging="320"/>
        <w:spacing w:after="0" w:line="342" w:lineRule="auto"/>
        <w:tabs>
          <w:tab w:leader="none" w:pos="1290" w:val="left"/>
        </w:tabs>
        <w:numPr>
          <w:ilvl w:val="2"/>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00" w:hanging="320"/>
        <w:spacing w:after="0" w:line="277" w:lineRule="auto"/>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774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Director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21, 2020</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03" w:lineRule="exact"/>
        <w:rPr>
          <w:sz w:val="20"/>
          <w:szCs w:val="20"/>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980" w:right="440" w:hanging="648"/>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5"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960" w:right="80" w:hanging="656"/>
        <w:spacing w:after="0" w:line="311" w:lineRule="auto"/>
        <w:tabs>
          <w:tab w:leader="none" w:pos="195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0" w:lineRule="exact"/>
        <w:rPr>
          <w:rFonts w:ascii="Arial" w:cs="Arial" w:eastAsia="Arial" w:hAnsi="Arial"/>
          <w:sz w:val="16"/>
          <w:szCs w:val="16"/>
          <w:color w:val="auto"/>
        </w:rPr>
      </w:pPr>
    </w:p>
    <w:p>
      <w:pPr>
        <w:ind w:left="1960" w:right="260" w:hanging="656"/>
        <w:spacing w:after="0" w:line="286" w:lineRule="auto"/>
        <w:tabs>
          <w:tab w:leader="none" w:pos="1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60" w:right="460" w:hanging="656"/>
        <w:spacing w:after="0" w:line="263"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80" w:right="60" w:hanging="648"/>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960" w:right="140" w:hanging="656"/>
        <w:spacing w:after="0" w:line="263" w:lineRule="auto"/>
        <w:tabs>
          <w:tab w:leader="none" w:pos="19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288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Treasurer and Chief Financial Officer</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21, 2020</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Robert B. Kay, Chief Executive Officer and Director, and I, Laurence Winoker, Senior Vice President – Finance, Treasurer and Chief Financial Officer, of Lifetime Brands, Inc., a Delaware corporation (the “Company”), each hereby certify that:</w:t>
      </w:r>
    </w:p>
    <w:p>
      <w:pPr>
        <w:spacing w:after="0" w:line="170" w:lineRule="exact"/>
        <w:rPr>
          <w:sz w:val="20"/>
          <w:szCs w:val="20"/>
          <w:color w:val="auto"/>
        </w:rPr>
      </w:pPr>
    </w:p>
    <w:p>
      <w:pPr>
        <w:ind w:left="660" w:right="300" w:hanging="328"/>
        <w:spacing w:after="0" w:line="277"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March 31, 2020 (the “Form 10-Q”)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/s/ Robert B. Kay</w:t>
            </w:r>
          </w:p>
        </w:tc>
        <w:tc>
          <w:tcPr>
            <w:tcW w:w="5800" w:type="dxa"/>
            <w:vAlign w:val="bottom"/>
          </w:tcPr>
          <w:p>
            <w:pPr>
              <w:ind w:left="20"/>
              <w:spacing w:after="0"/>
              <w:rPr>
                <w:sz w:val="20"/>
                <w:szCs w:val="20"/>
                <w:color w:val="auto"/>
              </w:rPr>
            </w:pPr>
            <w:r>
              <w:rPr>
                <w:rFonts w:ascii="Arial" w:cs="Arial" w:eastAsia="Arial" w:hAnsi="Arial"/>
                <w:sz w:val="18"/>
                <w:szCs w:val="18"/>
                <w:color w:val="auto"/>
              </w:rPr>
              <w:t>/s/ Laurence Winoker</w:t>
            </w:r>
          </w:p>
        </w:tc>
      </w:tr>
      <w:tr>
        <w:trPr>
          <w:trHeight w:val="27"/>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Robert B. Kay</w:t>
            </w:r>
          </w:p>
        </w:tc>
        <w:tc>
          <w:tcPr>
            <w:tcW w:w="5800" w:type="dxa"/>
            <w:vAlign w:val="bottom"/>
          </w:tcPr>
          <w:p>
            <w:pPr>
              <w:ind w:left="20"/>
              <w:spacing w:after="0"/>
              <w:rPr>
                <w:sz w:val="20"/>
                <w:szCs w:val="20"/>
                <w:color w:val="auto"/>
              </w:rPr>
            </w:pPr>
            <w:r>
              <w:rPr>
                <w:rFonts w:ascii="Arial" w:cs="Arial" w:eastAsia="Arial" w:hAnsi="Arial"/>
                <w:sz w:val="16"/>
                <w:szCs w:val="16"/>
                <w:color w:val="auto"/>
              </w:rPr>
              <w:t>Laurence Winoker</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Director</w:t>
            </w:r>
          </w:p>
        </w:tc>
        <w:tc>
          <w:tcPr>
            <w:tcW w:w="5800" w:type="dxa"/>
            <w:vAlign w:val="bottom"/>
          </w:tcPr>
          <w:p>
            <w:pPr>
              <w:ind w:left="20"/>
              <w:spacing w:after="0"/>
              <w:rPr>
                <w:sz w:val="20"/>
                <w:szCs w:val="20"/>
                <w:color w:val="auto"/>
              </w:rPr>
            </w:pPr>
            <w:r>
              <w:rPr>
                <w:rFonts w:ascii="Arial" w:cs="Arial" w:eastAsia="Arial" w:hAnsi="Arial"/>
                <w:sz w:val="16"/>
                <w:szCs w:val="16"/>
                <w:color w:val="auto"/>
              </w:rPr>
              <w:t>Senior Vice President- Finance, Treasurer and Chief Financial Officer</w:t>
            </w:r>
          </w:p>
        </w:tc>
      </w:tr>
      <w:tr>
        <w:trPr>
          <w:trHeight w:val="532"/>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Date: May 21, 2020</w:t>
            </w:r>
          </w:p>
        </w:tc>
        <w:tc>
          <w:tcPr>
            <w:tcW w:w="5800" w:type="dxa"/>
            <w:vAlign w:val="bottom"/>
          </w:tcPr>
          <w:p>
            <w:pPr>
              <w:ind w:left="20"/>
              <w:spacing w:after="0"/>
              <w:rPr>
                <w:sz w:val="20"/>
                <w:szCs w:val="20"/>
                <w:color w:val="auto"/>
              </w:rPr>
            </w:pPr>
            <w:r>
              <w:rPr>
                <w:rFonts w:ascii="Arial" w:cs="Arial" w:eastAsia="Arial" w:hAnsi="Arial"/>
                <w:sz w:val="18"/>
                <w:szCs w:val="18"/>
                <w:color w:val="auto"/>
              </w:rPr>
              <w:t>Date: May 21, 2020</w:t>
            </w: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certification required by 18 U.S.C. Section 1350 has been provided to Lifetime Brands, Inc. and will be retained by Lifetime Brands, Inc. and furnished to the SEC or its staff upon request.</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lowerRoman"/>
      <w:start w:val="10"/>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lowerRoman"/>
      <w:start w:val="10"/>
    </w:lvl>
    <w:lvl w:ilvl="1">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lvl w:ilvl="1">
      <w:lvlJc w:val="left"/>
      <w:lvlText w:val="-"/>
      <w:numFmt w:val="bullet"/>
      <w:start w:val="1"/>
    </w:lvl>
  </w:abstractNum>
  <w:abstractNum w:abstractNumId="14">
    <w:nsid w:val="25E45D32"/>
    <w:multiLevelType w:val="hybridMultilevel"/>
    <w:lvl w:ilvl="0">
      <w:lvlJc w:val="left"/>
      <w:lvlText w:val="%1"/>
      <w:numFmt w:val="decimal"/>
      <w:start w:val="104"/>
    </w:lvl>
    <w:lvl w:ilvl="1">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16">
    <w:nsid w:val="431BD7B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2020-05-21T15:16:30Z</dcterms:created>
  <dcterms:modified xsi:type="dcterms:W3CDTF">2020-05-21T15:16:30Z</dcterms:modified>
</cp:coreProperties>
</file>