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311785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336550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9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4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p>
      <w:pPr>
        <w:spacing w:after="0" w:line="37" w:lineRule="exact"/>
        <w:rPr>
          <w:sz w:val="24"/>
          <w:szCs w:val="24"/>
          <w:color w:val="auto"/>
        </w:rPr>
      </w:pPr>
    </w:p>
    <w:p>
      <w:pPr>
        <w:ind w:left="340" w:hanging="320"/>
        <w:spacing w:after="0"/>
        <w:tabs>
          <w:tab w:leader="none" w:pos="3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 (d) OF THE SECURITIES EXCHANGE ACT OF 1934</w:t>
      </w:r>
    </w:p>
    <w:p>
      <w:pPr>
        <w:spacing w:after="0" w:line="2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1" w:lineRule="exact"/>
        <w:rPr>
          <w:sz w:val="24"/>
          <w:szCs w:val="24"/>
          <w:color w:val="auto"/>
        </w:rPr>
      </w:pPr>
    </w:p>
    <w:p>
      <w:pPr>
        <w:ind w:left="340" w:hanging="320"/>
        <w:spacing w:after="0"/>
        <w:tabs>
          <w:tab w:leader="none" w:pos="3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w:t>
            </w:r>
          </w:p>
        </w:tc>
        <w:tc>
          <w:tcPr>
            <w:tcW w:w="860" w:type="dxa"/>
            <w:vAlign w:val="bottom"/>
            <w:tcBorders>
              <w:bottom w:val="single" w:sz="8" w:color="auto"/>
            </w:tcBorders>
          </w:tcPr>
          <w:p>
            <w:pPr>
              <w:spacing w:after="0"/>
              <w:rPr>
                <w:sz w:val="17"/>
                <w:szCs w:val="17"/>
                <w:color w:val="auto"/>
              </w:rPr>
            </w:pPr>
          </w:p>
        </w:tc>
        <w:tc>
          <w:tcPr>
            <w:tcW w:w="9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32"/>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Commission file number: 0-19254</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84"/>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41"/>
                <w:szCs w:val="41"/>
                <w:b w:val="1"/>
                <w:bCs w:val="1"/>
                <w:color w:val="auto"/>
              </w:rPr>
              <w:t>LIFETIME BRANDS, INC.</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7"/>
        </w:trPr>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2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2"/>
        </w:trPr>
        <w:tc>
          <w:tcPr>
            <w:tcW w:w="1220" w:type="dxa"/>
            <w:vAlign w:val="bottom"/>
          </w:tcPr>
          <w:p>
            <w:pPr>
              <w:spacing w:after="0"/>
              <w:rPr>
                <w:sz w:val="21"/>
                <w:szCs w:val="21"/>
                <w:color w:val="auto"/>
              </w:rPr>
            </w:pPr>
          </w:p>
        </w:tc>
        <w:tc>
          <w:tcPr>
            <w:tcW w:w="1900" w:type="dxa"/>
            <w:vAlign w:val="bottom"/>
            <w:gridSpan w:val="2"/>
          </w:tcPr>
          <w:p>
            <w:pPr>
              <w:jc w:val="center"/>
              <w:ind w:left="104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0" w:type="dxa"/>
            <w:vAlign w:val="bottom"/>
            <w:gridSpan w:val="5"/>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w w:val="99"/>
              </w:rPr>
              <w:t>11-2682486</w:t>
            </w: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40"/>
        </w:trPr>
        <w:tc>
          <w:tcPr>
            <w:tcW w:w="1220" w:type="dxa"/>
            <w:vAlign w:val="bottom"/>
          </w:tcPr>
          <w:p>
            <w:pPr>
              <w:spacing w:after="0"/>
              <w:rPr>
                <w:sz w:val="12"/>
                <w:szCs w:val="12"/>
                <w:color w:val="auto"/>
              </w:rPr>
            </w:pPr>
          </w:p>
        </w:tc>
        <w:tc>
          <w:tcPr>
            <w:tcW w:w="5440" w:type="dxa"/>
            <w:vAlign w:val="bottom"/>
            <w:gridSpan w:val="6"/>
          </w:tcPr>
          <w:p>
            <w:pPr>
              <w:jc w:val="center"/>
              <w:ind w:right="2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tcPr>
          <w:p>
            <w:pPr>
              <w:jc w:val="center"/>
              <w:ind w:left="151"/>
              <w:spacing w:after="0" w:line="141"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2"/>
        </w:trPr>
        <w:tc>
          <w:tcPr>
            <w:tcW w:w="1220" w:type="dxa"/>
            <w:vAlign w:val="bottom"/>
          </w:tcPr>
          <w:p>
            <w:pPr>
              <w:spacing w:after="0"/>
              <w:rPr>
                <w:sz w:val="15"/>
                <w:szCs w:val="15"/>
                <w:color w:val="auto"/>
              </w:rPr>
            </w:pPr>
          </w:p>
        </w:tc>
        <w:tc>
          <w:tcPr>
            <w:tcW w:w="5440" w:type="dxa"/>
            <w:vAlign w:val="bottom"/>
            <w:gridSpan w:val="6"/>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7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71"/>
              <w:spacing w:after="0"/>
              <w:rPr>
                <w:sz w:val="20"/>
                <w:szCs w:val="20"/>
                <w:color w:val="auto"/>
              </w:rPr>
            </w:pPr>
            <w:r>
              <w:rPr>
                <w:rFonts w:ascii="Times New Roman" w:cs="Times New Roman" w:eastAsia="Times New Roman" w:hAnsi="Times New Roman"/>
                <w:sz w:val="17"/>
                <w:szCs w:val="17"/>
                <w:b w:val="1"/>
                <w:bCs w:val="1"/>
                <w:color w:val="auto"/>
                <w:w w:val="99"/>
              </w:rPr>
              <w:t>1000 Stewart Avenue, Garden City, New York 11530</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including Zip Code)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98"/>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4"/>
          </w:tcPr>
          <w:p>
            <w:pPr>
              <w:jc w:val="center"/>
              <w:ind w:left="1375"/>
              <w:spacing w:after="0"/>
              <w:rPr>
                <w:sz w:val="20"/>
                <w:szCs w:val="20"/>
                <w:color w:val="auto"/>
              </w:rPr>
            </w:pPr>
            <w:r>
              <w:rPr>
                <w:rFonts w:ascii="Times New Roman" w:cs="Times New Roman" w:eastAsia="Times New Roman" w:hAnsi="Times New Roman"/>
                <w:sz w:val="17"/>
                <w:szCs w:val="17"/>
                <w:b w:val="1"/>
                <w:bCs w:val="1"/>
                <w:color w:val="auto"/>
              </w:rPr>
              <w:t>(516) 683-6000</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gridSpan w:val="8"/>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2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122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Common Stock, $.01 par value</w:t>
            </w:r>
          </w:p>
        </w:tc>
        <w:tc>
          <w:tcPr>
            <w:tcW w:w="1940" w:type="dxa"/>
            <w:vAlign w:val="bottom"/>
          </w:tcPr>
          <w:p>
            <w:pPr>
              <w:spacing w:after="0"/>
              <w:rPr>
                <w:sz w:val="14"/>
                <w:szCs w:val="14"/>
                <w:color w:val="auto"/>
              </w:rPr>
            </w:pPr>
          </w:p>
        </w:tc>
        <w:tc>
          <w:tcPr>
            <w:tcW w:w="160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7"/>
              </w:rPr>
              <w:t>LCUT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The Nasdaq Global Select Market</w:t>
            </w:r>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1"/>
        </w:trPr>
        <w:tc>
          <w:tcPr>
            <w:tcW w:w="12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Pr>
          <w:p>
            <w:pPr>
              <w:spacing w:after="0"/>
              <w:rPr>
                <w:sz w:val="21"/>
                <w:szCs w:val="21"/>
                <w:color w:val="auto"/>
              </w:rPr>
            </w:pPr>
          </w:p>
        </w:tc>
        <w:tc>
          <w:tcPr>
            <w:tcW w:w="3540" w:type="dxa"/>
            <w:vAlign w:val="bottom"/>
            <w:gridSpan w:val="4"/>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180" w:type="dxa"/>
            <w:vAlign w:val="bottom"/>
          </w:tcPr>
          <w:p>
            <w:pPr>
              <w:spacing w:after="0"/>
              <w:rPr>
                <w:sz w:val="21"/>
                <w:szCs w:val="21"/>
                <w:color w:val="auto"/>
              </w:rPr>
            </w:pPr>
          </w:p>
        </w:tc>
        <w:tc>
          <w:tcPr>
            <w:tcW w:w="3560" w:type="dxa"/>
            <w:vAlign w:val="bottom"/>
            <w:gridSpan w:val="6"/>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50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71"/>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6"/>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89"/>
        </w:trPr>
        <w:tc>
          <w:tcPr>
            <w:tcW w:w="8680" w:type="dxa"/>
            <w:vAlign w:val="bottom"/>
            <w:gridSpan w:val="11"/>
          </w:tcPr>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w:t>
            </w:r>
          </w:p>
        </w:tc>
        <w:tc>
          <w:tcPr>
            <w:tcW w:w="1340" w:type="dxa"/>
            <w:vAlign w:val="bottom"/>
            <w:gridSpan w:val="2"/>
          </w:tcPr>
          <w:p>
            <w:pPr>
              <w:ind w:left="100"/>
              <w:spacing w:after="0" w:line="211" w:lineRule="exact"/>
              <w:rPr>
                <w:sz w:val="20"/>
                <w:szCs w:val="20"/>
                <w:color w:val="auto"/>
              </w:rPr>
            </w:pPr>
            <w:r>
              <w:rPr>
                <w:rFonts w:ascii="MS PGothic" w:cs="MS PGothic" w:eastAsia="MS PGothic" w:hAnsi="MS PGothic"/>
                <w:sz w:val="21"/>
                <w:szCs w:val="21"/>
                <w:color w:val="auto"/>
              </w:rPr>
              <w:t>☒</w:t>
            </w:r>
          </w:p>
        </w:tc>
      </w:tr>
      <w:tr>
        <w:trPr>
          <w:trHeight w:val="451"/>
        </w:trPr>
        <w:tc>
          <w:tcPr>
            <w:tcW w:w="86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tc>
        <w:tc>
          <w:tcPr>
            <w:tcW w:w="3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1340" w:type="dxa"/>
            <w:vAlign w:val="bottom"/>
            <w:gridSpan w:val="2"/>
          </w:tcPr>
          <w:p>
            <w:pPr>
              <w:spacing w:after="0" w:line="230"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tc>
      </w:tr>
    </w:tbl>
    <w:p>
      <w:pPr>
        <w:spacing w:after="0" w:line="16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line="25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9" w:lineRule="exact"/>
        <w:rPr>
          <w:sz w:val="24"/>
          <w:szCs w:val="24"/>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26"/>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89"/>
        </w:trPr>
        <w:tc>
          <w:tcPr>
            <w:tcW w:w="1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ind w:left="27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54" w:lineRule="exact"/>
        <w:rPr>
          <w:sz w:val="24"/>
          <w:szCs w:val="24"/>
          <w:color w:val="auto"/>
        </w:rPr>
      </w:pPr>
    </w:p>
    <w:p>
      <w:pPr>
        <w:ind w:right="44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4" w:lineRule="exact"/>
        <w:rPr>
          <w:sz w:val="24"/>
          <w:szCs w:val="24"/>
          <w:color w:val="auto"/>
        </w:rPr>
      </w:pPr>
    </w:p>
    <w:p>
      <w:pPr>
        <w:jc w:val="both"/>
        <w:ind w:right="14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color w:val="auto"/>
        </w:rPr>
        <w:t>☒</w:t>
      </w:r>
    </w:p>
    <w:p>
      <w:pPr>
        <w:sectPr>
          <w:pgSz w:w="11900" w:h="16838" w:orient="portrait"/>
          <w:cols w:equalWidth="0" w:num="1">
            <w:col w:w="11200"/>
          </w:cols>
          <w:pgMar w:left="320" w:top="226" w:right="379" w:bottom="0" w:gutter="0" w:footer="0" w:header="0"/>
        </w:sectPr>
      </w:pPr>
    </w:p>
    <w:bookmarkStart w:id="1" w:name="page2"/>
    <w:bookmarkEnd w:id="1"/>
    <w:p>
      <w:pPr>
        <w:ind w:right="280"/>
        <w:spacing w:after="0" w:line="228"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4"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1" w:lineRule="exact"/>
        <w:rPr>
          <w:sz w:val="20"/>
          <w:szCs w:val="20"/>
          <w:color w:val="auto"/>
        </w:rPr>
      </w:pPr>
    </w:p>
    <w:p>
      <w:pPr>
        <w:spacing w:after="0" w:line="230" w:lineRule="exact"/>
        <w:tabs>
          <w:tab w:leader="none" w:pos="7240" w:val="left"/>
          <w:tab w:leader="none" w:pos="790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0"/>
          <w:szCs w:val="20"/>
          <w:color w:val="auto"/>
        </w:rPr>
        <w:t>☒</w:t>
      </w:r>
    </w:p>
    <w:p>
      <w:pPr>
        <w:spacing w:after="0" w:line="26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aggregate market value of 12,721,286 shares of the voting common equity held by non-affiliates of the registrant as of June 30, 2023, the last day of the registrant’s most recently completed second fiscal quarter, was approximately $71,875,266. Directors, executive officers, and trusts controlled by said individuals are considered affiliates for the purpose of this calculation and may not necessarily be considered affiliates for any other purpose.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common stock, par value $0.01 per share, outstanding as of February 29, 2024, was 21,808,141.</w:t>
      </w: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Parts of the registrant’s definitive proxy statement for the 2024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691515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1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116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9"/>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w w:val="99"/>
              </w:rPr>
              <w:t>FORM 10-K</w:t>
            </w:r>
          </w:p>
        </w:tc>
        <w:tc>
          <w:tcPr>
            <w:tcW w:w="1160" w:type="dxa"/>
            <w:vAlign w:val="bottom"/>
          </w:tcPr>
          <w:p>
            <w:pPr>
              <w:spacing w:after="0"/>
              <w:rPr>
                <w:sz w:val="19"/>
                <w:szCs w:val="19"/>
                <w:color w:val="auto"/>
              </w:rPr>
            </w:pPr>
          </w:p>
        </w:tc>
      </w:tr>
      <w:tr>
        <w:trPr>
          <w:trHeight w:val="30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6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4"/>
              </w:rPr>
              <w:t>PART I</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Business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1A.</w:t>
            </w:r>
          </w:p>
        </w:tc>
        <w:tc>
          <w:tcPr>
            <w:tcW w:w="16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840" w:type="dxa"/>
            <w:vAlign w:val="bottom"/>
            <w:gridSpan w:val="17"/>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1B.</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1C.</w:t>
            </w:r>
          </w:p>
        </w:tc>
        <w:tc>
          <w:tcPr>
            <w:tcW w:w="160" w:type="dxa"/>
            <w:vAlign w:val="bottom"/>
          </w:tcPr>
          <w:p>
            <w:pPr>
              <w:spacing w:after="0"/>
              <w:rPr>
                <w:sz w:val="17"/>
                <w:szCs w:val="17"/>
                <w:color w:val="auto"/>
              </w:rPr>
            </w:pPr>
          </w:p>
        </w:tc>
        <w:tc>
          <w:tcPr>
            <w:tcW w:w="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Cybersecurity</w:t>
            </w:r>
          </w:p>
        </w:tc>
        <w:tc>
          <w:tcPr>
            <w:tcW w:w="980" w:type="dxa"/>
            <w:vAlign w:val="bottom"/>
            <w:tcBorders>
              <w:top w:val="single" w:sz="8" w:color="0000FF"/>
            </w:tcBorders>
            <w:gridSpan w:val="4"/>
          </w:tcPr>
          <w:p>
            <w:pPr>
              <w:spacing w:after="0"/>
              <w:rPr>
                <w:sz w:val="17"/>
                <w:szCs w:val="17"/>
                <w:color w:val="auto"/>
              </w:rPr>
            </w:pPr>
          </w:p>
        </w:tc>
        <w:tc>
          <w:tcPr>
            <w:tcW w:w="6760" w:type="dxa"/>
            <w:vAlign w:val="bottom"/>
            <w:gridSpan w:val="1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w:t>
            </w:r>
          </w:p>
        </w:tc>
        <w:tc>
          <w:tcPr>
            <w:tcW w:w="160" w:type="dxa"/>
            <w:vAlign w:val="bottom"/>
          </w:tcPr>
          <w:p>
            <w:pPr>
              <w:spacing w:after="0"/>
              <w:rPr>
                <w:sz w:val="17"/>
                <w:szCs w:val="17"/>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8000" w:type="dxa"/>
            <w:vAlign w:val="bottom"/>
            <w:gridSpan w:val="19"/>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r>
      <w:tr>
        <w:trPr>
          <w:trHeight w:val="457"/>
        </w:trPr>
        <w:tc>
          <w:tcPr>
            <w:tcW w:w="2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0000FF"/>
                <w:w w:val="94"/>
              </w:rPr>
              <w:t>PART II</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w:t>
            </w:r>
          </w:p>
        </w:tc>
        <w:tc>
          <w:tcPr>
            <w:tcW w:w="160" w:type="dxa"/>
            <w:vAlign w:val="bottom"/>
          </w:tcPr>
          <w:p>
            <w:pPr>
              <w:spacing w:after="0"/>
              <w:rPr>
                <w:sz w:val="17"/>
                <w:szCs w:val="17"/>
                <w:color w:val="auto"/>
              </w:rPr>
            </w:pPr>
          </w:p>
        </w:tc>
        <w:tc>
          <w:tcPr>
            <w:tcW w:w="77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[Reserved]</w:t>
            </w:r>
          </w:p>
        </w:tc>
        <w:tc>
          <w:tcPr>
            <w:tcW w:w="9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w:t>
            </w: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w:t>
            </w:r>
          </w:p>
        </w:tc>
        <w:tc>
          <w:tcPr>
            <w:tcW w:w="160" w:type="dxa"/>
            <w:vAlign w:val="bottom"/>
          </w:tcPr>
          <w:p>
            <w:pPr>
              <w:spacing w:after="0"/>
              <w:rPr>
                <w:sz w:val="17"/>
                <w:szCs w:val="17"/>
                <w:color w:val="auto"/>
              </w:rPr>
            </w:pPr>
          </w:p>
        </w:tc>
        <w:tc>
          <w:tcPr>
            <w:tcW w:w="6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540" w:type="dxa"/>
            <w:vAlign w:val="bottom"/>
            <w:gridSpan w:val="4"/>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7A.</w:t>
            </w:r>
          </w:p>
        </w:tc>
        <w:tc>
          <w:tcPr>
            <w:tcW w:w="160" w:type="dxa"/>
            <w:vAlign w:val="bottom"/>
          </w:tcPr>
          <w:p>
            <w:pPr>
              <w:spacing w:after="0"/>
              <w:rPr>
                <w:sz w:val="17"/>
                <w:szCs w:val="17"/>
                <w:color w:val="auto"/>
              </w:rPr>
            </w:pPr>
          </w:p>
        </w:tc>
        <w:tc>
          <w:tcPr>
            <w:tcW w:w="4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540" w:type="dxa"/>
            <w:vAlign w:val="bottom"/>
            <w:gridSpan w:val="7"/>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w:t>
            </w:r>
          </w:p>
        </w:tc>
        <w:tc>
          <w:tcPr>
            <w:tcW w:w="160" w:type="dxa"/>
            <w:vAlign w:val="bottom"/>
          </w:tcPr>
          <w:p>
            <w:pPr>
              <w:spacing w:after="0"/>
              <w:rPr>
                <w:sz w:val="17"/>
                <w:szCs w:val="17"/>
                <w:color w:val="auto"/>
              </w:rPr>
            </w:pPr>
          </w:p>
        </w:tc>
        <w:tc>
          <w:tcPr>
            <w:tcW w:w="31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520" w:type="dxa"/>
            <w:vAlign w:val="bottom"/>
            <w:gridSpan w:val="9"/>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w:t>
            </w:r>
          </w:p>
        </w:tc>
        <w:tc>
          <w:tcPr>
            <w:tcW w:w="160" w:type="dxa"/>
            <w:vAlign w:val="bottom"/>
          </w:tcPr>
          <w:p>
            <w:pPr>
              <w:spacing w:after="0"/>
              <w:rPr>
                <w:sz w:val="17"/>
                <w:szCs w:val="17"/>
                <w:color w:val="auto"/>
              </w:rPr>
            </w:pPr>
          </w:p>
        </w:tc>
        <w:tc>
          <w:tcPr>
            <w:tcW w:w="61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520" w:type="dxa"/>
            <w:vAlign w:val="bottom"/>
            <w:gridSpan w:val="3"/>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9A.</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9B.</w:t>
            </w:r>
          </w:p>
        </w:tc>
        <w:tc>
          <w:tcPr>
            <w:tcW w:w="160" w:type="dxa"/>
            <w:vAlign w:val="bottom"/>
          </w:tcPr>
          <w:p>
            <w:pPr>
              <w:spacing w:after="0"/>
              <w:rPr>
                <w:sz w:val="17"/>
                <w:szCs w:val="17"/>
                <w:color w:val="auto"/>
              </w:rPr>
            </w:pPr>
          </w:p>
        </w:tc>
        <w:tc>
          <w:tcPr>
            <w:tcW w:w="1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020" w:type="dxa"/>
            <w:vAlign w:val="bottom"/>
            <w:gridSpan w:val="14"/>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9C.</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457"/>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11.</w:t>
            </w:r>
          </w:p>
        </w:tc>
        <w:tc>
          <w:tcPr>
            <w:tcW w:w="16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Executive Compensation</w:t>
            </w:r>
          </w:p>
        </w:tc>
        <w:tc>
          <w:tcPr>
            <w:tcW w:w="2180" w:type="dxa"/>
            <w:vAlign w:val="bottom"/>
            <w:tcBorders>
              <w:top w:val="single" w:sz="8" w:color="0000FF"/>
            </w:tcBorders>
            <w:gridSpan w:val="5"/>
          </w:tcPr>
          <w:p>
            <w:pPr>
              <w:spacing w:after="0"/>
              <w:rPr>
                <w:sz w:val="17"/>
                <w:szCs w:val="17"/>
                <w:color w:val="auto"/>
              </w:rPr>
            </w:pPr>
          </w:p>
        </w:tc>
        <w:tc>
          <w:tcPr>
            <w:tcW w:w="4800" w:type="dxa"/>
            <w:vAlign w:val="bottom"/>
            <w:gridSpan w:val="8"/>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w:t>
            </w:r>
          </w:p>
        </w:tc>
        <w:tc>
          <w:tcPr>
            <w:tcW w:w="160" w:type="dxa"/>
            <w:vAlign w:val="bottom"/>
          </w:tcPr>
          <w:p>
            <w:pPr>
              <w:spacing w:after="0"/>
              <w:rPr>
                <w:sz w:val="17"/>
                <w:szCs w:val="17"/>
                <w:color w:val="auto"/>
              </w:rPr>
            </w:pPr>
          </w:p>
        </w:tc>
        <w:tc>
          <w:tcPr>
            <w:tcW w:w="6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7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w:t>
            </w:r>
          </w:p>
        </w:tc>
        <w:tc>
          <w:tcPr>
            <w:tcW w:w="160" w:type="dxa"/>
            <w:vAlign w:val="bottom"/>
          </w:tcPr>
          <w:p>
            <w:pPr>
              <w:spacing w:after="0"/>
              <w:rPr>
                <w:sz w:val="17"/>
                <w:szCs w:val="17"/>
                <w:color w:val="auto"/>
              </w:rPr>
            </w:pPr>
          </w:p>
        </w:tc>
        <w:tc>
          <w:tcPr>
            <w:tcW w:w="5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35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457"/>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Item</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w:t>
            </w:r>
          </w:p>
        </w:tc>
        <w:tc>
          <w:tcPr>
            <w:tcW w:w="160" w:type="dxa"/>
            <w:vAlign w:val="bottom"/>
          </w:tcPr>
          <w:p>
            <w:pPr>
              <w:spacing w:after="0"/>
              <w:rPr>
                <w:sz w:val="17"/>
                <w:szCs w:val="17"/>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96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tcBorders>
              <w:top w:val="single" w:sz="8" w:color="0000FF"/>
            </w:tcBorders>
            <w:gridSpan w:val="11"/>
          </w:tcPr>
          <w:p>
            <w:pPr>
              <w:spacing w:after="0"/>
              <w:rPr>
                <w:sz w:val="24"/>
                <w:szCs w:val="24"/>
                <w:color w:val="auto"/>
              </w:rPr>
            </w:pPr>
          </w:p>
        </w:tc>
        <w:tc>
          <w:tcPr>
            <w:tcW w:w="1680" w:type="dxa"/>
            <w:vAlign w:val="bottom"/>
            <w:gridSpan w:val="4"/>
          </w:tcPr>
          <w:p>
            <w:pPr>
              <w:jc w:val="center"/>
              <w:ind w:left="714"/>
              <w:spacing w:after="0"/>
              <w:rPr>
                <w:sz w:val="20"/>
                <w:szCs w:val="20"/>
                <w:color w:val="auto"/>
              </w:rPr>
            </w:pPr>
            <w:r>
              <w:rPr>
                <w:rFonts w:ascii="Times New Roman" w:cs="Times New Roman" w:eastAsia="Times New Roman" w:hAnsi="Times New Roman"/>
                <w:sz w:val="17"/>
                <w:szCs w:val="17"/>
                <w:color w:val="auto"/>
                <w:w w:val="93"/>
              </w:rPr>
              <w:t>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 xml:space="preserve">This Annual Report on Form 10-K of Lifetime Brands, Inc. (the “Company” and, unless the context otherwise requires, references to the “Company” shall include its consolidated subsidiaries) contains “forward-looking statements” within the meaning of Section 27A of the Securities Act of 1933, as amended (the “Securities Act”), and Section 21E of the Securities Exchange Act of 1934, as amended (the “Exchange Act”). These forward-looking statements include information concerning, among other things,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projections, various assumptions, intentions and/or beliefs related to future events or occurrences. The Company believes there is a reasonable basis for its expectations and assumptions, but there can be no assurance that the Company will realize its expectations or that the Company’s assumptions will prove correct.</w:t>
      </w:r>
    </w:p>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The timing of certain events and circumstances and known and unknown risks and uncertainties could cause our actual results or performance to be materially different from those expressed or implied by these forward-looking statements. Accordingly, you should not place undue reliance on these forward-looking statements in deciding whether to invest in our securities.</w:t>
      </w:r>
    </w:p>
    <w:p>
      <w:pPr>
        <w:spacing w:after="0" w:line="175"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Annual Report on Form 10-K.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are subject to a variety of risks and uncertainties. The following is a summary of the principal risks that we deem material to an investment in our common stock, all of which are more fully described in, and should be read in conjunction with, Item 1A. “Risk Factors”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risks</w:t>
      </w:r>
    </w:p>
    <w:p>
      <w:pPr>
        <w:spacing w:after="0" w:line="53" w:lineRule="exact"/>
        <w:rPr>
          <w:sz w:val="20"/>
          <w:szCs w:val="20"/>
          <w:color w:val="auto"/>
        </w:rPr>
      </w:pPr>
    </w:p>
    <w:p>
      <w:pPr>
        <w:ind w:left="620" w:hanging="307"/>
        <w:spacing w:after="0" w:line="235"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business may be materially adversely affected by market conditions and by global and economic conditions and other factors beyond its control.</w:t>
      </w:r>
    </w:p>
    <w:p>
      <w:pPr>
        <w:spacing w:after="0" w:line="23" w:lineRule="exact"/>
        <w:rPr>
          <w:rFonts w:ascii="Times New Roman" w:cs="Times New Roman" w:eastAsia="Times New Roman" w:hAnsi="Times New Roman"/>
          <w:sz w:val="21"/>
          <w:szCs w:val="21"/>
          <w:color w:val="auto"/>
        </w:rPr>
      </w:pPr>
    </w:p>
    <w:p>
      <w:pPr>
        <w:ind w:left="620" w:right="440" w:hanging="307"/>
        <w:spacing w:after="0" w:line="235"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results of operations could be negatively impacted by inflation or deflation in supply chain costs, including raw materials, sourcing, transportation and energy, and other price fluctuations caused by factors beyond its control.</w:t>
      </w:r>
    </w:p>
    <w:p>
      <w:pPr>
        <w:spacing w:after="0" w:line="23" w:lineRule="exact"/>
        <w:rPr>
          <w:rFonts w:ascii="Times New Roman" w:cs="Times New Roman" w:eastAsia="Times New Roman" w:hAnsi="Times New Roman"/>
          <w:sz w:val="21"/>
          <w:szCs w:val="21"/>
          <w:color w:val="auto"/>
        </w:rPr>
      </w:pPr>
    </w:p>
    <w:p>
      <w:pPr>
        <w:ind w:left="620" w:hanging="307"/>
        <w:spacing w:after="0" w:line="242"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business may be materially adversely affected by the imposition of tariffs and other trade policies implemented by the U.S. and other governments.</w:t>
      </w:r>
    </w:p>
    <w:p>
      <w:pPr>
        <w:spacing w:after="0" w:line="5"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Legislative or regulatory initiatives related to climate change could have a material adverse effect on our business.</w:t>
      </w:r>
    </w:p>
    <w:p>
      <w:pPr>
        <w:spacing w:after="0" w:line="21" w:lineRule="exact"/>
        <w:rPr>
          <w:rFonts w:ascii="Times New Roman" w:cs="Times New Roman" w:eastAsia="Times New Roman" w:hAnsi="Times New Roman"/>
          <w:sz w:val="21"/>
          <w:szCs w:val="21"/>
          <w:color w:val="auto"/>
        </w:rPr>
      </w:pPr>
    </w:p>
    <w:p>
      <w:pPr>
        <w:ind w:left="620" w:hanging="307"/>
        <w:spacing w:after="0" w:line="235"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risks</w:t>
      </w:r>
    </w:p>
    <w:p>
      <w:pPr>
        <w:spacing w:after="0" w:line="35"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has substantial indebtedness and the highly seasonal nature of the Company’s business impacts its borrowing needs.</w:t>
      </w:r>
    </w:p>
    <w:p>
      <w:pPr>
        <w:spacing w:after="0" w:line="21"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failure to meet certain covenants or comply with other requirements of its Debt Agreements (as defined below) may materially and adversely affect the Company’s assets, financial position and cash flows.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borrowings are subject to interest rate fluctuations and an increase in interest rates could adversely affect the Company’s financial results.</w:t>
      </w:r>
    </w:p>
    <w:p>
      <w:pPr>
        <w:spacing w:after="0" w:line="3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inability to complete future acquisitions or strategic alliances and/or integrate acquired businesses could have a material adverse effect on the Company’s business and results of operations.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Foreign exchange variability and currency controls could materially adversely affect the Company’s operating results and financial condition.</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business requires it to maintain large fixed costs that can affect its profitability.</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Cost reduction efforts may not be successful and restructuring benefits may not be realized.</w:t>
      </w:r>
    </w:p>
    <w:p>
      <w:pPr>
        <w:spacing w:after="0" w:line="35"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If the Company’s goodwill or other long-term assets become impaired, the Company will be required to record impairment charges, which may be significant.</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projections of product demand, sales and net income are highly subjective in nature and the Company’s future sales and net income could vary materially from the Company’s projections.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Increases in the cost of employee benefits could materially adversely impact the Company’s financial results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risks</w:t>
      </w:r>
    </w:p>
    <w:p>
      <w:pPr>
        <w:spacing w:after="0" w:line="53" w:lineRule="exact"/>
        <w:rPr>
          <w:sz w:val="20"/>
          <w:szCs w:val="20"/>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Company’s customer purchasing practices could materially adversely affect the Company’s operating results.</w:t>
      </w:r>
    </w:p>
    <w:p>
      <w:pPr>
        <w:spacing w:after="0" w:line="3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at the Company’s large customers, or actions taken by them, and consolidation in the retail industry could materially adversely affect the Company’s operating results.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Demand for new products and the inability to develop and introduce new competitive products at favorable profit margins could adversely affect the Company’s performance and prospects for future growth.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risks</w:t>
      </w:r>
    </w:p>
    <w:p>
      <w:pPr>
        <w:spacing w:after="0" w:line="53" w:lineRule="exact"/>
        <w:rPr>
          <w:sz w:val="20"/>
          <w:szCs w:val="20"/>
          <w:color w:val="auto"/>
        </w:rPr>
      </w:pPr>
    </w:p>
    <w:p>
      <w:pPr>
        <w:ind w:left="620" w:right="40" w:hanging="307"/>
        <w:spacing w:after="0" w:line="235" w:lineRule="auto"/>
        <w:tabs>
          <w:tab w:leader="none" w:pos="6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reliance on international suppliers subjects the Company to regional regulatory, man-made or natural disasters, health epidemics, political or military conflicts, and economic and foreign currency exchange risk that could materially and adversely affect the Company’s operating results.</w:t>
      </w:r>
    </w:p>
    <w:p>
      <w:pPr>
        <w:spacing w:after="0" w:line="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international trade activity subjects it to transportation risks.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depends on third-party manufacturers to produce the majority of its products, which presents quality control risks to the Company.</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product costs are subject to price fluctuation.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risks</w:t>
      </w:r>
    </w:p>
    <w:p>
      <w:pPr>
        <w:spacing w:after="0" w:line="35" w:lineRule="exact"/>
        <w:rPr>
          <w:sz w:val="20"/>
          <w:szCs w:val="20"/>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loss of certain licenses or material changes in royalty rates could materially adversely affect the Company’s operating margin and cash flow.</w:t>
      </w:r>
    </w:p>
    <w:p>
      <w:pPr>
        <w:spacing w:after="0" w:line="21"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may not be able to adequately establish or protect its intellectual property rights, and the infringement or loss of the Company’s intellectual property rights could harm its business.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If the Company is unable to protect the confidentiality of its proprietary information and know-how, the value of the Company’s technology, products and services could be harmed significantly.</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brands are subject to reputational risks and damage to the Company’s brands or reputation could adversely affect its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regulatory risks</w:t>
      </w:r>
    </w:p>
    <w:p>
      <w:pPr>
        <w:spacing w:after="0" w:line="35" w:lineRule="exact"/>
        <w:rPr>
          <w:sz w:val="20"/>
          <w:szCs w:val="20"/>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Interruptions in the Company’s operations caused by outside forces could cause material losses.</w:t>
      </w:r>
    </w:p>
    <w:p>
      <w:pPr>
        <w:spacing w:after="0" w:line="21"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international operations present special challenges that the Company may not be able to meet, and this could materially and adversely affect the Company’s financial results.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New and future laws and regulations governing the Internet and e-commerce could have a material adverse effect on the Company’s business, results of operations and financial condition.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ind w:left="620" w:hanging="307"/>
        <w:spacing w:after="0" w:line="244"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Climate change, environmental, social and governance and sustainability initiatives may result in regulatory or structural industry changes that could require significant operational changes and expenditures, reduce demand for the Company's products and adversely affect our business, financial condition, and results of operations. A failure in or compromise of the Company’s operating systems or infrastructure or those of third parties could disrupt the Company’s business and cause losses.</w:t>
      </w:r>
    </w:p>
    <w:p>
      <w:pPr>
        <w:spacing w:after="0" w:line="22"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is subject to cyber security and ransomware risks and may incur increasing costs in efforts to minimize those risks and to comply with regulatory standards.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sells consumer products which involve an inherent risk of product liability claims.</w:t>
      </w:r>
    </w:p>
    <w:p>
      <w:pPr>
        <w:spacing w:after="0" w:line="3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may incur material costs due to environmental liabilities which could have a material adverse effect on the Company’s business, financial condition and results of operations.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Company’s executives and other key employees are critical to the Company’s success. The loss of and/or failure to attract and maintain its highly skilled employees could adversely affect the Company’s business.</w:t>
      </w:r>
    </w:p>
    <w:p>
      <w:pPr>
        <w:spacing w:after="0" w:line="2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As a result of the Company’s acquisition of Filament, Taylor Parent has significant influence over the Company and its interests may conflict with the Company’s or those of its stockholders in the future.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OTHER INFORMATION</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Times New Roman" w:cs="Times New Roman" w:eastAsia="Times New Roman" w:hAnsi="Times New Roman"/>
          <w:sz w:val="17"/>
          <w:szCs w:val="17"/>
          <w:i w:val="1"/>
          <w:iCs w:val="1"/>
          <w:u w:val="single" w:color="auto"/>
          <w:color w:val="auto"/>
        </w:rPr>
        <w:t>http://www.lifetimebrands.com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contained on this website is not a part of or incorporated by reference into this Annual Report. The Company makes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Times New Roman" w:cs="Times New Roman" w:eastAsia="Times New Roman" w:hAnsi="Times New Roman"/>
          <w:sz w:val="17"/>
          <w:szCs w:val="17"/>
          <w:i w:val="1"/>
          <w:iCs w:val="1"/>
          <w:u w:val="single" w:color="auto"/>
          <w:color w:val="auto"/>
        </w:rPr>
        <w:t>http://www.sec.gov</w:t>
      </w:r>
      <w:r>
        <w:rPr>
          <w:rFonts w:ascii="Times New Roman" w:cs="Times New Roman" w:eastAsia="Times New Roman" w:hAnsi="Times New Roman"/>
          <w:sz w:val="17"/>
          <w:szCs w:val="17"/>
          <w:i w:val="1"/>
          <w:iCs w:val="1"/>
          <w:color w:val="auto"/>
        </w:rPr>
        <w:t>.</w:t>
      </w:r>
    </w:p>
    <w:p>
      <w:pPr>
        <w:spacing w:after="0" w:line="179"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7"/>
          <w:szCs w:val="17"/>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The Company continually evaluates opportunities to expand the reach of its brands and to invest in other companies, both foreign and domestic, that own or license complementary brands.</w:t>
      </w:r>
    </w:p>
    <w:p>
      <w:pPr>
        <w:spacing w:after="0" w:line="15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The Company has a presence in international markets through subsidiaries and affiliate companies that are based outside of the United States. Lifetime Brands Europe Limited is a wholly-owned subsidiary doing business as Kitchen Craft. Kitchen Craft is a leading supplier of kitchenware and tableware products and accessories in the United Kingdom (“U.K.”) and in over 80 other countries. Lifetime Brands Europe Limited’s brand development and design teams, administrative teams, and distribution operate out of a state of the art facility in Aston, England.</w:t>
      </w:r>
    </w:p>
    <w:p>
      <w:pPr>
        <w:spacing w:after="0" w:line="1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also has a subsidiary in the People’s Republic of China (“China”) to supply kitchenware and tableware products to the Chinese market and a subsidiary based in Hong Kong to facilitate the sale of its products to Australia, other parts of Asia and smaller markets elsewhere in the world. The Company has a presence in Canada through a strategic alliance with a Canadian company to distribute many of the Company’s products in Canada.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 Delaware corporation, incorporated on December 22, 1983.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top brands and their respective product categories as of December 31, 2023 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Brand</w:t>
            </w: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Licensed/Owned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Category</w:t>
            </w:r>
          </w:p>
        </w:tc>
      </w:tr>
      <w:tr>
        <w:trPr>
          <w:trHeight w:val="32"/>
        </w:trPr>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09"/>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Farberware®</w:t>
            </w:r>
          </w:p>
        </w:tc>
        <w:tc>
          <w:tcPr>
            <w:tcW w:w="100" w:type="dxa"/>
            <w:vAlign w:val="bottom"/>
          </w:tcPr>
          <w:p>
            <w:pPr>
              <w:spacing w:after="0"/>
              <w:rPr>
                <w:sz w:val="18"/>
                <w:szCs w:val="18"/>
                <w:color w:val="auto"/>
              </w:rPr>
            </w:pPr>
          </w:p>
        </w:tc>
        <w:tc>
          <w:tcPr>
            <w:tcW w:w="1300" w:type="dxa"/>
            <w:vAlign w:val="bottom"/>
          </w:tcPr>
          <w:p>
            <w:pPr>
              <w:ind w:left="20"/>
              <w:spacing w:after="0" w:line="208" w:lineRule="exact"/>
              <w:rPr>
                <w:sz w:val="20"/>
                <w:szCs w:val="20"/>
                <w:color w:val="auto"/>
              </w:rPr>
            </w:pPr>
            <w:r>
              <w:rPr>
                <w:rFonts w:ascii="Times New Roman" w:cs="Times New Roman" w:eastAsia="Times New Roman" w:hAnsi="Times New Roman"/>
                <w:sz w:val="17"/>
                <w:szCs w:val="17"/>
                <w:color w:val="auto"/>
              </w:rPr>
              <w:t xml:space="preserve">Licensed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KitchenAid®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Licensed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Mikasa®</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Tableware and 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Taylor®</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 and 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Pfaltzgraff®</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 Tableware and 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BUILT NY®</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S'well®</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Solutions</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Fred® &amp; Friends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KitchenCraft®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Rabbit®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r>
        <w:trPr>
          <w:trHeight w:val="223"/>
        </w:trPr>
        <w:tc>
          <w:tcPr>
            <w:tcW w:w="21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Kamenstein®</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Kitchenware</w:t>
            </w:r>
          </w:p>
        </w:tc>
      </w:tr>
    </w:tbl>
    <w:p>
      <w:pPr>
        <w:spacing w:after="0" w:line="121" w:lineRule="exact"/>
        <w:rPr>
          <w:sz w:val="20"/>
          <w:szCs w:val="20"/>
          <w:color w:val="auto"/>
        </w:rPr>
      </w:pPr>
    </w:p>
    <w:p>
      <w:pPr>
        <w:ind w:left="460" w:right="400" w:hanging="457"/>
        <w:spacing w:after="0" w:line="217" w:lineRule="auto"/>
        <w:tabs>
          <w:tab w:leader="none" w:pos="44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has a royalty free license to utilize the Farberware® brand, primarily for its kitchenware products, for a term that expires in 2195, subject to earlier termination under certain circumstances.</w:t>
      </w:r>
    </w:p>
    <w:p>
      <w:pPr>
        <w:spacing w:after="0" w:line="20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With the exception of the Company’s sterling silver products, the Company sources almost all of its products from suppliers located outside the United States, primarily in China. The Company manufactures its sterling silver products at a leased facility in San Germán, Puerto Rico and fills canisters with spices and assembles spice racks at its owned distribution facility in Winchendon, Massachusetts.</w:t>
      </w: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The International segment consists of certain business operations conducted outside the U.S.</w:t>
      </w:r>
    </w:p>
    <w:p>
      <w:pPr>
        <w:spacing w:after="0" w:line="16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Additional information regarding the Company’s reportable segments is included in NOTE 13 — BUSINESS SEGMENTS of the Notes to the consolidated financial statements included in Item 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Company’s wholesale customers include mass market merchants, specialty stores, department stores, warehouse clubs, grocery stores, off-price retailers, food service distributors, food and beverage outlets, corporate sales and e-commerce.</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Company’s products are sold globally to a diverse customer base including mass market merchants (such as Walmart and Target), specialty stores (such as Williams Sonoma and Dunelm), department stores (such as Macy’s, Kohl’s and Belk), warehouse clubs (such as Costco, and BJs), grocery stores (such as Publix, Kroger, Meijer, and Winn-Dixie), off-price retailers (such as TJX Companies, Ross Stores and Big Lots), food service distributors (such as US Foods, Clark Food Service and Jetro), food and beverage outlets (such as Starbucks) and e-commerce (such as Amazon). The Company also does business with independent retailers, including through business-to-business websites aimed at independent retailers.</w:t>
      </w:r>
    </w:p>
    <w:p>
      <w:pPr>
        <w:spacing w:after="0" w:line="17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also operates its own consumer websites that provide information about the Company’s products and offer consumers the opportunity to purchase a limited selection of the Company’s products directly.</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2023, 2022 and 2021, Wal-Mart Stores, Inc., including Sam’s Club, (“Walmart”), accounted for 21%, 19% and 18% of consolidated net sales, respectively. During the years ended December 31, 2023, 2022, and 2021, sales to Costco Wholesale Corporation (“Costco”) accounted for 11%, 13%, and 12% of consolidated net sales. During the year ended December 31, 2023, 2022 and 2021, Amazon.com Inc., (“Amazon”), accounted for 11%, 11% and 12% of consolidated net sales. Sales to Costco and Amazon are included in the Company’s U.S. and International segments. No other customers accounted for 10% or more of the Company’s sales during these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11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Company sells its products directly to retailers and, to a lesser extent, to distributors. The Company also sells a limited quantity of the Company’s products to individual consumers and smaller retailers through its own websites. The Company operates distribution facilities at the following locations:</w:t>
      </w:r>
    </w:p>
    <w:tbl>
      <w:tblPr>
        <w:tblLayout w:type="fixed"/>
        <w:tblInd w:w="0" w:type="dxa"/>
        <w:tblCellMar>
          <w:top w:w="0" w:type="dxa"/>
          <w:left w:w="0" w:type="dxa"/>
          <w:bottom w:w="0" w:type="dxa"/>
          <w:right w:w="0" w:type="dxa"/>
        </w:tblCellMar>
      </w:tblPr>
      <w:tr>
        <w:trPr>
          <w:trHeight w:val="146"/>
        </w:trPr>
        <w:tc>
          <w:tcPr>
            <w:tcW w:w="20" w:type="dxa"/>
            <w:vAlign w:val="bottom"/>
            <w:vMerge w:val="restart"/>
          </w:tcPr>
          <w:p>
            <w:pPr>
              <w:spacing w:after="0"/>
              <w:rPr>
                <w:sz w:val="12"/>
                <w:szCs w:val="1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Location</w:t>
            </w:r>
          </w:p>
        </w:tc>
        <w:tc>
          <w:tcPr>
            <w:tcW w:w="9740" w:type="dxa"/>
            <w:vAlign w:val="bottom"/>
            <w:vMerge w:val="restart"/>
          </w:tcPr>
          <w:p>
            <w:pPr>
              <w:spacing w:after="0"/>
              <w:rPr>
                <w:sz w:val="12"/>
                <w:szCs w:val="12"/>
                <w:color w:val="auto"/>
              </w:rPr>
            </w:pPr>
          </w:p>
        </w:tc>
        <w:tc>
          <w:tcPr>
            <w:tcW w:w="96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Size</w:t>
            </w: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9740" w:type="dxa"/>
            <w:vAlign w:val="bottom"/>
            <w:vMerge w:val="continue"/>
          </w:tcPr>
          <w:p>
            <w:pPr>
              <w:spacing w:after="0"/>
              <w:rPr>
                <w:sz w:val="11"/>
                <w:szCs w:val="11"/>
                <w:color w:val="auto"/>
              </w:rPr>
            </w:pPr>
          </w:p>
        </w:tc>
        <w:tc>
          <w:tcPr>
            <w:tcW w:w="96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(square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Rialto, California</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703,000</w:t>
            </w:r>
          </w:p>
        </w:tc>
        <w:tc>
          <w:tcPr>
            <w:tcW w:w="0" w:type="dxa"/>
            <w:vAlign w:val="bottom"/>
          </w:tcPr>
          <w:p>
            <w:pPr>
              <w:spacing w:after="0"/>
              <w:rPr>
                <w:sz w:val="1"/>
                <w:szCs w:val="1"/>
                <w:color w:val="auto"/>
              </w:rPr>
            </w:pPr>
          </w:p>
        </w:tc>
      </w:tr>
      <w:tr>
        <w:trPr>
          <w:trHeight w:val="21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Robbinsville, New Jersey</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700,000</w:t>
            </w:r>
          </w:p>
        </w:tc>
        <w:tc>
          <w:tcPr>
            <w:tcW w:w="0" w:type="dxa"/>
            <w:vAlign w:val="bottom"/>
          </w:tcPr>
          <w:p>
            <w:pPr>
              <w:spacing w:after="0"/>
              <w:rPr>
                <w:sz w:val="1"/>
                <w:szCs w:val="1"/>
                <w:color w:val="auto"/>
              </w:rPr>
            </w:pPr>
          </w:p>
        </w:tc>
      </w:tr>
      <w:tr>
        <w:trPr>
          <w:trHeight w:val="219"/>
        </w:trPr>
        <w:tc>
          <w:tcPr>
            <w:tcW w:w="10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Aston, England</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228,000</w:t>
            </w:r>
          </w:p>
        </w:tc>
        <w:tc>
          <w:tcPr>
            <w:tcW w:w="0" w:type="dxa"/>
            <w:vAlign w:val="bottom"/>
          </w:tcPr>
          <w:p>
            <w:pPr>
              <w:spacing w:after="0"/>
              <w:rPr>
                <w:sz w:val="1"/>
                <w:szCs w:val="1"/>
                <w:color w:val="auto"/>
              </w:rPr>
            </w:pPr>
          </w:p>
        </w:tc>
      </w:tr>
      <w:tr>
        <w:trPr>
          <w:trHeight w:val="21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Winchendon, Massachusetts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175,000</w:t>
            </w:r>
          </w:p>
        </w:tc>
        <w:tc>
          <w:tcPr>
            <w:tcW w:w="0" w:type="dxa"/>
            <w:vAlign w:val="bottom"/>
          </w:tcPr>
          <w:p>
            <w:pPr>
              <w:spacing w:after="0"/>
              <w:rPr>
                <w:sz w:val="1"/>
                <w:szCs w:val="1"/>
                <w:color w:val="auto"/>
              </w:rPr>
            </w:pPr>
          </w:p>
        </w:tc>
      </w:tr>
      <w:tr>
        <w:trPr>
          <w:trHeight w:val="219"/>
        </w:trPr>
        <w:tc>
          <w:tcPr>
            <w:tcW w:w="10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Las Cruces, New Mexico</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47,000</w:t>
            </w:r>
          </w:p>
        </w:tc>
        <w:tc>
          <w:tcPr>
            <w:tcW w:w="0" w:type="dxa"/>
            <w:vAlign w:val="bottom"/>
          </w:tcPr>
          <w:p>
            <w:pPr>
              <w:spacing w:after="0"/>
              <w:rPr>
                <w:sz w:val="1"/>
                <w:szCs w:val="1"/>
                <w:color w:val="auto"/>
              </w:rPr>
            </w:pPr>
          </w:p>
        </w:tc>
      </w:tr>
      <w:tr>
        <w:trPr>
          <w:trHeight w:val="223"/>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Medford, Massachusetts</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5,600</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Additionally, the Company uses third-party operated distribution facilities to supplement its distribution capacity, including a major distribution facility located in Rotterdam, Netherlands. As of December 31, 2023, the Company occupied 27,000 square feet of this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8"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6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Company’s sales and marketing efforts are supported from its principal office and showroom in Garden City, New York, as well as showrooms in New York, New York; Medford, Massachusetts; Atlanta, Georgia; Bentonville, Arkansas; Issaquah, Washington; Pawtucket, Rhode Island; Menomonee Falls, Wisconsin; and Aston, England.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7"/>
          <w:szCs w:val="17"/>
          <w:color w:val="auto"/>
        </w:rPr>
        <w:t>The Company generally collaborates with its largest wholesale customers and in many instances produces specific versions of the Company’s product lines with exclusive designs and/or packaging for them.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DESIGN AND INNOVATION</w:t>
      </w:r>
    </w:p>
    <w:p>
      <w:pPr>
        <w:spacing w:after="0" w:line="118"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At the heart of the Company is a culture of innovation and new product development. The Company’s global in-house design and development teams currently consist of approximately 90 professional designers, artists and engineers. Utilizing the latest available design tools, technology and materials, these teams create new products, redesign existing products and create packaging and merchandising concepts.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SUPPLY</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 sources its products from hundreds of suppliers, almost all of which are located outside the United States (other than the suppliers for the Company’s sterling silver products). Most of the Company’s suppliers are located in China. The Company also sources products from suppliers across various countries including, Hong Kong, Taiwan, Japan, South Korea, Vietnam, Myanmar, Singapore, Malaysia, Philippines, Thailand, India, Bangladesh, the United States, Mexico, the U.K., Italy, Portugal, Poland, Sweden, Turkey, Belgium, Germany, Czech Republic, Slovakia, Cambodia, Indonesia, and New Zealand. The Company orders products significantly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contracts with third parties to manufacture the vast majority of its products.</w:t>
      </w:r>
    </w:p>
    <w:p>
      <w:pPr>
        <w:spacing w:after="0" w:line="21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The Company manufactures its sterling silver products at a leased manufacturing facility in San Germán, Puerto Rico and fills jars and other containers with spices and assembles spice racks at an owned facility in Winchendon, Massachusetts. The Company is planning to expand its manufacturing into Mexico to manufacture certain of the Company’s products. The Company expects these operations to be fully operational in fiscal year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markets for kitchenware, tableware and other products used in the home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LICENSES</w:t>
      </w:r>
    </w:p>
    <w:p>
      <w:pPr>
        <w:spacing w:after="0" w:line="11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Company owns approximately 1,090 design and utility patents. The Company does not believe that the expiration of any of its patents would have a material adverse effect on either of the Company’s segments.</w:t>
      </w:r>
    </w:p>
    <w:p>
      <w:pPr>
        <w:spacing w:after="0" w:line="1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for certain products, including products for kitchen tools and gadgets, cutlery and bakeware, subject to a license agreement that will expire in December 2026. The Company originally entered into a licensing arrangement for use of the KitchenAid brand in 2000, and has renewed the license, typically for three to four year periods, since that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8"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The Company aspires to hire and retain the best and brightest employees. At December 31, 2023, the Company had approximately 1,230 full-time employees, of whom approximately 140 were located in Asia, 200 were located in Europe and 890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17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believes in the importance of the retention, growth and development of our employees. The Company believes it offers competitive compensation and benefits packages to its employees. Further, the Company offers professional development opportunities to cultivate talent throughout the Company. The Company also values diversity and inclusion and aims to foster an inclusive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its affiliates are subject to significant regulation by various governmental, regulatory and other administrative authorities.</w:t>
      </w:r>
    </w:p>
    <w:p>
      <w:pPr>
        <w:spacing w:after="0" w:line="21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spice filling operation and other certain scale products are regulated by the U.S. Food and Drug Administration.</w:t>
      </w:r>
    </w:p>
    <w:p>
      <w:pPr>
        <w:spacing w:after="0" w:line="21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man-made or natural disasters, health epidemics, terrorism and wars, political unrest and other restrictions on trade and travel.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business and working capital needs are seasonal with a majority of sales occurring in the third and fourth quarters. In 2023, net sales for the third and fourth quarters accounted for 57% of total annual net sales, respectively. In anticipation of the pre-holiday shipping season, inventory levels increase primarily in the June through October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Company’s businesses, operations, liquidity and financial condition are subject to various risks. The Company’s business, financial condition or results of operation could be materially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 as of the date hereof. We have grouped the risk factors into categories for ease of reading, and without any reflection on the importance of, or likelihood of, any particular category.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risks</w:t>
      </w:r>
    </w:p>
    <w:p>
      <w:pPr>
        <w:spacing w:after="0" w:line="215"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may be materially adversely affected by market conditions and by global and economic conditions and other factors beyond its control.</w:t>
      </w:r>
    </w:p>
    <w:p>
      <w:pPr>
        <w:spacing w:after="0" w:line="4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others:</w:t>
      </w:r>
    </w:p>
    <w:p>
      <w:pPr>
        <w:spacing w:after="0" w:line="62" w:lineRule="exact"/>
        <w:rPr>
          <w:sz w:val="20"/>
          <w:szCs w:val="20"/>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recession, inflation, deflation, unemployment and other factors adversely affecting consumer spending patterns generally;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affecting the retail environment for the home and other matters that influence consumer spending in the home retail industry specifically;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affecting the housing markets;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credit availability and consumer debt levels;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input costs, including fuel and energy costs, freight costs, and labor cost inflation;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translation;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rates and the ability to hedge interest rate risks;</w:t>
      </w:r>
    </w:p>
    <w:p>
      <w:pPr>
        <w:spacing w:after="0" w:line="113" w:lineRule="exact"/>
        <w:rPr>
          <w:rFonts w:ascii="Times New Roman" w:cs="Times New Roman" w:eastAsia="Times New Roman" w:hAnsi="Times New Roman"/>
          <w:sz w:val="17"/>
          <w:szCs w:val="17"/>
          <w:color w:val="auto"/>
        </w:rPr>
      </w:pPr>
    </w:p>
    <w:p>
      <w:pPr>
        <w:ind w:left="940" w:right="20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including tax policies relating to value-added taxes, import and export duties and quotas, anti-dumping regulations and related tariffs, import and export controls and social compliance standards;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conflicts and terrorist activities;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epidemics, such as the COVID-19 pandemic;</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economic conditions in the United States, the U.K., continental Europe, Asia and elsewhere;</w:t>
      </w:r>
    </w:p>
    <w:p>
      <w:pPr>
        <w:spacing w:after="0" w:line="113" w:lineRule="exact"/>
        <w:rPr>
          <w:rFonts w:ascii="Times New Roman" w:cs="Times New Roman" w:eastAsia="Times New Roman" w:hAnsi="Times New Roman"/>
          <w:sz w:val="17"/>
          <w:szCs w:val="17"/>
          <w:color w:val="auto"/>
        </w:rPr>
      </w:pPr>
    </w:p>
    <w:p>
      <w:pPr>
        <w:ind w:left="940" w:right="6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unrest, war, terrorism, geopolitical uncertainties, trade policies and sanctions, including the repercussions of the military conflict in Ukraine, Israel and surrounding areas (and any broadening of the conflict);</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U.K.’s exit from the European Union;</w:t>
      </w:r>
    </w:p>
    <w:p>
      <w:pPr>
        <w:spacing w:after="0" w:line="113" w:lineRule="exact"/>
        <w:rPr>
          <w:rFonts w:ascii="Times New Roman" w:cs="Times New Roman" w:eastAsia="Times New Roman" w:hAnsi="Times New Roman"/>
          <w:sz w:val="17"/>
          <w:szCs w:val="17"/>
          <w:color w:val="auto"/>
        </w:rPr>
      </w:pPr>
    </w:p>
    <w:p>
      <w:pPr>
        <w:ind w:left="940" w:right="720" w:hanging="318"/>
        <w:spacing w:after="0" w:line="287"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lack of legal regulation enforcement, civil unrest and potential accompanying shifts in laws and regulations; 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occurrence of negative events related to any of the foregoing may adversely impact the Company’s results of operations and financial condition</w:t>
      </w:r>
      <w:r>
        <w:rPr>
          <w:rFonts w:ascii="Times New Roman" w:cs="Times New Roman" w:eastAsia="Times New Roman" w:hAnsi="Times New Roman"/>
          <w:sz w:val="17"/>
          <w:szCs w:val="17"/>
          <w:b w:val="1"/>
          <w:bCs w:val="1"/>
          <w:color w:val="auto"/>
        </w:rPr>
        <w:t>.</w:t>
      </w:r>
    </w:p>
    <w:p>
      <w:pPr>
        <w:spacing w:after="0" w:line="215"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results of operations could be negatively impacted by inflation or deflation in supply chain costs, including raw materials, sourcing, transportation and energy</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homeware goods and relies on third parties to manufacture its products who are, in turn, subject to changes in their underlying manufacturing costs. The Company also relies on third parties for transportation and is exposed to fluctuations in freight costs to transport goods as well as the price of fuel and gasoline. These prices may fluctuate based on a number of factors beyond the Company’s control, including from geopolitical conditions such as the military conflict in Ukraine and resulting sanctions imposed by the U.S. and other countries. Inflation has resulted and could continue to result in significant cost increases. If the Company is unable to mitigate any cost increases from the foregoing factors through various customer pricing actions and cost reduction initiatives, its financial condition may be adversely affected. Conversely, in the event that there is deflation, the Company may experience pressure from its customers to reduce prices. There can be no assurance that the Company would be able to reduce its cost base to offset any such price concessions, which could adversely impact its results of operations and cash flows.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7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business may be materially adversely affected by the imposition of tariffs and other trade policies implemented by the U.S. and other governments.</w:t>
      </w:r>
    </w:p>
    <w:p>
      <w:pPr>
        <w:spacing w:after="0" w:line="43"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7"/>
          <w:szCs w:val="17"/>
          <w:color w:val="auto"/>
        </w:rPr>
        <w:t>A majority of the Company’s products are sourced from vendors in China. During the last several years there have also been significant changes to U.S. trade policies, sanctions, legislation, treaties and tariffs, including, but not limited to, trade policies and tariffs affecting China. These changes have, in certain cases,</w:t>
      </w:r>
    </w:p>
    <w:p>
      <w:pPr>
        <w:spacing w:after="0" w:line="1"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increased our costs of doing business. In response to the tariffs, the Company may seek to increase prices to its customers, which may diminish demand for its products. The imposition of additional tariffs or other trade barriers could increase our costs in certain markets and may cause our customers to find alternative</w:t>
      </w:r>
    </w:p>
    <w:p>
      <w:pPr>
        <w:spacing w:after="0" w:line="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7"/>
          <w:szCs w:val="17"/>
          <w:color w:val="auto"/>
        </w:rPr>
        <w:t>sourcing or could make it more difficult for us to sell our products in some markets. Other countries where we operate or sell our products have changed, and may continue to change, their own policies on trade as well as business and foreign investment in their respective countries. Additionally, it is possible that U.S. policy</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Legislative or regulatory initiatives related to climate change could have a material adverse effect on our business.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Greenhouse gases may have an adverse effect on global temperatures, weather patterns, and the frequency and severity of extreme weather and natural disasters. Such events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There is also increased focus, including by investors, customers, and other stakeholders, on these and other sustainability matters, including the use of plastic, energy, waste, and worker safety. The Company’s reputation could be damaged if the Company does not, or is perceived to not, act responsibly with respect to sustainability matters, which could also have a material adverse effect on the Company’s business, results of operations, financial position, and cash flows.</w:t>
      </w:r>
    </w:p>
    <w:p>
      <w:pPr>
        <w:spacing w:after="0" w:line="173"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is generally not fully insured against all significant losses. For example, the Company is not fully insured against hurricane, earthquake, acts of war, and terrorism related losses. A loss for which the Company is not fully insured could have a material adverse effect on the business, financial condition, results of operations and prospects.</w:t>
      </w:r>
    </w:p>
    <w:p>
      <w:pPr>
        <w:spacing w:after="0" w:line="1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has substantial indebtedness and the highly seasonal nature of the Company’s business impacts its borrowing needs.</w:t>
      </w:r>
    </w:p>
    <w:p>
      <w:pPr>
        <w:spacing w:after="0" w:line="12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has a substantial amount of indebtedness and is dependent on the availability of its bank loan facilities to finance its liquidity needs. As of December 31, 2023, the Company had $210.4 million of consolidated debt outstanding under a senior secured term loan credit facility and senior secured asset-based revolving credit facility.</w:t>
      </w:r>
    </w:p>
    <w:p>
      <w:pPr>
        <w:spacing w:after="0" w:line="16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On November 14, 2023, the Company entered into Amendment No. 2 of the senior secured term loan credit facility, dated as of March 2, 2018, (as amended, the “Term Loan”), which among other things, reduced the outstanding principal amount of $150.0 million and extended the maturity to August 26, 2027.</w:t>
      </w:r>
    </w:p>
    <w:p>
      <w:pPr>
        <w:spacing w:after="0" w:line="1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Company’s credit agreement, dated as of March 2, 2018 (as amended, the “ABL Agreement” and as amended, the “Term Loan” the “Debt Agreements”) provides for, among other things, a maximum aggregate principal amount of $200.0 million and will mature on August 25, 2027. The Term Loan will be repaid in quarterly payments of principal equal to 1.25% of the original aggregate principal amount of the Term Loan, which payments will commence on March 31, 2024. The Term Loan requires the Company to make an annual mandatory prepayment of principal based upon excess cash flow (the “Excess Cash Flow”), if any. Per the Debt Agreements, when the Company makes an Excess Cash Flow payment, the payment is first applied to satisfy the future quarterly required payments in order of maturity. This amount is recorded in the current maturity of the Term Loan on the consolidated balance sheets. At December 31, 2023, borrowings under the Debt Agreements represented approximately 32% of total capital (indebtedness plus stockholders’ equity).</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In 2018, the Company utilized the proceeds of borrowings under the Debt Agreements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In 2023, the Term Loan was amended to extend the maturity of $150 million of the Term Loan.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spacing w:after="0" w:line="17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48" w:lineRule="exact"/>
        <w:rPr>
          <w:sz w:val="20"/>
          <w:szCs w:val="20"/>
          <w:color w:val="auto"/>
        </w:rPr>
      </w:pPr>
    </w:p>
    <w:p>
      <w:pPr>
        <w:ind w:left="940" w:right="420" w:hanging="318"/>
        <w:spacing w:after="0" w:line="270"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impairing the Company’s ability to meet the financial covenants, if and when applicable, contained in the Debt Agreements or to generate cash sufficient to pay interest or principal due under its Debt Agreements, which could result in an acceleration of some or all of the Company’s outstanding debt;</w:t>
      </w:r>
    </w:p>
    <w:p>
      <w:pPr>
        <w:spacing w:after="0" w:line="62" w:lineRule="exact"/>
        <w:rPr>
          <w:rFonts w:ascii="Times New Roman" w:cs="Times New Roman" w:eastAsia="Times New Roman" w:hAnsi="Times New Roman"/>
          <w:sz w:val="17"/>
          <w:szCs w:val="17"/>
          <w:color w:val="auto"/>
        </w:rPr>
      </w:pPr>
    </w:p>
    <w:p>
      <w:pPr>
        <w:ind w:left="940" w:right="52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48" w:lineRule="exact"/>
        <w:rPr>
          <w:rFonts w:ascii="Times New Roman" w:cs="Times New Roman" w:eastAsia="Times New Roman" w:hAnsi="Times New Roman"/>
          <w:sz w:val="17"/>
          <w:szCs w:val="17"/>
          <w:color w:val="auto"/>
        </w:rPr>
      </w:pPr>
    </w:p>
    <w:p>
      <w:pPr>
        <w:ind w:left="940" w:right="32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flexibility in planning for, or reacting to, changes in the economy, the markets, regulatory requirements, its operations or business;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Company’s ability to enter into derivative agreements to hedge interest rate and foreign exchange risk;</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Company more highly leveraged than some of its competitors, which may place the Company at a competitive disadvantage;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the Company more vulnerable to downturns in the economy or its business;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substantial portion of the Company’s cash flow from operations to make interest payments;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the Company to satisfy other obligations;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risking credit rating downgrades of the Company, which could increase future debt costs and limit the future availability of debt financing; and</w:t>
      </w:r>
    </w:p>
    <w:p>
      <w:pPr>
        <w:spacing w:after="0" w:line="113"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preventing the Company from borrowing additional funds as needed or taking advantage of business opportunities as they arise, pay cash dividends or repurchase common stock.</w:t>
      </w:r>
    </w:p>
    <w:p>
      <w:pPr>
        <w:spacing w:after="0" w:line="15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165" w:lineRule="exact"/>
        <w:rPr>
          <w:sz w:val="20"/>
          <w:szCs w:val="20"/>
          <w:color w:val="auto"/>
        </w:rPr>
      </w:pPr>
    </w:p>
    <w:p>
      <w:pPr>
        <w:ind w:right="7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ABL Agreement, under certain circumstances, requires the Company to maintain a certain fixed charge coverage ratio. The Term Loan requires the Company to maintain a maximum Total Net Leverage Ratio of 5.00 to 1.00 as of the last day of its fiscal quarters.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384"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43"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The Company’s borrowings bear interest at floating rates. An increase in interest rates would adversely affect the Company’s profitability. For example, in 2023 interest expense increased by $4.5 million compared to the prior year as a result of a higher interest rate environment. To the extent that the Company’s access to credit may be restricted because of its own performance, its bank lenders’ performances or conditions in the capital markets generally, the Company would not be able to operate normally.</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The Company’s Receivables Purchase Agreement also depends upon the Secured Overnight Financing rate (“SOFR”), as it is a component of the discount rate applicable to the agreement. If SOFR increases, the Company may not be able to rely on the Receivables Purchase Agreement, which could have a material and adverse effect upon the Company’s financial condition, results of operations and cash flows.</w:t>
      </w:r>
    </w:p>
    <w:p>
      <w:pPr>
        <w:spacing w:after="0" w:line="15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4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6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spacing w:after="0" w:line="48" w:lineRule="exact"/>
        <w:rPr>
          <w:sz w:val="20"/>
          <w:szCs w:val="20"/>
          <w:color w:val="auto"/>
        </w:rPr>
      </w:pPr>
    </w:p>
    <w:p>
      <w:pPr>
        <w:ind w:left="94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inability to integrate acquired companies’ products and services;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leveraging the customer information and technology of the two companies;</w:t>
      </w:r>
    </w:p>
    <w:p>
      <w:pPr>
        <w:spacing w:after="0" w:line="113" w:lineRule="exact"/>
        <w:rPr>
          <w:rFonts w:ascii="Times New Roman" w:cs="Times New Roman" w:eastAsia="Times New Roman" w:hAnsi="Times New Roman"/>
          <w:sz w:val="17"/>
          <w:szCs w:val="17"/>
          <w:color w:val="auto"/>
        </w:rPr>
      </w:pPr>
    </w:p>
    <w:p>
      <w:pPr>
        <w:ind w:left="940" w:right="62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effectuating the Company’s diversification strategy, including challenges achieving revenue growth from sales of each company’s products and services to the clients and customers of the other company;</w:t>
      </w:r>
    </w:p>
    <w:p>
      <w:pPr>
        <w:spacing w:after="0" w:line="48" w:lineRule="exact"/>
        <w:rPr>
          <w:rFonts w:ascii="Times New Roman" w:cs="Times New Roman" w:eastAsia="Times New Roman" w:hAnsi="Times New Roman"/>
          <w:sz w:val="17"/>
          <w:szCs w:val="17"/>
          <w:color w:val="auto"/>
        </w:rPr>
      </w:pPr>
    </w:p>
    <w:p>
      <w:pPr>
        <w:ind w:left="940" w:right="300" w:hanging="318"/>
        <w:spacing w:after="0" w:line="270"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w:t>
      </w:r>
    </w:p>
    <w:p>
      <w:pPr>
        <w:spacing w:after="0" w:line="62" w:lineRule="exact"/>
        <w:rPr>
          <w:rFonts w:ascii="Times New Roman" w:cs="Times New Roman" w:eastAsia="Times New Roman" w:hAnsi="Times New Roman"/>
          <w:sz w:val="17"/>
          <w:szCs w:val="17"/>
          <w:color w:val="auto"/>
        </w:rPr>
      </w:pPr>
    </w:p>
    <w:p>
      <w:pPr>
        <w:ind w:left="940" w:right="6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locating and entering into agreements with third-party logistics providers to assist in certain locations or to develop strategies to address inventory surges; and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and unforeseen increased expenses or delays associated with the acquisition.</w:t>
      </w:r>
    </w:p>
    <w:p>
      <w:pPr>
        <w:spacing w:after="0" w:line="21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variability and currency controls could materially adversely affect the Company’s operating results and financial condition.</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spacing w:after="0" w:line="16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If the Company expands its international operations, it will be subject to increased foreign exchange variability which could have a material adverse effect on the Company’s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business requires it to maintain large fixed costs that can affect its profitability.</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reduction efforts may not be successful and restructuring benefits may not be realized.</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Company’s goodwill or other long-term assets become impaired, the Company will be required to record impairment charges, which may be significant.</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 portion of the Company’s long-term assets consists of goodwill recorded as a result of the Company’s acquisitions; other identifiable intangible assets, including trade names; and long-lived assets. At December 31, 2023, goodwill, net of accumulated impairment charges totaled $33.2 million; indefinite-lived intangibles assets, net of accumulated impairment charges totaled $42.0 million; finite-lived intangible assets, net of accumulated impairment charges and accumulated amortization totaled $123.9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the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8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further recognition of an impairment of the Company’s goodwill or any of the Company’s assets would negatively affect the Company’s results of operations and total capitalization, the effect of which could be material.</w:t>
      </w:r>
    </w:p>
    <w:p>
      <w:pPr>
        <w:spacing w:after="0" w:line="145"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cost of employee benefits could materially adversely impact the Company’s financial results and cash flows.</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inherent limitations on the effectiveness of the Company’s controls.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If in the future the Company’s controls become inadequate, it could fail to meet its financial reporting obligations, its reputation may be adversely affected, its business and operating results could be harmed, and the market price of its stock could decline.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risks</w:t>
      </w:r>
    </w:p>
    <w:p>
      <w:pPr>
        <w:spacing w:after="0" w:line="215"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the Company’s customer purchasing practices could materially adversely affect the Company’s operating results.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Company’s wholesale customers include mass market merchants, specialty stores, department stores, warehouse clubs, grocery stores, off-price retailers, food service distributors, food and beverage outlets, corporate sales and e-commerce.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and optimize their supply chains, there is a growing trend among retailers to evaluate suppliers based on their ability to deliver orders at the quantity and schedule specified, which is known as the "on-time-in-full" delivery metric. Supply-chain complexity and customer demand for on-shelf availability creates additional pressure on delivery performance, which in turn can add strain on distribution channels.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7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7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16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at the Company’s large customers, or actions taken by them, and consolidation in the retail industry could materially adversely affect the Company’s operating results.</w:t>
      </w:r>
    </w:p>
    <w:p>
      <w:pPr>
        <w:spacing w:after="0" w:line="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2023, 2022 and 2021, Wal-Mart Stores, Inc., including Sam’s Club, (“Walmart”), accounted for 21%, 19% and 18% of consolidated net sales, respectively. During the years ended December 31, 2023, 2022 and 2021, sales to Costco Wholesale Corporation (“Costco”) accounted for 11%, 13%, and 12% of consolidated net sales. During the year ended December 31, 2023, 2022 and 2021, Amazon.com Inc., (“Amazon”), accounted for 11%, 11% and 12% of consolidated net sales. Sales to Costco and Amazon are included in the Company’s U.S. and International segments. No other customers accounted for 10% or more of the Company’s sales during these periods.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material reduction in sales to the aforementioned or other top customers in the aggregate, could have a significant adverse effect on the Company’s business and operating results. In addition, pressures by such customers that would cause the Company to materially reduce the price of its products could result in reduced sales and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Costco and Amazon extends to its international business as well as through Vasconia in Mexico and the Company’s strategic alliance in Canada, due to the market presence of Walmart, Costco and Amazon in these foreign countries. Any changes in purchasing practices or decline in the financial condition, of Walmart, Costco and Amazon or other large customers, may have a material adverse impact on the business, results of operations and financial condition of the Company.</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7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165"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4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retail environment is highly competitive and rapidly evolving with the increase pace of technological development. Consumers are increasingly embracing shopping online and through mobile commerce applications. This trend accelerated during the COVID-19</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pandemic due to fear of infection, stay-at-home orders, quarantine policies and restrictions on travel, trade, and brick-and-mortar retail business operations. As a result, an increasing portion of total consumer expenditures with retailers is occurring online and through mobile commerce applications. This overall trend has negatively affected many brick-and-mortar retailers.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Company is unable to effectively manage its existing online business, the Company's reputation and operating results may be harmed.</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success of the Company’s online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operating an online business,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online marketing tools such as paid search, which may increase its costs and which may not succeed in increasing sales or attracting customers. The Company’s failure to successfully respond to these risks and uncertainties might adversely affect the sales in its online business, as well as damage the Company’s reputation and brands.</w:t>
      </w:r>
    </w:p>
    <w:p>
      <w:pPr>
        <w:spacing w:after="0" w:line="169"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risks</w:t>
      </w:r>
    </w:p>
    <w:p>
      <w:pPr>
        <w:spacing w:after="0" w:line="215"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reliance on international suppliers subject the Company to regional regulatory, man-made or natural disasters, health epidemics, political or military conflicts, economic and foreign currency exchange risk that could materially and adversely affect the Company’s operating results.</w:t>
      </w:r>
    </w:p>
    <w:p>
      <w:pPr>
        <w:spacing w:after="0" w:line="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The Company sources its products from suppliers located principally in Asia, Europe and the United States, which subjects the Company to various risks, including man-made or natural disasters, adverse macroeconomic conditions (including inflation, slower growth, and recession), and foreign currency changes, all of which could create disruptions in our supply chain. Similarly, geopolitical risks, including instability resulting from civil unrest, political demonstrations, strikes and armed conflict or other crises, such as conflicts in Ukraine, Israel and surrounding areas (and any broadening of the conflict), and resulting sanctions could change the global supply chain dynamics and demand. Additionally, the Company’s vendors in Asia, from whom a substantial majority of the Company’s products are sourced, are located primarily in China, which subjects the Company to regional risks including regulatory, social and other risks in addition to the risks resulting from tensions between the United States and China involving trade policies and certain regulatory actions.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In addition, any indirect supply chain disruptions due to the conflict in Ukraine, Israel and surrounding areas (and any broadening of the conflict), may further complicate existing supply chain constraints. Specifically, in connection with the conflict in Israel and the surrounding areas, the Houthi movement, which controls parts of Yemen, has launched a number of attacks on marine vessels in the Red Sea. The Red Sea is an important maritime route for international trade. As a result of such disruptions, the Company may experience in the future extended lead times, delays in supplier deliveries, and increased freight costs. The risk of ongoing supply disruptions may further result in delayed deliveries of our products. Changes in currency exchange rates might negatively affect the Company and its overseas vendors’ profitability and business prospects. The Company does not have access to its vendors’ financial</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09" w:lineRule="exact"/>
        <w:rPr>
          <w:sz w:val="20"/>
          <w:szCs w:val="20"/>
          <w:color w:val="auto"/>
        </w:rPr>
      </w:pPr>
      <w:r>
        <w:rPr>
          <w:rFonts w:ascii="Times New Roman" w:cs="Times New Roman" w:eastAsia="Times New Roman" w:hAnsi="Times New Roman"/>
          <w:sz w:val="17"/>
          <w:szCs w:val="17"/>
          <w:color w:val="auto"/>
        </w:rPr>
        <w:t>information and the Company is unable to assess its vendors’ financial condition, including their liquidity. Interruption of supplies from any of the Company’s vendors, or the loss of one or more key vendors, could have a negative effect on the Company’s business and operating results. A disruption in deliveries to or from suppliers or decreased availability of materials could have an adverse effect on our ability to meet our commitments to customers or increase our operating costs. A disruption from such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suppliers, manufacturers or service providers, capacity constraints, production disruptions, price increases, quality control issues, recalls or other decreased availability of parts and products could adversely affect our ability to meet our commitments to customers and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international trade activity subjects it to transportation risks.</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imports its products for delivery to its distribution centers, as well as arranges for its customers to import goods to which title has passed overseas or at a port of entry. For purchases that are to be delivered to its distribution facilities,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transportation reroutes in response to geopolitical conflict,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depends on third-party manufacturers to produce the vast majority of its products, which presents quality control risks to the Company.</w:t>
      </w:r>
    </w:p>
    <w:p>
      <w:pPr>
        <w:spacing w:after="0" w:line="12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5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third party manufacturers may not continue to meet the Company’s quality standards, social standards regarding its workforce that are expected in the United States or legislation and regulations that apply to the products the Company contracts to manufacture. There is also no assurance that the Company’s quality control program will adequately audit, analyze and evaluate the quality standards of third party manufacturers.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product costs are subject to price fluctuation.</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For example, freight costs increased in 2021, continued to fluctuate in 2022 and began to decrease in 2023.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of certain licenses or material changes in royalty rates could materially adversely affect the Company’s operating margin and cash flow.</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Significant portions of the Company’s business are dependent on trade names, trademarks and patents, some of which are licensed from third parties. In 2023, sales of licensed brands accounted for approximately 17%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73"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certain other products through termination as a result of an uncured breach, its business, results of operations and financial condition would be materially adversely affected.</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Sales of KitchenAid branded products, to a lesser extent, also represent a material portion of the Company’s sales. The Company also holds a license to use the KitchenAid brand for certain products, including products for kitchen tools and gadgets, cutlery and bakeware, subject to a license agreement that will expire in December 2026.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167"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4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17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167"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brands are subject to reputational risks and damage to the Company’s brands or reputation could adversely affect its business.</w:t>
      </w:r>
    </w:p>
    <w:p>
      <w:pPr>
        <w:spacing w:after="0" w:line="12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Operational and regulatory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Interruptions in the Company’s operations caused by outside forces could cause material losses.</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167"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4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Company conducts business outside of the United States through subsidiaries, affiliates and joint ventures. These entities have operations and assets in the U.K., Mexico, Netherlands,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73"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In addition, the Company sells its products in foreign countries and seeks to increase its level of international business activity. Accordingly, the Company is subject to various risks, including:</w:t>
      </w:r>
    </w:p>
    <w:p>
      <w:pPr>
        <w:spacing w:after="0" w:line="48" w:lineRule="exact"/>
        <w:rPr>
          <w:sz w:val="20"/>
          <w:szCs w:val="20"/>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U.S.-imposed embargoes of sales to specific countries;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import controls (which may be arbitrarily imposed or enforced);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regulations and duties;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regulations (which require the Company to comply with stringent licensing regimes);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anti-dumping regulations;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currency controls;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rate fluctuations;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remittance restrictions;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expropriation of assets;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civil uprisings and riots;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instability;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necessity of obtaining governmental approval for new and continuing products and operations;</w:t>
      </w:r>
    </w:p>
    <w:p>
      <w:pPr>
        <w:spacing w:after="0" w:line="113"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systems or decrees, laws, taxes, regulations, interpretations and court decisions that are not always fully developed and that may be retroactively or arbitrarily applied;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integration of the Company's European operations;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epidemics;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income taxes, excise duties, import taxes, export taxes or other governmental assessments</w:t>
      </w:r>
    </w:p>
    <w:p>
      <w:pPr>
        <w:spacing w:after="0" w:line="113" w:lineRule="exact"/>
        <w:rPr>
          <w:rFonts w:ascii="Times New Roman" w:cs="Times New Roman" w:eastAsia="Times New Roman" w:hAnsi="Times New Roman"/>
          <w:sz w:val="17"/>
          <w:szCs w:val="17"/>
          <w:color w:val="auto"/>
        </w:rPr>
      </w:pPr>
    </w:p>
    <w:p>
      <w:pPr>
        <w:ind w:left="940" w:right="460" w:hanging="318"/>
        <w:spacing w:after="0" w:line="287"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locating and entering into agreements with third-party logistics providers to assist in certain locations outside the United States. In addition, the development of additional distribution space abroad involves significant financial and operational risks; and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a global enterprise.</w:t>
      </w:r>
    </w:p>
    <w:p>
      <w:pPr>
        <w:spacing w:after="0" w:line="2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69"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that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176"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 For example, in 2018, the U.S. Supreme Court ruling in </w:t>
      </w:r>
      <w:r>
        <w:rPr>
          <w:rFonts w:ascii="Times New Roman" w:cs="Times New Roman" w:eastAsia="Times New Roman" w:hAnsi="Times New Roman"/>
          <w:sz w:val="17"/>
          <w:szCs w:val="17"/>
          <w:i w:val="1"/>
          <w:iCs w:val="1"/>
          <w:color w:val="auto"/>
        </w:rPr>
        <w:t>South Dakota v. Wayfair, Inc. et al reversed longstanding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precedent that remote sellers are not required to collect state and local sales taxes </w:t>
      </w:r>
      <w:r>
        <w:rPr>
          <w:rFonts w:ascii="Times New Roman" w:cs="Times New Roman" w:eastAsia="Times New Roman" w:hAnsi="Times New Roman"/>
          <w:sz w:val="17"/>
          <w:szCs w:val="17"/>
          <w:color w:val="auto"/>
        </w:rPr>
        <w:t>and established that a state may enforce or adopt laws requiring online retailers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collect and remit sales tax if there is a substantial nexus between the online retailer’s activity and the state, even if the retailer has no physical presence within the taxing state. While the Company now collects, remits and reports sales tax in states that it does business, it is possible that Company’s effective income tax rate, the cost of the Company’s e-commerce business, and the growth of its e-commerce business could be materially adversely effected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Climate change, environmental, social and governance and sustainability initiatives may result in regulatory or structural industry changes that could require significant operational changes and expenditures, reduce demand for the Company’s products and adversely affect our business, financial condition, and results of operations.</w:t>
      </w:r>
    </w:p>
    <w:p>
      <w:pPr>
        <w:spacing w:after="0" w:line="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Greenhouse gases may have an adverse effect on global temperatures, weather patterns, and the frequency and severity of extreme weather and natural disasters.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Moreover, natural disasters and extreme weather conditions may impact the productivity of our facilities, the operation of our supply chain, or consumer buying patterns. Any of these risks could have a material adverse effect on our business.</w:t>
      </w:r>
    </w:p>
    <w:p>
      <w:pPr>
        <w:spacing w:after="0" w:line="17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Climate change, environmental, social and governance and sustainability initiatives may result in regulatory or structural industry changes that could require significant operational changes and expenditures, reduce demand for the Company’s products and adversely affect our business, financial condition, and results of operations.</w:t>
      </w:r>
    </w:p>
    <w:p>
      <w:pPr>
        <w:spacing w:after="0" w:line="1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Climate change, environmental, social and governance (“ESG”) and sustainability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operational changes, taxes, or purchases of emission credits to reduce emission of greenhouse gases from our operations, which may result in substantial capital expenditures.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Furthermore, increasing attention to climate change, ESG and sustainability has resulted in governmental investigations, and public and private litigation, which could increase our costs or otherwise adversely affect our business or results of operations.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which could have a negative impact on the price of our securities and our access to and costs of capital.</w:t>
      </w:r>
    </w:p>
    <w:p>
      <w:pPr>
        <w:spacing w:after="0" w:line="17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Additionally, on March 21, 2022, the SEC released proposed rule changes that would require new climate-related disclosure in SEC filings, including certain climate-related metrics and greenhouse gas emissions, information about climate-related targets and goals, transition plans, if any, and extensive attestation requirements. In addition to requiring filers to quantify and disclose direct emissions data, the new rules would also require disclosure of climate impact arising from the operations and uses by the filer’s business partners and contractors and end-users of the filer’s products and/or services. If adopted as proposed, the rule changes could result in the Company incurring material additional compliance and reporting costs, including monitoring, collecting, analyzing and reporting the new metrics and implementing systems and procuring additional internal and external personnel with the requisite skills and expertise to serve those functions.</w:t>
      </w:r>
    </w:p>
    <w:p>
      <w:pPr>
        <w:spacing w:after="0" w:line="17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Any or all of these ESG and sustainability initiatives and regulations are likely to result in significant operational changes and expenditures, reduced demand for our products, cause us reputational harm, and could materially adversely affect our business, financial condition, and results of operations.</w:t>
      </w:r>
    </w:p>
    <w:p>
      <w:pPr>
        <w:spacing w:after="0" w:line="145"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failure in or compromise of the Company’s operating systems or infrastructure or those of third parties could disrupt the Company’s business and cause losses.</w:t>
      </w:r>
    </w:p>
    <w:p>
      <w:pPr>
        <w:spacing w:after="0" w:line="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is subject to cyber security risks and may incur increasing costs in efforts to minimize those risks and to comply with regulatory standards.</w:t>
      </w:r>
    </w:p>
    <w:p>
      <w:pPr>
        <w:spacing w:after="0" w:line="120"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our continuous efforts to ensure the security of the Company’s computer networks, any future cyber incidents could compromise our information technology systems, which could impact operations and confidential information could be misappropriated. Additionally, as Artificial Intelligence ("AI") continues to evolve, cyber-attackers could also use AI to develop malicious code and sophisticated phishing attempts. Although we believe that we have robust information security procedures, controls and other safeguards in place, as cyber threats continue to evolve, we may be required to expend additional resources to continue to enhance our information security measures and/or to investigate and remediate information security vulnerabilities. Any cybersecurity incidents could lead to negative publicity, loss of sales and profits or cause the Company to incur significant costs to reimburse third- parties for damages, which could adversely impact profits.</w:t>
      </w:r>
    </w:p>
    <w:p>
      <w:pPr>
        <w:spacing w:after="0" w:line="17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 non-compliance. The California Consumer Privacy Act, which became effective in January 2020, created new data privacy rights, including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Company is in the process of transitioning the Company’s Systems, Applications and Products and other critical systems to cloud-based technologies. As the Company transitions to cloud-based technologies, the Company may be exposed to additional cyber threats as the Company migrates from legacy systems to cloud-based solutions. The Company’s increased dependence on third parties for cloud-based systems may also subject the Company to further cyber threats. There can be no assurance that the Company will not suffer a material adverse effect resulting from vulnerabilities in widely deployed software used by third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sells consumer products which involve an inherent risk of product liability claims.</w:t>
      </w:r>
    </w:p>
    <w:p>
      <w:pPr>
        <w:spacing w:after="0" w:line="12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173"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4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Company is subject to a broad range of federal, state, local, foreign and multi-national laws and regulations relating to the environment. These include laws and regulations that govern:</w:t>
      </w:r>
    </w:p>
    <w:p>
      <w:pPr>
        <w:spacing w:after="0" w:line="48" w:lineRule="exact"/>
        <w:rPr>
          <w:sz w:val="20"/>
          <w:szCs w:val="20"/>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discharges into the air, water and land;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handling and disposal of solid and hazardous substances and wastes;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remediation of contamination associated with release of hazardous substances at the Company’s facilities and at off-site disposal locations.</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are made. The Company may incur some of these costs directly, while other costs may be passed on to the Company from its third-party suppliers. The Company also may incur costs associated with government inquiries and investigations. For example, in August 2021 a wholly-owned subsidiary of the Company received a Notice of Liability from the Department of Justice on behalf of the EPA. Negotiations in connection with the Notice culminated in a Consent Decree for Remedial Design and Remedial Action at Operable Unit One of the San German Groundwater Contamination Site (“Consent Decree”). For further discussion of the Company’s legal proceedings refer to NOTE 14 — COMMITMENTS AND CONTINGENCIES to the Company’s consolidated financial statements included in this Annual Report on Form 10-K. Any finding that the Company is not in compliance with applicable environmental laws and regulations or any new laws and regulations in the future could have a material adverse effect on the Company’s business, financial condition and results of operations.</w:t>
      </w:r>
    </w:p>
    <w:p>
      <w:pPr>
        <w:spacing w:after="0" w:line="173"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Company’ executives and other key employees are critical to the Company’s success. The loss of and/or failure to attract and maintain its highly skilled employees could adversely affect the Company’s business.</w:t>
      </w:r>
    </w:p>
    <w:p>
      <w:pPr>
        <w:spacing w:after="0" w:line="4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as well as growing pressure to increase wages for skilled personnel in the industry. The Company may not be able to attract and retain skilled personnel or may incur significant costs in order to do so.</w:t>
      </w:r>
    </w:p>
    <w:p>
      <w:pPr>
        <w:spacing w:after="0" w:line="167"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As a result of the Company’s acquisition of Filament, Taylor Parent has significant influence over the Company and its interests may conflict with the Company’s or its stockholders in the future.</w:t>
      </w:r>
    </w:p>
    <w:p>
      <w:pPr>
        <w:spacing w:after="0" w:line="4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6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w:t>
      </w:r>
    </w:p>
    <w:p>
      <w:pPr>
        <w:ind w:firstLine="3"/>
        <w:spacing w:after="0" w:line="254" w:lineRule="auto"/>
        <w:tabs>
          <w:tab w:leader="none" w:pos="25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 or (viii)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8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 recognizes the critical importance of developing, implementing, and maintaining robust cybersecurity measures to safeguard its information systems and to protect the confidentiality, integrity, and availability of its data.</w:t>
      </w:r>
    </w:p>
    <w:p>
      <w:pPr>
        <w:spacing w:after="0" w:line="13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The Company has integrated cybersecurity risk management into its broader enterprise risk management (“ERM”) through defined training and incident response plans. The incident response plan defines the objectives, roles and responsibilities and scope of our incident response program, is designed to detect actual or potential cybersecurity events and is triggered by Endpoint Detection and Response (“EDR”) system behavior monitoring. Once initiated, the incident response plan consists of several phases, which includes i) detecting a significant observable event, ii) examining a security related event with potential negative IT consequences for the company and iii) analyzing the risk of the event and the degree of remediation required. The Company has developed an incident management plan that operates within the incident response plan to help define the objectives, roles, responsibilities, and scope of our incident response plan.</w:t>
      </w:r>
    </w:p>
    <w:p>
      <w:pPr>
        <w:spacing w:after="0" w:line="18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addition, the Company’s training and response methodology includes regular end user cybersecurity updates, phishing tests and online trainings. We believe that these measures helps promote a company-wide culture of appropriate cybersecurity risk management, as well as ensure that cybersecurity considerations are an integral part of the Company’s ERM decision-making processes at every level. The Company considers industry best practices to continuously evaluate and address cybersecurity risks in alignment with its business objectives and operational needs.</w:t>
      </w:r>
    </w:p>
    <w:p>
      <w:pPr>
        <w:spacing w:after="0" w:line="17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The full Board of Directors is responsible for the oversight of the Company’s cybersecurity risk management. The Board is updated by the EVP, Global Supply Chain &amp; Import regularly to remain informed on the Company’s efforts in managing risks associated with cybersecurity threats.</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Company’s Infrastructure Director is responsible for managing cybersecurity risks, including the prevention, detection, mitigation, and remediation of cybersecurity incidents. The Infrastructure Director has 20 years of experience in the creation and management of enterprise security risk programs.The Infrastructure Director reports to the Chief Information Officer, who actively engages to monitor IT activities and has 40 years of Enterprise Security Management Experience as well as membership in a CIO peer group that reviews local cybersecurity concerns on a regular basis. The Chief Information Officer in turn reports to the EVP, Global Supply Chain &amp; Import who is responsible for the Company’s management of cybersecurity risk. Through these activities and monitoring, both internally and externally, any events or incidents identified will be escalated to the appropriate Business Team Member in accordance with the Company’s Incident Management Plan.</w:t>
      </w:r>
    </w:p>
    <w:p>
      <w:pPr>
        <w:spacing w:after="0" w:line="17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engages with third-party experts, including cybersecurity focused Security Operations Center (SOC) and leading-edge (EDR) providers, to assist in evaluating and detecting security risk and initiate corrective actions. These partnerships enable the Company to leverage specialized knowledge and insights, ensuring cybersecurity strategies and processes remain aligned with industry best practices. The collaboration with these third parties includes regular audits, threat assessments, and consultation on security enhancements.</w:t>
      </w:r>
    </w:p>
    <w:p>
      <w:pPr>
        <w:spacing w:after="0" w:line="17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The Company uses third-party service providers in various functions throughout its business. The Company has stringent processes to oversee and manage risk with these third parties. The Company’s process includes risk assessment activities, such as security assessments of all third-party providers, policies such as “minimum required access” to ensure compliance with current cybersecurity standards and monitoring activities, such as the review of potential cyber breaches announcements made by the third-party service providers.</w:t>
      </w:r>
    </w:p>
    <w:p>
      <w:pPr>
        <w:spacing w:after="0" w:line="17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Notwithstanding the approach we take to cybersecurity risk management, we may be unsuccessful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lists the principal properties at which the Company operated its business at December 31, 2023:</w:t>
      </w:r>
    </w:p>
    <w:p>
      <w:pPr>
        <w:sectPr>
          <w:pgSz w:w="11900" w:h="16838" w:orient="portrait"/>
          <w:cols w:equalWidth="0" w:num="1">
            <w:col w:w="11220"/>
          </w:cols>
          <w:pgMar w:left="320" w:top="123" w:right="35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r>
        <w:trPr>
          <w:trHeight w:val="209"/>
        </w:trPr>
        <w:tc>
          <w:tcPr>
            <w:tcW w:w="3300" w:type="dxa"/>
            <w:vAlign w:val="bottom"/>
          </w:tcPr>
          <w:p>
            <w:pPr>
              <w:ind w:left="20"/>
              <w:spacing w:after="0" w:line="208" w:lineRule="exact"/>
              <w:rPr>
                <w:sz w:val="20"/>
                <w:szCs w:val="20"/>
                <w:color w:val="auto"/>
              </w:rPr>
            </w:pPr>
            <w:r>
              <w:rPr>
                <w:rFonts w:ascii="Times New Roman" w:cs="Times New Roman" w:eastAsia="Times New Roman" w:hAnsi="Times New Roman"/>
                <w:sz w:val="17"/>
                <w:szCs w:val="17"/>
                <w:color w:val="auto"/>
              </w:rPr>
              <w:t xml:space="preserve">Rialto, California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Coast warehouse and distribution facility</w:t>
            </w:r>
          </w:p>
        </w:tc>
      </w:tr>
      <w:tr>
        <w:trPr>
          <w:trHeight w:val="26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Robbinsville, New Jersey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East Coast warehouse and distribution</w:t>
            </w:r>
          </w:p>
        </w:tc>
      </w:tr>
      <w:tr>
        <w:trPr>
          <w:trHeight w:val="138"/>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ind w:left="20"/>
              <w:spacing w:after="0" w:line="138" w:lineRule="exact"/>
              <w:rPr>
                <w:sz w:val="20"/>
                <w:szCs w:val="20"/>
                <w:color w:val="auto"/>
              </w:rPr>
            </w:pPr>
            <w:r>
              <w:rPr>
                <w:rFonts w:ascii="Times New Roman" w:cs="Times New Roman" w:eastAsia="Times New Roman" w:hAnsi="Times New Roman"/>
                <w:sz w:val="16"/>
                <w:szCs w:val="16"/>
                <w:color w:val="auto"/>
              </w:rPr>
              <w:t>facility</w:t>
            </w:r>
          </w:p>
        </w:tc>
      </w:tr>
      <w:tr>
        <w:trPr>
          <w:trHeight w:val="186"/>
        </w:trPr>
        <w:tc>
          <w:tcPr>
            <w:tcW w:w="34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6"/>
                <w:szCs w:val="16"/>
                <w:color w:val="auto"/>
              </w:rPr>
              <w:t xml:space="preserve">Aston, England </w:t>
            </w:r>
            <w:r>
              <w:rPr>
                <w:rFonts w:ascii="Times New Roman" w:cs="Times New Roman" w:eastAsia="Times New Roman" w:hAnsi="Times New Roman"/>
                <w:sz w:val="21"/>
                <w:szCs w:val="21"/>
                <w:color w:val="auto"/>
                <w:vertAlign w:val="superscript"/>
              </w:rPr>
              <w:t>(2)</w:t>
            </w:r>
          </w:p>
        </w:tc>
        <w:tc>
          <w:tcPr>
            <w:tcW w:w="34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Offices, showroom, warehouse and distribution</w:t>
            </w: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w:t>
            </w:r>
          </w:p>
        </w:tc>
      </w:tr>
      <w:tr>
        <w:trPr>
          <w:trHeight w:val="26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Winchendon, Massachusetts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Warehouse and distribution facility, and spice</w:t>
            </w: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packing line</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Garden City, New York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headquarters/main 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Las Cruces, New Mexico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warehouse and distribution facility</w:t>
            </w:r>
          </w:p>
        </w:tc>
      </w:tr>
      <w:tr>
        <w:trPr>
          <w:trHeight w:val="224"/>
        </w:trPr>
        <w:tc>
          <w:tcPr>
            <w:tcW w:w="340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San Germán, Puerto Rico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Sterling silver manufacturing facility</w:t>
            </w:r>
          </w:p>
        </w:tc>
      </w:tr>
      <w:tr>
        <w:trPr>
          <w:trHeight w:val="26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Medford, Massachusetts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showroom, warehouse and distribution</w:t>
            </w:r>
          </w:p>
        </w:tc>
      </w:tr>
      <w:tr>
        <w:trPr>
          <w:trHeight w:val="133"/>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tcPr>
          <w:p>
            <w:pPr>
              <w:ind w:left="20"/>
              <w:spacing w:after="0" w:line="133" w:lineRule="exact"/>
              <w:rPr>
                <w:sz w:val="20"/>
                <w:szCs w:val="20"/>
                <w:color w:val="auto"/>
              </w:rPr>
            </w:pPr>
            <w:r>
              <w:rPr>
                <w:rFonts w:ascii="Times New Roman" w:cs="Times New Roman" w:eastAsia="Times New Roman" w:hAnsi="Times New Roman"/>
                <w:sz w:val="15"/>
                <w:szCs w:val="15"/>
                <w:color w:val="auto"/>
              </w:rPr>
              <w:t>facility</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Oak Brook, Illinois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Seattle, Washington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Shanghai,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New York, New York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Atlanta, Georgia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Guangzhou,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Bentonville, Arkansas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Newtown, Pennsylvania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Pawtucket, Rhode Island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Menomonee Falls, Wisconsin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Tianjin, China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Minneapolis, Minnesota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19"/>
        </w:trPr>
        <w:tc>
          <w:tcPr>
            <w:tcW w:w="34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Kowloon, Hong Kong </w:t>
            </w:r>
            <w:r>
              <w:rPr>
                <w:rFonts w:ascii="Times New Roman" w:cs="Times New Roman" w:eastAsia="Times New Roman" w:hAnsi="Times New Roman"/>
                <w:sz w:val="22"/>
                <w:szCs w:val="22"/>
                <w:color w:val="auto"/>
                <w:vertAlign w:val="superscript"/>
              </w:rPr>
              <w:t>(3)</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w:t>
            </w:r>
          </w:p>
        </w:tc>
      </w:tr>
      <w:tr>
        <w:trPr>
          <w:trHeight w:val="29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Issaquah, Washington </w:t>
            </w:r>
            <w:r>
              <w:rPr>
                <w:rFonts w:ascii="Times New Roman" w:cs="Times New Roman" w:eastAsia="Times New Roman" w:hAnsi="Times New Roman"/>
                <w:sz w:val="22"/>
                <w:szCs w:val="22"/>
                <w:color w:val="auto"/>
                <w:vertAlign w:val="superscript"/>
              </w:rPr>
              <w:t>(1)</w:t>
            </w:r>
          </w:p>
        </w:tc>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Offices and showroom</w:t>
            </w:r>
          </w:p>
        </w:tc>
      </w:tr>
    </w:tbl>
    <w:p>
      <w:pPr>
        <w:spacing w:after="0" w:line="16" w:lineRule="exact"/>
        <w:rPr>
          <w:sz w:val="20"/>
          <w:szCs w:val="20"/>
          <w:color w:val="auto"/>
        </w:rPr>
      </w:pPr>
    </w:p>
    <w:p>
      <w:pPr>
        <w:ind w:left="460" w:hanging="457"/>
        <w:spacing w:after="0"/>
        <w:tabs>
          <w:tab w:leader="none" w:pos="46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Location primarily used by the U.S. segment.</w:t>
      </w:r>
    </w:p>
    <w:p>
      <w:pPr>
        <w:ind w:left="460" w:hanging="457"/>
        <w:spacing w:after="0"/>
        <w:tabs>
          <w:tab w:leader="none" w:pos="4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Location used by the International segment.</w:t>
      </w:r>
    </w:p>
    <w:p>
      <w:pPr>
        <w:spacing w:after="0" w:line="3"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Location used by both segments.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87"/>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(square feet)</w:t>
            </w:r>
          </w:p>
        </w:tc>
        <w:tc>
          <w:tcPr>
            <w:tcW w:w="14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Leased</w:t>
            </w:r>
          </w:p>
        </w:tc>
      </w:tr>
      <w:tr>
        <w:trPr>
          <w:trHeight w:val="221"/>
        </w:trPr>
        <w:tc>
          <w:tcPr>
            <w:tcW w:w="2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703,000</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6"/>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40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400"/>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r>
      <w:tr>
        <w:trPr>
          <w:trHeight w:val="305"/>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305"/>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19"/>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r>
        <w:trPr>
          <w:trHeight w:val="223"/>
        </w:trPr>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Leased</w:t>
            </w:r>
          </w:p>
        </w:tc>
      </w:tr>
    </w:tbl>
    <w:p>
      <w:pPr>
        <w:spacing w:after="0" w:line="815" w:lineRule="exact"/>
        <w:rPr>
          <w:sz w:val="20"/>
          <w:szCs w:val="20"/>
          <w:color w:val="auto"/>
        </w:rPr>
      </w:pPr>
    </w:p>
    <w:p>
      <w:pPr>
        <w:sectPr>
          <w:pgSz w:w="11900" w:h="16838" w:orient="portrait"/>
          <w:cols w:equalWidth="0" w:num="2">
            <w:col w:w="6840" w:space="100"/>
            <w:col w:w="4280"/>
          </w:cols>
          <w:pgMar w:left="320" w:top="123" w:right="35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For a description of our legal proceedings, please see NOTE 14 — COMMITMENTS AND CONTINGENCIES, to the Company's consolidated financial statements included in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2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0" w:lineRule="exact"/>
        <w:rPr>
          <w:sz w:val="20"/>
          <w:szCs w:val="20"/>
          <w:color w:val="auto"/>
        </w:rPr>
      </w:pPr>
    </w:p>
    <w:p>
      <w:pPr>
        <w:ind w:right="222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7"/>
          <w:szCs w:val="17"/>
          <w:color w:val="auto"/>
        </w:rPr>
        <w:t>The Company’s common stock is traded under the symbol “LCUT” on the Nasdaq Global Select Market (“Nasdaq”).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February 29, 2024, the Company estimates that there were approximately 3,881 record holders of the Company’s common stock.</w:t>
      </w:r>
    </w:p>
    <w:p>
      <w:pPr>
        <w:spacing w:after="0" w:line="21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Company is authorized to issue 100 shares of Series A Preferred stock and 2,000,000 shares of Series B Preferred stock, none of which were issued or outstanding at December 31, 2023.</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a discussion of dividends paid by the Company in 2023 and 2022, refer to Item 7. Management’s Discussion and Analysis of Financial Condition and Results of Operations – Liquidity and Capital Resources – Dividends. The Board of Directors currently intends to continue paying cash dividends for the foreseeable future, although the Board of Directors may in its discretion determine to modify or eliminate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18"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The following chart compares the cumulative total return on the Company’s common stock with the Nasdaq Market Index, the Hemscott Group Index for Housewares &amp; Accessories, the Company’s peer group, which is comprised of companies that we believe have comparable characteristics and are in the same industry or line-of-business.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894070" cy="3135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94070" cy="3135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Lifetime</w:t>
            </w:r>
          </w:p>
        </w:tc>
        <w:tc>
          <w:tcPr>
            <w:tcW w:w="22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Hemscott</w:t>
            </w:r>
          </w:p>
        </w:tc>
        <w:tc>
          <w:tcPr>
            <w:tcW w:w="28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New Peer</w:t>
            </w:r>
          </w:p>
        </w:tc>
        <w:tc>
          <w:tcPr>
            <w:tcW w:w="300" w:type="dxa"/>
            <w:vAlign w:val="bottom"/>
          </w:tcPr>
          <w:p>
            <w:pPr>
              <w:spacing w:after="0"/>
              <w:rPr>
                <w:sz w:val="13"/>
                <w:szCs w:val="13"/>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r>
        <w:trPr>
          <w:trHeight w:val="142"/>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Brands, Inc.</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Group Index</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300" w:type="dxa"/>
            <w:vAlign w:val="bottom"/>
          </w:tcPr>
          <w:p>
            <w:pPr>
              <w:spacing w:after="0"/>
              <w:rPr>
                <w:sz w:val="16"/>
                <w:szCs w:val="16"/>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0" w:type="dxa"/>
            <w:vAlign w:val="bottom"/>
          </w:tcPr>
          <w:p>
            <w:pPr>
              <w:spacing w:after="0"/>
              <w:rPr>
                <w:sz w:val="1"/>
                <w:szCs w:val="1"/>
                <w:color w:val="auto"/>
              </w:rPr>
            </w:pPr>
          </w:p>
        </w:tc>
      </w:tr>
      <w:tr>
        <w:trPr>
          <w:trHeight w:val="218"/>
        </w:trPr>
        <w:tc>
          <w:tcPr>
            <w:tcW w:w="3820" w:type="dxa"/>
            <w:vAlign w:val="bottom"/>
            <w:tcBorders>
              <w:top w:val="single" w:sz="8" w:color="auto"/>
            </w:tcBorders>
            <w:shd w:val="clear" w:color="auto" w:fill="CCEEFF"/>
          </w:tcPr>
          <w:p>
            <w:pPr>
              <w:spacing w:after="0" w:line="218" w:lineRule="exact"/>
              <w:rPr>
                <w:sz w:val="20"/>
                <w:szCs w:val="20"/>
                <w:color w:val="auto"/>
              </w:rPr>
            </w:pPr>
            <w:r>
              <w:rPr>
                <w:rFonts w:ascii="Times New Roman" w:cs="Times New Roman" w:eastAsia="Times New Roman" w:hAnsi="Times New Roman"/>
                <w:sz w:val="17"/>
                <w:szCs w:val="17"/>
                <w:color w:val="auto"/>
              </w:rPr>
              <w:t xml:space="preserve">12/31/2018 </w:t>
            </w:r>
            <w:r>
              <w:rPr>
                <w:rFonts w:ascii="Times New Roman" w:cs="Times New Roman" w:eastAsia="Times New Roman" w:hAnsi="Times New Roman"/>
                <w:sz w:val="22"/>
                <w:szCs w:val="22"/>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12/31/2019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136.69</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12/31/2020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198.10</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12/31/2021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12/31/2022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163.28</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12/31/2023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236.17</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60" w:hanging="457"/>
        <w:spacing w:after="0" w:line="251" w:lineRule="auto"/>
        <w:tabs>
          <w:tab w:leader="none" w:pos="448"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graph assumes $100 was invested as of the close of trading on December 31, 2018 and dividends were reinvested. Measurement points are at the last trading day of each of the fiscal years ended December 31, 2019, 2020, 2021, 2022 and 2023.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Peer Group comprises Acushnet Holdings Corp., Crocs, Inc., Hamilton Beach Brands Holding Co., Helen of Troy Ltd., Lands’ End, Inc., Johnson Outdoors Inc., Movado Group, Inc., Oxford Industries, Inc., The Buckle, Inc. and Tupperware Brands Corp., Unifi, Inc., Universal Electronics Inc., Vera Bradley, Inc., YETI Holdings, Inc.</w:t>
      </w:r>
    </w:p>
    <w:p>
      <w:pPr>
        <w:spacing w:after="0" w:line="34" w:lineRule="exact"/>
        <w:rPr>
          <w:rFonts w:ascii="Times New Roman" w:cs="Times New Roman" w:eastAsia="Times New Roman" w:hAnsi="Times New Roman"/>
          <w:sz w:val="9"/>
          <w:szCs w:val="9"/>
          <w:color w:val="auto"/>
        </w:rPr>
      </w:pPr>
    </w:p>
    <w:p>
      <w:pPr>
        <w:ind w:left="460" w:hanging="457"/>
        <w:spacing w:after="0" w:line="225" w:lineRule="auto"/>
        <w:tabs>
          <w:tab w:leader="none" w:pos="448"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graph was prepared by Zacks Investment Research, Inc. Used with permission. All rights reserved. Copyright 1980-2024. Index Data: Copyright NASDAQ OMX, Inc. Used with permission. All rights reserved.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“Risk Factors Summary”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THE COMPANY</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KitchenAid®, Mikasa®, Taylor®, Pfaltzgraff® , BUILT NY®, S'well®, Fred® &amp; Friends, KitchenCraft® , Rabbit®, and Kamenstein®.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 operates in two reportable segments: U.S. and International. The U.S. segment is the Company’s primary domestic business that designs, markets and distributes its products to retailers and distributors, as well as directly to consumers through third parties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INVESTMENTS</w:t>
      </w:r>
    </w:p>
    <w:p>
      <w:pPr>
        <w:spacing w:after="0" w:line="2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color w:val="auto"/>
        </w:rPr>
        <w:t>The Company owns 24.7% interest in Grupo Vasconia S.A.B (“Vasconia”), an integrated manufacturer of aluminum products and a housewares company in Mexico.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consolidated statements of operations. Accordingly, the Company has recorded its proportionate share of Vasconia's net income (reduced for amortization expense related to the customer relationships acquired) for the years ended December 31, 2023, 2022, and 2021 in the accompanying consolidated statements of operations. Pursuant to a Shares Subscription Agreement, the Company may designate four persons to be nominated as members of Vasconia’s Board of Directors. As of December 31, 2023, Vasconia's Board of Directors was comprised of 11 members of whom the Company had no designated members.</w:t>
      </w:r>
    </w:p>
    <w:p>
      <w:pPr>
        <w:spacing w:after="0" w:line="1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June 30, 2021, Vasconia issued additional shares of its stock,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consolidated statements of operations for the year ended December 31, 2021.</w:t>
      </w:r>
    </w:p>
    <w:p>
      <w:pPr>
        <w:spacing w:after="0" w:line="171"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7"/>
          <w:szCs w:val="17"/>
          <w:color w:val="auto"/>
        </w:rPr>
        <w:t>On July 29, 2021, the Company sold 2.2 million shares further reducing its ownership from approximately 27% to 24.7% in Vasconia for net cash proceeds of approximately $3.1 million, as a result the Company recorded a gain of $1.0 million, after decreasing the Company’s investment balance. The gain on the sale resulted in a tax expense of $0.1 million. Additionally, a loss of $1.4 million was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recognized for the proportionate share of the reduced ownership for amounts previously recognized in accumulated other comprehensive loss. The net loss, including taxes, of $0.5 million was included in equity in earnings, net of taxes, in the accompanying consolidated statements of operations for the year ended December 31, 2021. The Company continues to apply the equity method of accounting.</w:t>
      </w:r>
    </w:p>
    <w:p>
      <w:pPr>
        <w:spacing w:after="0" w:line="16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Company recorded equity in (losses) earnings of Vasconia, net of taxes, of $(5.8) million, $(3.3) million and $1.8 million for the years ended December 31, 2023, 2022 and 2021, respectively.</w:t>
      </w:r>
    </w:p>
    <w:p>
      <w:pPr>
        <w:spacing w:after="0" w:line="1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December 31, 2022, equity in losses included non-cash impairment charges of $6.8 million and $6.2 million, respectively, to reduce the carrying value of the Company’s investment in Vasconia to its fair value. The decline in the fair value was determined to be other than temporary due to the decline in the quoted stock price, the continued decline in the operating results of Vasconia and the downgrade in Vasconia’s debt rating.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Company’s business and working capital needs are seasonal, with a majority of sales occurring in the third and fourth quarters. In 2023, 2022 and 2021, net sales for the third and fourth quarters accounted for 57%, 54% and 56% of total annual net sales, respectively. The current market conditions and shifts in both consumer and retailer purchasing patterns has impacted the seasonality of the Company's net sales compared to historical trend. In anticipation of the pre-holiday shipping season, inventory levels increase primarily in the June through October time period.</w:t>
      </w:r>
    </w:p>
    <w:p>
      <w:pPr>
        <w:spacing w:after="0" w:line="17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Consistent with the seasonality of the Company’s net sales and inventory levels, the Company also experiences seasonality in its inventory turnover and turnover days from one quarter to the next.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w:t>
      </w:r>
    </w:p>
    <w:p>
      <w:pPr>
        <w:spacing w:after="0" w:line="11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$0.8 million of restructuring expense in connection with the termination of the Company’s Executive Chairman as described below.</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2022, the Company’s U.S. segment incurred $0.4 million of restructuring expense in connection with the reorganization of the U.S. segment’s sales management structure. The payment was made in 2023.</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2022, the Company incurred $0.6 million of unallocated expense related to the termination payment with its Executive Chairman, Jeffrey Siegel. On November 1, 2022, the Company entered into a transition agreement with Jeffrey Siegel, which terminated his employment with the Company, effective March 31, 2023. The transition agreement amended Mr. Siegel’s employment agreement which was to expire on December 31, 2022. The employment agreement provided for a one-time payment, which was paid on April 7, 2023. The one-time payment of $1.4 million, was recognized over the remaining employment period with $0.6 million recognized in the fourth quarter of 2023 and the remaining $0.8 million recognized in 2023.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global economy has experienced relatively high inflation in 2023, which has in part been caused by supply chain disruptions and higher consumer spending. The rise in inflation contributed to higher prices, increased transportation and labor cost and impacted consumer spending and buying patterns. Retailers responded to the economic challenges by rightsizing inventory levels and further reducing safety stock and weekly supply on hand. Inflation rates started to decrease in the second half of 2023 and retailers’ ordering patterns began to normalize. However, impacts of high interest rates have resulted in higher interest expense on the Company’s outstanding borrowings and may impact consumer spending and buying patterns into 2024. Additionally, the recent attacks on commercial vessels in the Red Sea, may cause supply chain disruptions resulting in shipping delays and an increase in transportation costs. Further, the U.K. economy has been facing unfavorable economic and market conditions, with high inflation and low consumer confidence due to uncertain geopolitical and economic outlooks. The Company has been adversely impacted by these trends in 2022 and 2023 and expects that these trends have continued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ADOPTION OF ACCOUNTING PRINCIPLES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accounting pronouncements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Effective January 1, 2023, the Company adopted ASU 2016-13, Measurement of Credit Losses on Financial Instruments. This guidance introduces a new model for recognizing credit losses on financial instruments based on an estimate of current expected credit losses, to include historical experience, current conditions and reasonable and supportable forecasts. The Company adopted this guidance on a modified retrospective basis and the adoption did not have a material impact on the Company’s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which enhances the disclosures required for operating segments in the Company’s annual and interim consolidated financial statements. The new guidance is effective for public business entities for fiscal years beginning after December 15, 2023, and interim periods within fiscal years beginning after December 15, 2024 on a retrospective basis. Early adoption is permitted. Management is currently evaluating the impact of this standard on its consolidated financial statements and related disclosures.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The results of operations below focuses on the results of the year ended December 31, 2023 compared to the year ended December 31, 2022. For a discussion of 2022 compared to 2021 refer to “Management's Discussion and Analysis of Financial Condition and Results of Operations”, in Part II, Item 7 of the Company’s Annual Report on Form 10-K for the year ended December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statement of operations data of the Company as a percentage of net sales for the periods indicated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top w:val="single" w:sz="8" w:color="auto"/>
            </w:tcBorders>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3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62.9</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64.8</w:t>
            </w:r>
          </w:p>
        </w:tc>
        <w:tc>
          <w:tcPr>
            <w:tcW w:w="0" w:type="dxa"/>
            <w:vAlign w:val="bottom"/>
          </w:tcPr>
          <w:p>
            <w:pPr>
              <w:spacing w:after="0"/>
              <w:rPr>
                <w:sz w:val="1"/>
                <w:szCs w:val="1"/>
                <w:color w:val="auto"/>
              </w:rPr>
            </w:pPr>
          </w:p>
        </w:tc>
      </w:tr>
      <w:tr>
        <w:trPr>
          <w:trHeight w:val="21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8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expenses</w:t>
            </w:r>
          </w:p>
        </w:tc>
        <w:tc>
          <w:tcPr>
            <w:tcW w:w="33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10.1</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22.2</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impairments</w:t>
            </w:r>
          </w:p>
        </w:tc>
        <w:tc>
          <w:tcPr>
            <w:tcW w:w="1840" w:type="dxa"/>
            <w:vAlign w:val="bottom"/>
          </w:tcPr>
          <w:p>
            <w:pPr>
              <w:spacing w:after="0"/>
              <w:rPr>
                <w:sz w:val="19"/>
                <w:szCs w:val="19"/>
                <w:color w:val="auto"/>
              </w:rPr>
            </w:pPr>
          </w:p>
        </w:tc>
        <w:tc>
          <w:tcPr>
            <w:tcW w:w="14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3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0.1</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facility remediation expense</w:t>
            </w:r>
          </w:p>
        </w:tc>
        <w:tc>
          <w:tcPr>
            <w:tcW w:w="1840" w:type="dxa"/>
            <w:vAlign w:val="bottom"/>
          </w:tcPr>
          <w:p>
            <w:pPr>
              <w:spacing w:after="0"/>
              <w:rPr>
                <w:sz w:val="19"/>
                <w:szCs w:val="19"/>
                <w:color w:val="auto"/>
              </w:rPr>
            </w:pPr>
          </w:p>
        </w:tc>
        <w:tc>
          <w:tcPr>
            <w:tcW w:w="14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8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300" w:type="dxa"/>
            <w:vAlign w:val="bottom"/>
            <w:gridSpan w:val="2"/>
          </w:tcPr>
          <w:p>
            <w:pPr>
              <w:ind w:left="2800"/>
              <w:spacing w:after="0"/>
              <w:rPr>
                <w:sz w:val="20"/>
                <w:szCs w:val="20"/>
                <w:color w:val="auto"/>
              </w:rPr>
            </w:pPr>
            <w:r>
              <w:rPr>
                <w:rFonts w:ascii="Times New Roman" w:cs="Times New Roman" w:eastAsia="Times New Roman" w:hAnsi="Times New Roman"/>
                <w:sz w:val="17"/>
                <w:szCs w:val="17"/>
                <w:color w:val="auto"/>
              </w:rPr>
              <w:t>(3.2)</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to market (loss) gain on interest rate derivatives</w:t>
            </w:r>
          </w:p>
        </w:tc>
        <w:tc>
          <w:tcPr>
            <w:tcW w:w="330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7"/>
                <w:szCs w:val="17"/>
                <w:color w:val="auto"/>
              </w:rPr>
              <w:t>(0.1)</w:t>
            </w:r>
          </w:p>
        </w:tc>
        <w:tc>
          <w:tcPr>
            <w:tcW w:w="15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extinguishments of debt, net</w:t>
            </w:r>
          </w:p>
        </w:tc>
        <w:tc>
          <w:tcPr>
            <w:tcW w:w="330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 and equity in (losses) earnings</w:t>
            </w:r>
          </w:p>
        </w:tc>
        <w:tc>
          <w:tcPr>
            <w:tcW w:w="18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tcBorders>
              <w:top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300" w:type="dxa"/>
            <w:vAlign w:val="bottom"/>
            <w:gridSpan w:val="2"/>
          </w:tcPr>
          <w:p>
            <w:pPr>
              <w:ind w:left="2800"/>
              <w:spacing w:after="0"/>
              <w:rPr>
                <w:sz w:val="20"/>
                <w:szCs w:val="20"/>
                <w:color w:val="auto"/>
              </w:rPr>
            </w:pPr>
            <w:r>
              <w:rPr>
                <w:rFonts w:ascii="Times New Roman" w:cs="Times New Roman" w:eastAsia="Times New Roman" w:hAnsi="Times New Roman"/>
                <w:sz w:val="17"/>
                <w:szCs w:val="17"/>
                <w:color w:val="auto"/>
              </w:rPr>
              <w:t>(0.9)</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(losses) earnings, net of taxes</w:t>
            </w:r>
          </w:p>
        </w:tc>
        <w:tc>
          <w:tcPr>
            <w:tcW w:w="330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7"/>
                <w:szCs w:val="17"/>
                <w:color w:val="auto"/>
              </w:rPr>
              <w:t>(1.8)</w:t>
            </w:r>
          </w:p>
        </w:tc>
        <w:tc>
          <w:tcPr>
            <w:tcW w:w="15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184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vMerge w:val="restart"/>
          </w:tcPr>
          <w:p>
            <w:pPr>
              <w:jc w:val="right"/>
              <w:ind w:right="874"/>
              <w:spacing w:after="0"/>
              <w:rPr>
                <w:sz w:val="20"/>
                <w:szCs w:val="20"/>
                <w:color w:val="auto"/>
              </w:rPr>
            </w:pPr>
            <w:r>
              <w:rPr>
                <w:rFonts w:ascii="Times New Roman" w:cs="Times New Roman" w:eastAsia="Times New Roman" w:hAnsi="Times New Roman"/>
                <w:sz w:val="17"/>
                <w:szCs w:val="17"/>
                <w:color w:val="auto"/>
              </w:rPr>
              <w:t>31</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48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2023 COMPARED TO 2022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Net sales for the year ended December 31, 2023 were $686.7 million, a decrease of $41.0 million, or 5.6%, compared to net sales of $727.7 million in 2022. In constant currency, a non-GAAP financial measure, which excludes the impact of foreign exchange fluctuations and was determined by applying 2023 average rates to 2022 local currency amounts, net sales decreased $41.0 million, or 5.6%, as compared to consolidated net sales in the corresponding period in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for the U.S. segment in 2023 were $633.1 million, a decrease of $36.1 million, or 5.4%, compared to net sales of $669.2 million in 2022.</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Net sales for the U.S. segment’s Kitchenware product category in 2023 were $386.7 million, a decrease of $16.2 million, or 4.0%, compared to net sales of $402.9 million in 2022. The net sales decrease in the U.S. segment’s Kitchenware product category was driven by lower sales for kitchen tools and gadgets, cutlery and board, and bakeware products. The decrease was attributable to, generally, lower sales in the first half of 2023 due to retail inventory rightsizing, which began in the second quarter of 2022, warehouse programs not repeated in 2023 and a specialty retailer that closed its stores in early 2023. Notwithstanding the decline and the repositioning, in addition, the decrease was partially offset by higher sales in the second half of 2023 as retailers' ordering patterns normalized most notably in the off-price and e-commerce channel.</w:t>
      </w:r>
    </w:p>
    <w:p>
      <w:pPr>
        <w:spacing w:after="0" w:line="17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Net sales for the U.S. segment’s Tableware product category in 2023 were $138.3 million, a decrease of $10.5 million, or 7.1%, compared to net sales of $148.8 million for 2022. The decrease was attributable to, generally, lower sales in the first half of 2023 due to retail inventory rightsizing, which began in the second quarter of 2022, warehouse programs not repeated in 2023, and a specialty retailer that closed its stores in early 2023. This was partially offset by higher sales to off-price retailers.</w:t>
      </w:r>
    </w:p>
    <w:p>
      <w:pPr>
        <w:spacing w:after="0" w:line="17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Net sales for the U.S. segment’s Home Solutions products category in 2023 were $108.1 million, a decrease of $9.4 million, or 8.0%, compared to net sales of $117.5 million in 2022. The decrease was due to lower hydration product sales primarily through the corporate sales channel.</w:t>
      </w:r>
    </w:p>
    <w:p>
      <w:pPr>
        <w:spacing w:after="0" w:line="15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Net sales for the International segment in 2023 were $53.6 million, a decrease of $4.9 million, or 8.4%, compared to net sales of $58.5 million for 2022. In constant currency, a non-GAAP financial measure, which excludes the impact of foreign exchange fluctuations and was determined by applying 2023 average exchange rates to 2022 local currency amounts, net sales decreased approximately 8.5%. The decrease was due to generally weak demand in European channels caused by macroeconomic factors.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for 2023 was $254.6 million, or 37.1%, compared to $260.3 million, or 35.8%, for the corresponding period in 2022.</w:t>
      </w:r>
    </w:p>
    <w:p>
      <w:pPr>
        <w:spacing w:after="0" w:line="21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Gross margin for the U.S. segment was $236.5 million, or 37.4%, for 2023, compared to $241.1 million, or 36.0%, for 2022. The decrease in gross margin dollars was due to lower sales. However, it was largely offset by a significant improvement in gross margin percentage due to lower inbound freight rates and favorable product mix.</w:t>
      </w:r>
    </w:p>
    <w:p>
      <w:pPr>
        <w:spacing w:after="0" w:line="165"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Gross margin for the International segment was $18.1 million, or 33.8%, for 2023, compared to $19.2 million, or 32.8%, for 2022. The decrease in gross margin dollars was due to lower sales. However, this was partially offset by an increase in gross margin percentage was attributable to lower product costs and inbound freight rates.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expenses</w:t>
      </w:r>
    </w:p>
    <w:p>
      <w:pPr>
        <w:spacing w:after="0" w:line="1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Distribution expenses were $69.2 million for the 2023 period as compared to $74.9 million for the 2022 period. Distribution expenses as a percentage of net sales were 10.1% and 10.3% in 2023 and 2022.</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Distribution expenses as a percentage of net sales for the U.S. segment were approximately 8.8% in 2023 and 9.1% in 2022. Distribution expenses in 2023 and 2022 include $0.6 million and $0.1 million, respectively, for redesign costs related to the Company’s U.S. warehouses. As a percentage of sales shipped from the Company’s warehouses, excluding warehouse redesign expenses, distribution expenses were 9.4% and 10.1% for 2023 and 2022. The decrease in the expenses as a percentage of sales was a result of lower storage expenses, improved labor management efficiencies resulting in a decrease of employee expenses, and pallet expenses, partially offset by higher labor rates and real estate taxes.</w:t>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Distribution expenses as a percentage of net sales for the International segment were approximately 25.0% in 2023 and 23.8% in 2022, respectively. Distribution expenses in 2022 include $0.5 million for the Company’s relocation costs for its new warehouse distribution facility in the Netherlands. As a percentage of sales shipped from the Company’s warehouses, excluding the relocation expenses, distribution expenses, were 22.3% and 21.5% for 2023 and 2022, respectively. The increase in the expense as a percentage of sales was primarily attributed to lower shipment volume resulting in an unfavorable impact on fixed expenses.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11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Selling, general and administrative (“SG&amp;A”) expenses for 2023 were $152.6 million, a decrease of $1.9 million, or 1.2%, as compared to $154.5 million for 2022.</w:t>
      </w:r>
    </w:p>
    <w:p>
      <w:pPr>
        <w:spacing w:after="0" w:line="1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SG&amp;A expenses for 2023 for the U.S. segment were $117.4 million, a decrease of $0.8 million, or 0.7%, compared to $118.2 million for 2022. As a percentage of net sales, SG&amp;A expenses were 18.5% for 2023, compared to 17.7% for 2022. The decrease in the expenses was attributable to cost incurred in the prior year for integration costs related to the S’well acquisition and financing fees on receivables sold to HSBC. This was partially offset by higher incentive compensation expenses and the provision for doubtful accounts primarily related to significant declines in financial condition of a customer. The increase in selling, general and administrative expense as a percentage of net sales is due to the unfavorable impact of fixed costs on lower sales volume.</w:t>
      </w:r>
    </w:p>
    <w:p>
      <w:pPr>
        <w:spacing w:after="0" w:line="17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SG&amp;A expenses for 2023 for the International segment were $15.7 million, a decrease of $1.3 million, or 7.6%, compared to $17.0 million for 2022. As a percentage of net sales, SG&amp;A expenses was 29.3% for 2023, compared to 29.1% for 2022. The International segment expenses decreased primarily due to lower foreign currency exchange losses.</w:t>
      </w:r>
    </w:p>
    <w:p>
      <w:pPr>
        <w:spacing w:after="0" w:line="16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Unallocated corporate expenses for 2023 were $19.5 million, compared to $19.3 million for 2022. The increase was driven by higher incentive compensation expense, partially offset by lower salary costs, as a result of the elimination of the Executive chairman role as of March 31, 2023 and lower stock compensation expense.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11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$0.8 million of restructuring expense in connection with the termination of the Company’s Executive Chairman as described below.</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2022, the Company’s U.S. segment incurred $0.4 million of restructuring expense in connection with the reorganization of the U.S. segment’s sales management structure. The payment was made in 2023.</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2022, the Company incurred $0.6 million of unallocated expense related to the termination payment with its Executive Chairman, Jeffrey Siegel. On November 1, 2022, the Company entered into a transition agreement with Jeffrey Siegel, which terminated his employment with the Company, effective March 31, 2023. The transition agreement amended Mr. Siegel’s employment agreement which was to expire on December 31, 2022. The employment agreement provided for a one-time payment, which was paid on April 7, 2023. The one-time payment of $1.4 million, was recognized over the remaining employment period with $0.6 million recognized in the fourth quarter of 2022 and the remaining $0.8 million recognized in 2023.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Wallace facility remediation expense</w:t>
      </w:r>
    </w:p>
    <w:p>
      <w:pPr>
        <w:spacing w:after="0" w:line="11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For the period ended December 31, 2022, in connection with the Wallace EPA Matter (as described in NOTE 14 — COMMITMENTS AND CONTINGENCIES, the “Wallace EPA Matter”), the Company recorded an expense of $5.1 million, for the estimated liability for remediation cost related to the Wallace EPA Matter. Refer to NOTE 14 — COMMITMENTS AND CONTINGENCIES for further discussion on this matter.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Interest expense for 2023 was $21.7 million, compared to $17.2 million for 2022. The increase was a result of higher interest rates on outstanding borrowings in the current period, partially offset by lower average outstanding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to market (loss) gain on interest rate derivatives</w:t>
      </w:r>
    </w:p>
    <w:p>
      <w:pPr>
        <w:spacing w:after="0" w:line="11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Mark to market loss on interest rate derivatives was $(0.5) million for the year ended December 31, 2023, as compared to a mark to market gain on interest rate derivatives of $2.0 million for the year ended December 31, 2022. The mark to market amount represents the change in the fair value on the Company’s interest rate derivatives that have not been designated as hedging instruments. The decrease was attributable to the change in the fair value at the end of December 31, 2022 due to increases in interest rates. These derivatives were entered into for purposes of locking-in a fixed interest rate on the Company's variable interest rate debt. As of December 31, 2023, the intent of the Company is to hold these derivative contracts until their maturity.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on extinguishments of debt, net</w:t>
      </w:r>
    </w:p>
    <w:p>
      <w:pPr>
        <w:spacing w:after="0" w:line="11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Gain on extinguishments of debt, net was $0.8 million for the year ended December 31, 2023, consisting of a $1.5 million gain in connection with the repurchase of $47.2 million in principal amount of the Term Loan, and $0.7 million of loss recorded on the prepayment of Term Loan principal in connection with Amendment No. 2 to the Term Loan. Refer to NOTE 8 — DEBT for further details of these transactions.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income tax provision was $6.2 million in 2023 and $5.7 million in 2022. The Company’s effective tax rate for 2023 was 59.4%, compared to 63.4% for 2022. The effective tax rate in 2023 and 2022 was driven primarily by state and local tax expenses, nondeductible expenses, and foreign losses for which no tax benefit is recognized as such amounts are fully offset with a valuation allowance.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 (losses) earnings</w:t>
      </w:r>
    </w:p>
    <w:p>
      <w:pPr>
        <w:spacing w:after="0" w:line="11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Equity in losses of Vasconia, net of taxes, was $12.7 million for the year ended December 31, 2023, as compared to equity in losses of Vasconia, net of taxes, of $9.5 million for the year ended December 31, 2022. During the years ended December 31, 2023 and December 31, 2022, equity in losses included non-cash impairment charges of $6.8 million and $6.2 million, respectively, to reduce the carrying value of the Company’s investment in Vasconia to its fair value. The decline in the fair value was determined to be other than temporary due to the decline in the quoted stock price, the continued decline in the operating results of Vasconia and the downgrade in Vasconia’s debt rating.</w:t>
      </w:r>
    </w:p>
    <w:p>
      <w:pPr>
        <w:spacing w:after="0" w:line="17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Vasconia reported loss from operations for 2023 of $10.9 million, as compared to loss of $1.6 million for 2022 and reported net loss of $23.6 million in 2023 and net loss of $13.2 million in 2022. The decrease in income from operations was primarily attributable to decreased operating results in 2023.</w:t>
      </w:r>
    </w:p>
    <w:p>
      <w:pPr>
        <w:spacing w:after="0" w:line="15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effect of the translation of the Company’s investment, as well as the translation of Vasconia’s balance sheet, resulted in an increase of the investment of $2.0 million during the year ended December 31, 2023 and a decrease of the investment of $0.3 million during the year ended December 31,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Management’s Discussion and Analysis of Financial Condition and Results of Operations </w:t>
      </w:r>
      <w:r>
        <w:rPr>
          <w:rFonts w:ascii="Times New Roman" w:cs="Times New Roman" w:eastAsia="Times New Roman" w:hAnsi="Times New Roman"/>
          <w:sz w:val="17"/>
          <w:szCs w:val="17"/>
          <w:color w:val="auto"/>
        </w:rPr>
        <w:t>discusses the Company’s audited consolidated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estimates for unpaid healthcare claims, impairment of goodwill, tangible and intangible assets, stock compensation expense, accruals related to the Company’s tax positions and tax valuation allowances. Actual results may differ from these estimates using different assumptions and under different conditions and changes in these estimates are recorded when known. The Company’s significant accounting policies are more fully described in NOTE 1 — SIGNIFICANT ACCOUNTING POLICIES in the Notes to the consolidated financial statements included in Item</w:t>
      </w:r>
    </w:p>
    <w:p>
      <w:pPr>
        <w:spacing w:after="0" w:line="5" w:lineRule="exact"/>
        <w:rPr>
          <w:sz w:val="20"/>
          <w:szCs w:val="20"/>
          <w:color w:val="auto"/>
        </w:rPr>
      </w:pPr>
    </w:p>
    <w:p>
      <w:pPr>
        <w:ind w:right="100" w:firstLine="3"/>
        <w:spacing w:after="0" w:line="266" w:lineRule="auto"/>
        <w:tabs>
          <w:tab w:leader="none" w:pos="25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118"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not considered to be 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38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1"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 Projected net sales for the related brands and royalty rates were determined to be significant assumptions because they are the primary drivers of the projected cash flows in the relief from royalty model. Cost of capital was also determined to be a significant assumption as it is the discount rate used to calculate the current fair value of those projected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1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The Company performed an interim impairment test of the goodwill in the U.S. reporting unit as of September 30, 2023, by comparing its fair value with its carrying value. The analysis was performed by using a discounted cash flow and market multiple method. Based upon the analysis performed, the Company determined that the fair value of the Company's U.S. reporting unit exceeded its carrying value, and therefore goodwill was not impaired. As of September 30, 2023, the fair value of the U.S. reporting unit exceeded the carrying value of goodwill by 4%.</w:t>
      </w:r>
    </w:p>
    <w:p>
      <w:pPr>
        <w:spacing w:after="0" w:line="17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performed its annual impairment assessment of its U.S. reporting unit as of October 1, 2023 by comparing the fair value of the reporting unit with its carrying value. The Company performed the analysis using a discounted cash flow and market multiple method. As of October 1, 2023, the fair value of the U.S. reporting unit exceeded the carrying value of goodwill by 4%.</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December 31, 2023, the Company assessed the carrying value of goodwill and determined, based on qualitative factors, that no impairment indicators existed for goodwill.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goodwill for the U.S reporting unit was $33.2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trade names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performed an interim quantitative impairment analysis as of September 30, 2023, of its indefinite-lived trade names by comparing the fair value of the indefinite-lived trade names to their respective carrying values. 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 The Company determined that the fair value of all its indefinite-lived trade names were above their respective carrying values, and therefore its indefinite-lived intangible assets were not impaired. In connection with the interim impairment analysis, the Company determined that one trade name, previously estimated to contribute to cash flows indefinitely, has a definite life. Accordingly, the trade name will be reclassified from indefinite-lived to finite-lived or amortizable intangible assets as of October 1, 2023. The trade name will be amortized over an estimated useful life of 15 years. As of September 30, 2023, the fair value of the Company’s indefinite-lived trade name exceeded the respective carrying value by 7%.</w:t>
      </w:r>
    </w:p>
    <w:p>
      <w:pPr>
        <w:spacing w:after="0" w:line="17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completed the quantitative impairment analysis for its indefinite-lived asset as of October 1, 2023, by comparing the fair value of the indefinite-lived trade name to its respective carrying value using a relief from royalty method. As of October 1, 2023, the fair value of the Company’s indefinite-lived trade name exceeded its respective carrying value by 7%.</w:t>
      </w:r>
    </w:p>
    <w:p>
      <w:pPr>
        <w:spacing w:after="0" w:line="165"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7"/>
          <w:szCs w:val="17"/>
          <w:color w:val="auto"/>
        </w:rPr>
        <w:t>As of December 31, 2023, the Company assessed the carrying value of its indefinite-lived trade name and determined based on qualitative factors that no impairment existed.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Company’s indefinite-lived trade name was $42.0 million as of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Long-lived assets</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terms vary by customer, but generally range from 30 to 90 days or at the point of sale for the Company’s retail direct sales.</w:t>
      </w:r>
    </w:p>
    <w:p>
      <w:pPr>
        <w:spacing w:after="0" w:line="21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Company’s principal sources of funds consists of cash provided by operating activities, borrowings available under its revolving credit facility and from time-to-time working capital reductions. The Company’s primary uses of funds consist of payments of principal and interest on its debt, working capital requirements, capital expenditures and dividends. From time-to-time uses also include acquisitions and repurchases of its common stock.</w:t>
      </w:r>
    </w:p>
    <w:p>
      <w:pPr>
        <w:spacing w:after="0" w:line="16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At December 31, 2023 and 2022, the Company had cash and cash equivalents of $16.2 million and $23.6 million, respectively, and working capital of $224.4 million at December 31, 2023, compared to $270.4 million at December 31, 2022. The current ratio (current assets to current liabilities) was 2.5 to 1.0 at December 31, 2023, compared to 3.1 to 1.0 at December 31, 2022. The decrease in the current ratio was primarily due to lower inventory level compared to the prior year and timing of payments for current obligations.</w:t>
      </w:r>
    </w:p>
    <w:p>
      <w:pPr>
        <w:spacing w:after="0" w:line="17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At December 31, 2023, borrowings under the Company’s ABL Agreement were $60.4 million and $150.0 million was outstanding under the Term Loan. At December 31, 2022, borrowings under the Company’s ABL Agreement were $10.4 million and $245.9 million was outstanding under the Term Loan.</w:t>
      </w:r>
    </w:p>
    <w:p>
      <w:pPr>
        <w:spacing w:after="0" w:line="15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Liquidity as of December 31, 2023 was $133.9 million, consisting of $16.2 million of cash and cash equivalents, $89.4 million of availability under the ABL Agreement, limited by the Term Loan financial covenant, and $28.3 million of available funding under the Receivables Purchase Agreement.</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2023 inventory turnover was 2.5 times, or 145 days, as compared to 2.1 times, or 170 days, for the three months ended December 31, 2022. Inventory turns have improved due to lower inventory levels at December 31, 2023 compared to the prior year.</w:t>
      </w:r>
    </w:p>
    <w:p>
      <w:pPr>
        <w:spacing w:after="0" w:line="17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On February 7, 2024, in connection with the Wallace EPA Matter, the Company provided financial assurance of $5.6 million in the form of a letter of credit. This reduces the availability under the revolving credit facility by the same amount.</w:t>
      </w:r>
    </w:p>
    <w:p>
      <w:pPr>
        <w:spacing w:after="0" w:line="1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believes that availability under the revolving credit facility under its ABL Agreement, cash on hand and cash flows from operations are sufficient to fund the Company’s operations for the next 12 months. However, if circumstances were to adversely change, the Company may seek alternative sources of liquidity including debt and/or equity financing. However, there can be no assurance that any such alternative sources would be available or sufficient.</w:t>
      </w:r>
    </w:p>
    <w:p>
      <w:pPr>
        <w:spacing w:after="0" w:line="16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future changes in these conditions.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August 26, 2022, the Company entered into Amendment No. 2 (the “Amendment”) to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will mature on August 26, 2027.</w:t>
      </w:r>
    </w:p>
    <w:p>
      <w:pPr>
        <w:spacing w:after="0" w:line="17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On November 14, 2023, the Company entered into Amendment No. 2 (the “Term Loan Amendment”) to amend the Loan Agreement, dated as of March 2, 2018, among the Company, as borrower, the other loan parties from time to time party thereto, the lenders from time to time party thereto, and JPMorgan Chase Bank, N.A., as Administrative Agent (as amended, the “Term Loan”). The Term Loan has a principal amount of $150.0 million, and matures on August 26, 2027.</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and 2022, the total availability under the ABL Agreement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60" w:type="dxa"/>
            <w:vAlign w:val="bottom"/>
          </w:tcPr>
          <w:p>
            <w:pPr>
              <w:spacing w:after="0"/>
              <w:rPr>
                <w:sz w:val="17"/>
                <w:szCs w:val="17"/>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189,411</w:t>
            </w:r>
          </w:p>
        </w:tc>
      </w:tr>
      <w:tr>
        <w:trPr>
          <w:trHeight w:val="219"/>
        </w:trPr>
        <w:tc>
          <w:tcPr>
            <w:tcW w:w="7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Outstanding borrowings under the ABL Agreement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r>
      <w:tr>
        <w:trPr>
          <w:trHeight w:val="21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118,630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176,222</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 that it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December 31, 2023, the availability under the ABL Agreement, limited by the Term Loan financial covenant, was $89.4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non-current portions of the Company’s Term Loan facility included in the consolidated balance sheets are presented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00" w:type="dxa"/>
            <w:vAlign w:val="bottom"/>
          </w:tcPr>
          <w:p>
            <w:pPr>
              <w:spacing w:after="0"/>
              <w:rPr>
                <w:sz w:val="17"/>
                <w:szCs w:val="17"/>
                <w:color w:val="auto"/>
              </w:rPr>
            </w:pPr>
          </w:p>
        </w:tc>
        <w:tc>
          <w:tcPr>
            <w:tcW w:w="1960" w:type="dxa"/>
            <w:vAlign w:val="bottom"/>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18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Term Loan facility:</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03"/>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Term Loan facility payment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portion of Term Loan facility</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5"/>
        </w:trPr>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portion of Term Loan facility:</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Term Loan facility, net of current portion</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245,911</w:t>
            </w:r>
          </w:p>
        </w:tc>
      </w:tr>
      <w:tr>
        <w:trPr>
          <w:trHeight w:val="203"/>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(3,054)</w:t>
            </w:r>
          </w:p>
        </w:tc>
      </w:tr>
      <w:tr>
        <w:trPr>
          <w:trHeight w:val="22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Non-current portion of Term Loan facility</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242,857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there is no Excess Cash Flow Payment due for 2024.</w:t>
      </w:r>
    </w:p>
    <w:p>
      <w:pPr>
        <w:spacing w:after="0" w:line="217"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The Company’s Term Loan facility was reduced to $150.0 million at December 31, 2023 from $245.9 million at December 31, 2022 through the following transactions:</w:t>
      </w:r>
    </w:p>
    <w:p>
      <w:pPr>
        <w:spacing w:after="0" w:line="151" w:lineRule="exact"/>
        <w:rPr>
          <w:sz w:val="20"/>
          <w:szCs w:val="20"/>
          <w:color w:val="auto"/>
        </w:rPr>
      </w:pPr>
    </w:p>
    <w:p>
      <w:pPr>
        <w:ind w:left="620" w:right="120" w:hanging="307"/>
        <w:spacing w:after="0" w:line="26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was $1.5 million, net of fees and expenses.</w:t>
      </w:r>
    </w:p>
    <w:p>
      <w:pPr>
        <w:spacing w:after="0" w:line="171"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Term Loan Amendment, the Company reduced its outstanding principal by a net amount of $48.7 million through a voluntary prepayment of principal (in accordance with the terms of the original Term Loan Agreement), net of the issuance of new proceeds and an extension of a portion of existing Term Loan. In connection with the Term Loan Amendment that Company incurred fees of $9.1 million, which will be amortized over the life of the debt using the effective interest method. The Company recognized a loss of of $0.7 million of unamortized debt issuance costs on the partial extinguishment for the portion of the Term Loan that was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95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of December 31, 2023, the future principal payments of the Term Loan are as follows (in thousands):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 w:type="dxa"/>
            <w:vAlign w:val="bottom"/>
            <w:vMerge w:val="restart"/>
          </w:tcPr>
          <w:p>
            <w:pPr>
              <w:spacing w:after="0"/>
              <w:rPr>
                <w:sz w:val="20"/>
                <w:szCs w:val="20"/>
                <w:color w:val="auto"/>
              </w:rPr>
            </w:pPr>
          </w:p>
        </w:tc>
        <w:tc>
          <w:tcPr>
            <w:tcW w:w="116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 w:type="dxa"/>
            <w:vAlign w:val="bottom"/>
            <w:vMerge w:val="continue"/>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2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consists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spacing w:after="0" w:line="3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2023 was between 6.47% and 6.72%. In addition, the Company paid a commitment fee of 0.25% on the unused portion of the ABL Agreement during the year ended December 31, 2023.</w:t>
      </w:r>
    </w:p>
    <w:p>
      <w:pPr>
        <w:spacing w:after="0" w:line="17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Term Loan facility bears interest, at the Company’s option, at one of the following rates: (i) alternate base rate, defined, for any day, as the greater of (x) the prime rate, (y) a federal funds and overnight bank funding based rate plus 0.50%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December 31, 2023 was 11.0%.</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was in compliance with the covenants of the Debt Agreements at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Covenant Calculations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Non-GAAP financial measure</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following is a reconciliation of net (loss) income as reported to adjusted EBITDA for the years ended December 31, 2023 and 2022 and each fiscal quarter of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57"/>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9"/>
        </w:trPr>
        <w:tc>
          <w:tcPr>
            <w:tcW w:w="46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income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(8,412)</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Undistributed equity losses,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12,665</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 (benefit) provision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6,222</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21,728</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19,571</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Mark to market loss (gain) on interest rate derivatives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3,687</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Contingent consideration fair value adjustments</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(Gain) loss on extinguishments of debt,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203"/>
        </w:trPr>
        <w:tc>
          <w:tcPr>
            <w:tcW w:w="460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w:t>
            </w:r>
          </w:p>
        </w:tc>
      </w:tr>
      <w:tr>
        <w:trPr>
          <w:trHeight w:val="209"/>
        </w:trPr>
        <w:tc>
          <w:tcPr>
            <w:tcW w:w="4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Restructuring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w:t>
            </w:r>
          </w:p>
        </w:tc>
      </w:tr>
      <w:tr>
        <w:trPr>
          <w:trHeight w:val="206"/>
        </w:trPr>
        <w:tc>
          <w:tcPr>
            <w:tcW w:w="4600" w:type="dxa"/>
            <w:vAlign w:val="bottom"/>
            <w:tcBorders>
              <w:bottom w:val="single" w:sz="8" w:color="CCEEFF"/>
            </w:tcBorders>
          </w:tcPr>
          <w:p>
            <w:pPr>
              <w:ind w:left="640"/>
              <w:spacing w:after="0" w:line="207" w:lineRule="exact"/>
              <w:rPr>
                <w:sz w:val="20"/>
                <w:szCs w:val="20"/>
                <w:color w:val="auto"/>
              </w:rPr>
            </w:pPr>
            <w:r>
              <w:rPr>
                <w:rFonts w:ascii="Times New Roman" w:cs="Times New Roman" w:eastAsia="Times New Roman" w:hAnsi="Times New Roman"/>
                <w:sz w:val="15"/>
                <w:szCs w:val="15"/>
                <w:color w:val="auto"/>
              </w:rPr>
              <w:t>Warehouse redesign expenses</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578</w:t>
            </w:r>
          </w:p>
        </w:tc>
      </w:tr>
      <w:tr>
        <w:trPr>
          <w:trHeight w:val="199"/>
        </w:trPr>
        <w:tc>
          <w:tcPr>
            <w:tcW w:w="460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0"/>
                <w:szCs w:val="20"/>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10,681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19,693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57,308</w:t>
            </w:r>
          </w:p>
        </w:tc>
      </w:tr>
    </w:tbl>
    <w:p>
      <w:pPr>
        <w:spacing w:after="0" w:line="57" w:lineRule="exact"/>
        <w:rPr>
          <w:sz w:val="20"/>
          <w:szCs w:val="20"/>
          <w:color w:val="auto"/>
        </w:rPr>
      </w:pPr>
    </w:p>
    <w:p>
      <w:pPr>
        <w:ind w:left="160" w:hanging="157"/>
        <w:spacing w:after="0"/>
        <w:tabs>
          <w:tab w:leader="none" w:pos="16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For the year ended December 31, 2023, the warehouse redesign expenses related to the U.S. segment.</w:t>
      </w:r>
    </w:p>
    <w:p>
      <w:pPr>
        <w:spacing w:after="0" w:line="41" w:lineRule="exact"/>
        <w:rPr>
          <w:rFonts w:ascii="Times New Roman" w:cs="Times New Roman" w:eastAsia="Times New Roman" w:hAnsi="Times New Roman"/>
          <w:sz w:val="20"/>
          <w:szCs w:val="20"/>
          <w:color w:val="auto"/>
          <w:vertAlign w:val="superscript"/>
        </w:rPr>
      </w:pPr>
    </w:p>
    <w:p>
      <w:pPr>
        <w:ind w:right="60" w:firstLine="3"/>
        <w:spacing w:after="0" w:line="255" w:lineRule="auto"/>
        <w:tabs>
          <w:tab w:leader="none" w:pos="15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Adjusted EBITDA is a non-GAAP financial measure that is defined in the Company’s debt agreements. Adjusted EBITDA is defined as net (loss) income, adjusted to exclude undistributed equity in losses, income tax (benefit) provision, interest expense, depreciation and amortization, mark to market loss (gain) on interest rate derivatives, stock compensation expense, gain (loss) on extinguishments of debt, net, and other items detailed in the table above that are consistent with exclusions permitted by our debt agreements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60" w:type="dxa"/>
            <w:vAlign w:val="bottom"/>
            <w:tcBorders>
              <w:top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5"/>
                <w:szCs w:val="15"/>
                <w:color w:val="auto"/>
              </w:rPr>
            </w:pPr>
          </w:p>
        </w:tc>
        <w:tc>
          <w:tcPr>
            <w:tcW w:w="1260" w:type="dxa"/>
            <w:vAlign w:val="bottom"/>
            <w:tcBorders>
              <w:top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(6,166)</w:t>
            </w:r>
          </w:p>
        </w:tc>
        <w:tc>
          <w:tcPr>
            <w:tcW w:w="0" w:type="dxa"/>
            <w:vAlign w:val="bottom"/>
          </w:tcPr>
          <w:p>
            <w:pPr>
              <w:spacing w:after="0"/>
              <w:rPr>
                <w:sz w:val="1"/>
                <w:szCs w:val="1"/>
                <w:color w:val="auto"/>
              </w:rPr>
            </w:pPr>
          </w:p>
        </w:tc>
      </w:tr>
      <w:tr>
        <w:trPr>
          <w:trHeight w:val="203"/>
        </w:trPr>
        <w:tc>
          <w:tcPr>
            <w:tcW w:w="44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Undistributed equity (earnings) losses,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9,467</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5,728</w:t>
            </w:r>
          </w:p>
        </w:tc>
        <w:tc>
          <w:tcPr>
            <w:tcW w:w="0" w:type="dxa"/>
            <w:vAlign w:val="bottom"/>
          </w:tcPr>
          <w:p>
            <w:pPr>
              <w:spacing w:after="0"/>
              <w:rPr>
                <w:sz w:val="1"/>
                <w:szCs w:val="1"/>
                <w:color w:val="auto"/>
              </w:rPr>
            </w:pPr>
          </w:p>
        </w:tc>
      </w:tr>
      <w:tr>
        <w:trPr>
          <w:trHeight w:val="203"/>
        </w:trPr>
        <w:tc>
          <w:tcPr>
            <w:tcW w:w="44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17,205</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19,536</w:t>
            </w:r>
          </w:p>
        </w:tc>
        <w:tc>
          <w:tcPr>
            <w:tcW w:w="0" w:type="dxa"/>
            <w:vAlign w:val="bottom"/>
          </w:tcPr>
          <w:p>
            <w:pPr>
              <w:spacing w:after="0"/>
              <w:rPr>
                <w:sz w:val="1"/>
                <w:szCs w:val="1"/>
                <w:color w:val="auto"/>
              </w:rPr>
            </w:pPr>
          </w:p>
        </w:tc>
      </w:tr>
      <w:tr>
        <w:trPr>
          <w:trHeight w:val="203"/>
        </w:trPr>
        <w:tc>
          <w:tcPr>
            <w:tcW w:w="44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Mark to market (gain) loss on interest rate derivatives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(1,971)</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3,846</w:t>
            </w:r>
          </w:p>
        </w:tc>
        <w:tc>
          <w:tcPr>
            <w:tcW w:w="0" w:type="dxa"/>
            <w:vAlign w:val="bottom"/>
          </w:tcPr>
          <w:p>
            <w:pPr>
              <w:spacing w:after="0"/>
              <w:rPr>
                <w:sz w:val="1"/>
                <w:szCs w:val="1"/>
                <w:color w:val="auto"/>
              </w:rPr>
            </w:pPr>
          </w:p>
        </w:tc>
      </w:tr>
      <w:tr>
        <w:trPr>
          <w:trHeight w:val="203"/>
        </w:trPr>
        <w:tc>
          <w:tcPr>
            <w:tcW w:w="44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1,473</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Restructuring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0" w:type="dxa"/>
            <w:vAlign w:val="bottom"/>
          </w:tcPr>
          <w:p>
            <w:pPr>
              <w:spacing w:after="0"/>
              <w:rPr>
                <w:sz w:val="1"/>
                <w:szCs w:val="1"/>
                <w:color w:val="auto"/>
              </w:rPr>
            </w:pPr>
          </w:p>
        </w:tc>
      </w:tr>
      <w:tr>
        <w:trPr>
          <w:trHeight w:val="206"/>
        </w:trPr>
        <w:tc>
          <w:tcPr>
            <w:tcW w:w="4460" w:type="dxa"/>
            <w:vAlign w:val="bottom"/>
          </w:tcPr>
          <w:p>
            <w:pPr>
              <w:ind w:left="640"/>
              <w:spacing w:after="0" w:line="207" w:lineRule="exact"/>
              <w:rPr>
                <w:sz w:val="20"/>
                <w:szCs w:val="20"/>
                <w:color w:val="auto"/>
              </w:rPr>
            </w:pPr>
            <w:r>
              <w:rPr>
                <w:rFonts w:ascii="Times New Roman" w:cs="Times New Roman" w:eastAsia="Times New Roman" w:hAnsi="Times New Roman"/>
                <w:sz w:val="15"/>
                <w:szCs w:val="15"/>
                <w:color w:val="auto"/>
              </w:rPr>
              <w:t xml:space="preserve">Warehouse relocation and redesign expenses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ind w:left="640"/>
              <w:spacing w:after="0" w:line="207" w:lineRule="exact"/>
              <w:rPr>
                <w:sz w:val="20"/>
                <w:szCs w:val="20"/>
                <w:color w:val="auto"/>
              </w:rPr>
            </w:pPr>
            <w:r>
              <w:rPr>
                <w:rFonts w:ascii="Times New Roman" w:cs="Times New Roman" w:eastAsia="Times New Roman" w:hAnsi="Times New Roman"/>
                <w:sz w:val="15"/>
                <w:szCs w:val="15"/>
                <w:color w:val="auto"/>
              </w:rPr>
              <w:t xml:space="preserve">S’well integration costs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w:t>
            </w:r>
          </w:p>
        </w:tc>
        <w:tc>
          <w:tcPr>
            <w:tcW w:w="0" w:type="dxa"/>
            <w:vAlign w:val="bottom"/>
          </w:tcPr>
          <w:p>
            <w:pPr>
              <w:spacing w:after="0"/>
              <w:rPr>
                <w:sz w:val="1"/>
                <w:szCs w:val="1"/>
                <w:color w:val="auto"/>
              </w:rPr>
            </w:pPr>
          </w:p>
        </w:tc>
      </w:tr>
      <w:tr>
        <w:trPr>
          <w:trHeight w:val="203"/>
        </w:trPr>
        <w:tc>
          <w:tcPr>
            <w:tcW w:w="44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Wallace facility remediation expense</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5,140</w:t>
            </w:r>
          </w:p>
        </w:tc>
        <w:tc>
          <w:tcPr>
            <w:tcW w:w="0" w:type="dxa"/>
            <w:vAlign w:val="bottom"/>
          </w:tcPr>
          <w:p>
            <w:pPr>
              <w:spacing w:after="0"/>
              <w:rPr>
                <w:sz w:val="1"/>
                <w:szCs w:val="1"/>
                <w:color w:val="auto"/>
              </w:rPr>
            </w:pPr>
          </w:p>
        </w:tc>
      </w:tr>
      <w:tr>
        <w:trPr>
          <w:trHeight w:val="224"/>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 before limitation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40"/>
              <w:spacing w:after="0" w:line="221" w:lineRule="exact"/>
              <w:rPr>
                <w:sz w:val="20"/>
                <w:szCs w:val="20"/>
                <w:color w:val="auto"/>
              </w:rPr>
            </w:pPr>
            <w:r>
              <w:rPr>
                <w:rFonts w:ascii="Times New Roman" w:cs="Times New Roman" w:eastAsia="Times New Roman" w:hAnsi="Times New Roman"/>
                <w:sz w:val="15"/>
                <w:szCs w:val="15"/>
                <w:color w:val="auto"/>
              </w:rPr>
              <w:t>Pro forma projected synergies adjustment</w:t>
            </w:r>
            <w:r>
              <w:rPr>
                <w:rFonts w:ascii="Times New Roman" w:cs="Times New Roman" w:eastAsia="Times New Roman" w:hAnsi="Times New Roman"/>
                <w:sz w:val="20"/>
                <w:szCs w:val="20"/>
                <w:color w:val="auto"/>
                <w:vertAlign w:val="superscript"/>
              </w:rPr>
              <w:t>(3)</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3,590</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Pro forma adjusted EBITDA, before limitation</w:t>
            </w:r>
            <w:r>
              <w:rPr>
                <w:rFonts w:ascii="Times New Roman" w:cs="Times New Roman" w:eastAsia="Times New Roman" w:hAnsi="Times New Roman"/>
                <w:sz w:val="20"/>
                <w:szCs w:val="20"/>
                <w:color w:val="auto"/>
                <w:vertAlign w:val="superscript"/>
              </w:rPr>
              <w:t>(5)</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61,792</w:t>
            </w:r>
          </w:p>
        </w:tc>
        <w:tc>
          <w:tcPr>
            <w:tcW w:w="0" w:type="dxa"/>
            <w:vAlign w:val="bottom"/>
          </w:tcPr>
          <w:p>
            <w:pPr>
              <w:spacing w:after="0"/>
              <w:rPr>
                <w:sz w:val="1"/>
                <w:szCs w:val="1"/>
                <w:color w:val="auto"/>
              </w:rPr>
            </w:pPr>
          </w:p>
        </w:tc>
      </w:tr>
      <w:tr>
        <w:trPr>
          <w:trHeight w:val="206"/>
        </w:trPr>
        <w:tc>
          <w:tcPr>
            <w:tcW w:w="4460" w:type="dxa"/>
            <w:vAlign w:val="bottom"/>
            <w:tcBorders>
              <w:bottom w:val="single" w:sz="8" w:color="CCEEFF"/>
            </w:tcBorders>
          </w:tcPr>
          <w:p>
            <w:pPr>
              <w:ind w:left="640"/>
              <w:spacing w:after="0" w:line="207" w:lineRule="exact"/>
              <w:rPr>
                <w:sz w:val="20"/>
                <w:szCs w:val="20"/>
                <w:color w:val="auto"/>
              </w:rPr>
            </w:pPr>
            <w:r>
              <w:rPr>
                <w:rFonts w:ascii="Times New Roman" w:cs="Times New Roman" w:eastAsia="Times New Roman" w:hAnsi="Times New Roman"/>
                <w:sz w:val="15"/>
                <w:szCs w:val="15"/>
                <w:color w:val="auto"/>
              </w:rPr>
              <w:t xml:space="preserve">Permitted non-recurring charge limitation </w:t>
            </w:r>
            <w:r>
              <w:rPr>
                <w:rFonts w:ascii="Times New Roman" w:cs="Times New Roman" w:eastAsia="Times New Roman" w:hAnsi="Times New Roman"/>
                <w:sz w:val="20"/>
                <w:szCs w:val="20"/>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(3,589)</w:t>
            </w:r>
          </w:p>
        </w:tc>
        <w:tc>
          <w:tcPr>
            <w:tcW w:w="0" w:type="dxa"/>
            <w:vAlign w:val="bottom"/>
          </w:tcPr>
          <w:p>
            <w:pPr>
              <w:spacing w:after="0"/>
              <w:rPr>
                <w:sz w:val="1"/>
                <w:szCs w:val="1"/>
                <w:color w:val="auto"/>
              </w:rPr>
            </w:pPr>
          </w:p>
        </w:tc>
      </w:tr>
      <w:tr>
        <w:trPr>
          <w:trHeight w:val="224"/>
        </w:trPr>
        <w:tc>
          <w:tcPr>
            <w:tcW w:w="446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Pro forma Adjusted EBITDA</w:t>
            </w:r>
            <w:r>
              <w:rPr>
                <w:rFonts w:ascii="Times New Roman" w:cs="Times New Roman" w:eastAsia="Times New Roman" w:hAnsi="Times New Roman"/>
                <w:sz w:val="20"/>
                <w:szCs w:val="20"/>
                <w:color w:val="auto"/>
                <w:vertAlign w:val="superscript"/>
              </w:rPr>
              <w:t>(5)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18,772</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3"/>
        <w:spacing w:after="0" w:line="231" w:lineRule="auto"/>
        <w:tabs>
          <w:tab w:leader="none" w:pos="138" w:val="left"/>
        </w:tabs>
        <w:numPr>
          <w:ilvl w:val="0"/>
          <w:numId w:val="24"/>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For the year ended December 31, 2022, the warehouse relocation and redesign expenses included $0.5 million of expenses related to the International segment and $0.1 million of expenses related to the U.S. segment.</w:t>
      </w:r>
    </w:p>
    <w:p>
      <w:pPr>
        <w:spacing w:after="0" w:line="41" w:lineRule="exact"/>
        <w:rPr>
          <w:rFonts w:ascii="Times New Roman" w:cs="Times New Roman" w:eastAsia="Times New Roman" w:hAnsi="Times New Roman"/>
          <w:sz w:val="17"/>
          <w:szCs w:val="17"/>
          <w:b w:val="1"/>
          <w:bCs w:val="1"/>
          <w:color w:val="auto"/>
          <w:vertAlign w:val="superscript"/>
        </w:rPr>
      </w:pPr>
    </w:p>
    <w:p>
      <w:pPr>
        <w:ind w:left="120" w:hanging="117"/>
        <w:spacing w:after="0"/>
        <w:tabs>
          <w:tab w:leader="none" w:pos="12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year ended December 31, 2022, S’well integration costs included $0.5 million of expenses related to inventory step up adjustment in connection with S’well acquisition.</w:t>
      </w:r>
    </w:p>
    <w:p>
      <w:pPr>
        <w:spacing w:after="0" w:line="58" w:lineRule="exact"/>
        <w:rPr>
          <w:rFonts w:ascii="Times New Roman" w:cs="Times New Roman" w:eastAsia="Times New Roman" w:hAnsi="Times New Roman"/>
          <w:sz w:val="9"/>
          <w:szCs w:val="9"/>
          <w:color w:val="auto"/>
        </w:rPr>
      </w:pPr>
    </w:p>
    <w:p>
      <w:pPr>
        <w:ind w:right="580" w:firstLine="3"/>
        <w:spacing w:after="0" w:line="340" w:lineRule="auto"/>
        <w:tabs>
          <w:tab w:leader="none" w:pos="126"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Pro forma projected synergies represents the projected cost savings of $2.3 million associated with the reorganization of the International segment’s workforce, $0.9 million associated with the Executive Chairman’s cessation of service in such role, and $0.4 million associated with reorganization of the U.S. segment’s sales management structure.</w:t>
      </w:r>
    </w:p>
    <w:p>
      <w:pPr>
        <w:spacing w:after="0" w:line="5" w:lineRule="exact"/>
        <w:rPr>
          <w:rFonts w:ascii="Times New Roman" w:cs="Times New Roman" w:eastAsia="Times New Roman" w:hAnsi="Times New Roman"/>
          <w:sz w:val="14"/>
          <w:szCs w:val="14"/>
          <w:color w:val="auto"/>
          <w:vertAlign w:val="superscript"/>
        </w:rPr>
      </w:pPr>
    </w:p>
    <w:p>
      <w:pPr>
        <w:ind w:right="520" w:firstLine="3"/>
        <w:spacing w:after="0" w:line="312" w:lineRule="auto"/>
        <w:tabs>
          <w:tab w:leader="none" w:pos="126"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Permitted non-recurring charges include restructuring expenses, integration charges, Wallace facility remediation expense, and warehouse relocation and redesign expenses. These are permitted exclusions from the Company’s adjusted EBITDA, subject to limitations, pursuant to the Company’s Debt Agreements.</w:t>
      </w:r>
    </w:p>
    <w:p>
      <w:pPr>
        <w:ind w:right="100" w:firstLine="3"/>
        <w:spacing w:after="0" w:line="262" w:lineRule="auto"/>
        <w:tabs>
          <w:tab w:leader="none" w:pos="138"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non-GAAP financial measure which is defined in the Company’s debt agreements. Adjusted EBITDA is defined as net income (loss), adjusted to exclude undistributed equity in (earnings) losses, income tax provision (benefit), interest expense, depreciation and amortization, mark to market (gain) loss on interest rate derivatives, stock compensation expense, and other items detailed in the table above that are consistent with exclusions permitted by our debt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expenditures for the year ended December 31, 2023 were $2.8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1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Company’s net total outstanding notional value of interest rate swaps was $25 million at December 31, 2023. These non-designated interest rate swaps were entered into in June 2019 and serve as cash flow hedges of the Company’s exposure to the variability of the payment of interest on a portion of its Term Loan borrowings and expire in February 2025.</w:t>
      </w:r>
    </w:p>
    <w:p>
      <w:pPr>
        <w:spacing w:after="0" w:line="1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Company’s interest rate swaps that were designated as cash flow hedges of the Company’s exposure to the variability of the payment of interest on a portion of its Term Loan borrowings expired in March 2023. The Company has no designated interest rate swaps at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w:t>
      </w:r>
    </w:p>
    <w:p>
      <w:pPr>
        <w:spacing w:after="0" w:line="11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59" w:lineRule="auto"/>
        <w:rPr>
          <w:sz w:val="20"/>
          <w:szCs w:val="20"/>
          <w:color w:val="auto"/>
        </w:rPr>
      </w:pPr>
      <w:r>
        <w:rPr>
          <w:rFonts w:ascii="Times New Roman" w:cs="Times New Roman" w:eastAsia="Times New Roman" w:hAnsi="Times New Roman"/>
          <w:sz w:val="17"/>
          <w:szCs w:val="17"/>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does not hedge the translation of foreign currency profits into USD, as the Company regards this as an accounting exposure rather than an economic exposure. The aggregate gross notional values of foreign exchange contracts at December 31, 2023 and 2022 was $9.8 million and $6.3 million, respectively.</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2023, the Company does not have any foreign currency forward contract derivatives that are not designated as hedges. These foreign exchange contracts have been designated as hedges in to order to apply hedge accounting.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were declared in 2023 and 2022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9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Date of record</w:t>
            </w:r>
          </w:p>
        </w:tc>
        <w:tc>
          <w:tcPr>
            <w:tcW w:w="25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8, 2022</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 2022</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16, 2022</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23,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2022</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2022</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2023</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8, 2023</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2023</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2023</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22,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2023</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 2023</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2023</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2023</w:t>
            </w: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7,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2024</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2024</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8, 2024, the Board of Directors declared a quarterly dividend of $0.0425 per share payable on May 15, 2024 to shareholders of record on May 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provided by operating activities</w:t>
      </w:r>
    </w:p>
    <w:p>
      <w:pPr>
        <w:spacing w:after="0" w:line="1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$56.4 million in 2023, compared to $24.3 million in 2022. The increase from 2023 compared to 2022 was attributable timing of payments for accounts payable and accrued expenses, partially offset by timing of collections related to the Company’s accounts receivable and a reduction in inventory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used in investing activities</w:t>
      </w:r>
    </w:p>
    <w:p>
      <w:pPr>
        <w:spacing w:after="0" w:line="1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$2.8 million in 2023, compared to $20.9 million in 2022. The change from 2023 compared to 2022 was attributable to the cash consideration of $18.0 million paid for the acquisition of S’well in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used in financing activities</w:t>
      </w:r>
    </w:p>
    <w:p>
      <w:pPr>
        <w:spacing w:after="0" w:line="1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Net cash used in financing activities was $61.1 million in 2023 compared to $7.6 million in 2022. The change from 2023 compared to 2022 was attributable to higher repayments of the Term Loan in the 2023 period compared to the 2022 period and financing costs incurred in connection with the Amendment No. 2 to the Term Loan. This was partially offset by higher proceeds from the revolving credit facility in the 2023 and decreased payments for stock repurchases in the 2023 period.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material cash requirements include the following: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w:t>
      </w:r>
    </w:p>
    <w:p>
      <w:pPr>
        <w:spacing w:after="0" w:line="118"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As of December 31, 2023, the Company had an outstanding Term Loan facility, which matures on August 26, 2027, for an aggregate principal amount of $150.0 million, with $7.5 million amounts due within 12 months. Future interest obligations associated with debt and interest rate swaps total $65.1 million, with $19.4 million payable within 12 months. The future interest obligations are estimated by assuming the amounts outstanding under the Company’s debt agreements and the interest rates as of December 31, 2023 remain consistent to the end of the debt agreements. Actual amounts borrowed and interest rates may vary over time.</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Company has operating leases for corporate offices, distribution facilities, manufacturing plants, and certain vehicles. As of December 31, 2023, the Company had fixed lease payment obligations of $101.7 million, with $19.0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Royalties</w:t>
      </w:r>
    </w:p>
    <w:p>
      <w:pPr>
        <w:spacing w:after="0" w:line="118"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The Company has license agreements that require the payment of minimum royalties on sales of licensed products. As of December 31, 2023, the estimated minimum royalties payable under the noncancellable term of these agreements amounted to $8.3 million, with $8.1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Post-retirement benefit</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 assumed retirement benefit obligations, which are paid to certain former executives of a business acquired in 2006. As of December 31, 2023, the estimated discounted obligations under the agreements with the former executives amounted to $5.6 million, with $0.5 million payable within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Wallace EPA Matter</w:t>
      </w:r>
    </w:p>
    <w:p>
      <w:pPr>
        <w:spacing w:after="0" w:line="1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 connection with the Wallace EPA Matter, the Company’s estimated remediation liability of $5.6 million is expected to be paid within 12 months. On February 7, 2024, the Company provided financial assurance of $5.6 million in the form of a letter of credit.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Company’s functional currency is the U.S. dollar. The Company has foreign operations through its acquisitions, investments and strategic alliances in the U.K.,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2023, approximately 8% of the Company’s net sales revenue was in foreign currencies, compared to 8% for the year ended December 31, 2022. These sales were primarily denominated in U.K.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increase of approximately $1.2 million in SG&amp;A expenses.</w:t>
      </w:r>
    </w:p>
    <w:p>
      <w:pPr>
        <w:spacing w:after="0" w:line="179"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56" w:lineRule="auto"/>
        <w:rPr>
          <w:sz w:val="20"/>
          <w:szCs w:val="20"/>
          <w:color w:val="auto"/>
        </w:rPr>
      </w:pPr>
      <w:r>
        <w:rPr>
          <w:rFonts w:ascii="Times New Roman" w:cs="Times New Roman" w:eastAsia="Times New Roman" w:hAnsi="Times New Roman"/>
          <w:sz w:val="17"/>
          <w:szCs w:val="17"/>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2023 and 2022 was $9.8 million and $6.3 million, respectively.</w:t>
      </w:r>
    </w:p>
    <w:p>
      <w:pPr>
        <w:spacing w:after="0" w:line="17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ABL Agreement and Term Loan bear interest at variable rates. The Credit Agreement provides for interest rates linked to one of the SOFR, the Prime Rate or the Federal Funds Rate; therefore, the Company is subject to increases and decreases in interest expense resulting from fluctuations in interest rates. The Company entered into interest rate swap agreements in June 2019, to manage interest rate exposure in connection with its variable interest rate borrowings with an aggregate notional value of $25.0 million at December 31, 2023. As of December 31, 2023, approximately $185.4 million of the Company’s debt carries a variable rate of interest, as compared to $206.3 million at December 31, 2022. The remainder of the debt at December 31, 2023 (approximately $25.0 million) carries a fixed rate of interest through the use of interest rate swaps. A hypothetical and instantaneous 100 basis point increase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in the Company’s variable interest rates would increase interest expense by approximately $2.3 million over a twelve month period. The sensitivity analysis above assumes interest rate changes are instantaneous and parallel shifts in the yield curve occur.</w:t>
      </w:r>
    </w:p>
    <w:p>
      <w:pPr>
        <w:spacing w:after="0" w:line="15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enter into derivative financial instruments for trading purposes.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18"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7"/>
          <w:szCs w:val="17"/>
          <w:color w:val="auto"/>
        </w:rPr>
        <w:t>The Company’s consolidated financial statements and accompanying notes listed in Part IV, Item 15 commencing on page F-1 are incorporated herein by reference.</w:t>
      </w:r>
    </w:p>
    <w:p>
      <w:pPr>
        <w:spacing w:after="0" w:line="250" w:lineRule="exact"/>
        <w:rPr>
          <w:sz w:val="20"/>
          <w:szCs w:val="20"/>
          <w:color w:val="auto"/>
        </w:rPr>
      </w:pPr>
    </w:p>
    <w:p>
      <w:pPr>
        <w:ind w:right="412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 </w:t>
      </w:r>
      <w:r>
        <w:rPr>
          <w:rFonts w:ascii="Times New Roman" w:cs="Times New Roman" w:eastAsia="Times New Roman" w:hAnsi="Times New Roman"/>
          <w:sz w:val="17"/>
          <w:szCs w:val="17"/>
          <w:color w:val="auto"/>
        </w:rPr>
        <w:t>None.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Chief Executive Officer and the Chief Financial Officer of the Company (its principal executive officer and principal financial officer, respectively) have concluded, based on their evaluation as of December 31, 2023,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Management of the Company is responsible for establishing and maintaining effective internal control over financial reporting and for performing an assessment of the effectiveness of internal control over financial reporting as of December 31, 2023.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control over financial reporting includes those policies and procedures that:</w:t>
      </w:r>
    </w:p>
    <w:p>
      <w:pPr>
        <w:spacing w:after="0" w:line="114" w:lineRule="exact"/>
        <w:rPr>
          <w:sz w:val="20"/>
          <w:szCs w:val="20"/>
          <w:color w:val="auto"/>
        </w:rPr>
      </w:pPr>
    </w:p>
    <w:p>
      <w:pPr>
        <w:ind w:left="620" w:right="360" w:firstLine="2"/>
        <w:spacing w:after="0" w:line="287" w:lineRule="auto"/>
        <w:tabs>
          <w:tab w:leader="none" w:pos="72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acquisitions and dispositions of the assets of the Company;</w:t>
      </w:r>
    </w:p>
    <w:p>
      <w:pPr>
        <w:spacing w:after="0" w:line="48" w:lineRule="exact"/>
        <w:rPr>
          <w:rFonts w:ascii="Times New Roman" w:cs="Times New Roman" w:eastAsia="Times New Roman" w:hAnsi="Times New Roman"/>
          <w:sz w:val="17"/>
          <w:szCs w:val="17"/>
          <w:color w:val="auto"/>
        </w:rPr>
      </w:pPr>
    </w:p>
    <w:p>
      <w:pPr>
        <w:ind w:left="620" w:right="280" w:firstLine="2"/>
        <w:spacing w:after="0" w:line="270" w:lineRule="auto"/>
        <w:tabs>
          <w:tab w:leader="none" w:pos="72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62" w:lineRule="exact"/>
        <w:rPr>
          <w:rFonts w:ascii="Times New Roman" w:cs="Times New Roman" w:eastAsia="Times New Roman" w:hAnsi="Times New Roman"/>
          <w:sz w:val="17"/>
          <w:szCs w:val="17"/>
          <w:color w:val="auto"/>
        </w:rPr>
      </w:pPr>
    </w:p>
    <w:p>
      <w:pPr>
        <w:ind w:left="620" w:firstLine="2"/>
        <w:spacing w:after="0" w:line="287" w:lineRule="auto"/>
        <w:tabs>
          <w:tab w:leader="none" w:pos="72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policies or procedures may deteriorate. Accordingly, even those systems determined to be effective can provide only reasonable assurance with respect to financial statement preparation and presentation.</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Management performed an assessment of the effectiveness of the Company’s internal control over financial reporting as of December 31, 2023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2023 was effective.</w:t>
      </w:r>
    </w:p>
    <w:p>
      <w:pPr>
        <w:spacing w:after="0" w:line="16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2023 has been audited by Ernst &amp; Young LLP, an independent registered public accounting firm, as stated in their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Lifetime Brands,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have audited Lifetime Brands, Inc.’s internal control over financial reporting as of December 31, 2023, based on criteria established in Internal Control— Integrated Framework issued by the Committee of Sponsoring Organizations of the Treadway Commission (2013 framework) (the COSO criteria). In our opinion, Lifetime Brands, Inc. (the Company) maintained, in all material respects, effective internal control over financial reporting as of December 31, 2023, based on the COSO criteria.</w:t>
      </w:r>
    </w:p>
    <w:p>
      <w:pPr>
        <w:spacing w:after="0" w:line="17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2023 consolidated financial statements of the Company and our report dated March 12, 2024 expressed an unqualified opinion thereon.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None of the Company’s directors or officers adopted, modified, or terminated a Rule 10b5-1 trading arrangement or a non-Rule 10b5-1 trading arrangement during the Company’s fiscal quarter ended December 31, 2023.</w:t>
      </w:r>
    </w:p>
    <w:p>
      <w:pPr>
        <w:spacing w:after="0" w:line="250" w:lineRule="exact"/>
        <w:rPr>
          <w:sz w:val="20"/>
          <w:szCs w:val="20"/>
          <w:color w:val="auto"/>
        </w:rPr>
      </w:pPr>
    </w:p>
    <w:p>
      <w:pPr>
        <w:ind w:right="5540"/>
        <w:spacing w:after="0" w:line="418"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10, 11, 12, 13 and 14</w:t>
      </w:r>
    </w:p>
    <w:p>
      <w:pPr>
        <w:spacing w:after="0" w:line="1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information required under these items is contained in the Company’s 2024 Proxy Statement, which will be filed with the SEC within 120 days after the close of the Company’s fiscal year covered by this Annual Report on Form 10-K and is incorporated herein by reference.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18" w:lineRule="exact"/>
        <w:rPr>
          <w:sz w:val="20"/>
          <w:szCs w:val="20"/>
          <w:color w:val="auto"/>
        </w:rPr>
      </w:pPr>
    </w:p>
    <w:p>
      <w:pPr>
        <w:ind w:left="460" w:hanging="457"/>
        <w:spacing w:after="0"/>
        <w:tabs>
          <w:tab w:leader="none" w:pos="4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Financial Statements and Financial Statement Schedule on page F-1.</w:t>
      </w:r>
    </w:p>
    <w:p>
      <w:pPr>
        <w:spacing w:after="0" w:line="113"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620" w:type="dxa"/>
            <w:vAlign w:val="bottom"/>
          </w:tcPr>
          <w:p>
            <w:pPr>
              <w:spacing w:after="0"/>
              <w:rPr>
                <w:sz w:val="13"/>
                <w:szCs w:val="13"/>
                <w:color w:val="auto"/>
              </w:rPr>
            </w:pPr>
          </w:p>
        </w:tc>
        <w:tc>
          <w:tcPr>
            <w:tcW w:w="5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w:t>
            </w:r>
          </w:p>
        </w:tc>
        <w:tc>
          <w:tcPr>
            <w:tcW w:w="9700" w:type="dxa"/>
            <w:vAlign w:val="bottom"/>
            <w:gridSpan w:val="6"/>
          </w:tcPr>
          <w:p>
            <w:pPr>
              <w:spacing w:after="0"/>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Agreement and Plan of Merger, dated as of December 22, 2017, by and among the Company, TPP Acquisition I Corp., TPP Acquisition II</w:t>
              </w:r>
            </w:hyperlink>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4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700" w:type="dxa"/>
            <w:vAlign w:val="bottom"/>
            <w:gridSpan w:val="6"/>
          </w:tcPr>
          <w:p>
            <w:pPr>
              <w:spacing w:after="0" w:line="148"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LLC, Taylor Parent, LLC, Taylor Holdco, LLC, and CP Taylor GP, LLC. (incorporated by reference to Exhibit 2.1 to the Company’s Current</w:t>
              </w:r>
            </w:hyperlink>
          </w:p>
        </w:tc>
      </w:tr>
      <w:tr>
        <w:trPr>
          <w:trHeight w:val="160"/>
        </w:trPr>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Report on Form 8-K filed on December 29, 2017) Holdco, LLC, and CP Taylor GP, LLC. (incorporated by reference to Exhibit 2.1 to the</w:t>
              </w:r>
            </w:hyperlink>
          </w:p>
        </w:tc>
        <w:tc>
          <w:tcPr>
            <w:tcW w:w="20" w:type="dxa"/>
            <w:vAlign w:val="bottom"/>
          </w:tcPr>
          <w:p>
            <w:pPr>
              <w:spacing w:after="0"/>
              <w:rPr>
                <w:sz w:val="13"/>
                <w:szCs w:val="13"/>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00" w:type="dxa"/>
            <w:vAlign w:val="bottom"/>
            <w:tcBorders>
              <w:top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Company’s Current Report on Form 8-K filed on December 29, 2017)</w:t>
              </w:r>
            </w:hyperlink>
          </w:p>
        </w:tc>
        <w:tc>
          <w:tcPr>
            <w:tcW w:w="200" w:type="dxa"/>
            <w:vAlign w:val="bottom"/>
            <w:gridSpan w:val="2"/>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1">
            <w:col w:w="11220"/>
          </w:cols>
          <w:pgMar w:left="320" w:top="123" w:right="35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242424"/>
        </w:rPr>
        <w:t>3.1*</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42424"/>
        </w:rPr>
        <w:t>3.2*</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br w:type="column"/>
      </w:r>
    </w:p>
    <w:p>
      <w:pPr>
        <w:ind w:right="560"/>
        <w:spacing w:after="0" w:line="271" w:lineRule="auto"/>
        <w:rPr>
          <w:rFonts w:ascii="Times New Roman" w:cs="Times New Roman" w:eastAsia="Times New Roman" w:hAnsi="Times New Roman"/>
          <w:sz w:val="17"/>
          <w:szCs w:val="17"/>
          <w:u w:val="single" w:color="auto"/>
          <w:color w:val="0000FF"/>
        </w:rPr>
      </w:pPr>
      <w:hyperlink r:id="rId64">
        <w:r>
          <w:rPr>
            <w:rFonts w:ascii="Times New Roman" w:cs="Times New Roman" w:eastAsia="Times New Roman" w:hAnsi="Times New Roman"/>
            <w:sz w:val="17"/>
            <w:szCs w:val="17"/>
            <w:u w:val="single" w:color="auto"/>
            <w:color w:val="0000FF"/>
          </w:rPr>
          <w:t>Second Restated Certificate of Incorporation of the Company (incorporated by reference to Exhibit 3.2 to the Company’s Annual Report on</w:t>
        </w:r>
      </w:hyperlink>
      <w:r>
        <w:rPr>
          <w:rFonts w:ascii="Times New Roman" w:cs="Times New Roman" w:eastAsia="Times New Roman" w:hAnsi="Times New Roman"/>
          <w:sz w:val="17"/>
          <w:szCs w:val="17"/>
          <w:u w:val="single" w:color="auto"/>
          <w:color w:val="0000FF"/>
        </w:rPr>
        <w:t xml:space="preserve"> </w:t>
      </w:r>
      <w:hyperlink r:id="rId64">
        <w:r>
          <w:rPr>
            <w:rFonts w:ascii="Times New Roman" w:cs="Times New Roman" w:eastAsia="Times New Roman" w:hAnsi="Times New Roman"/>
            <w:sz w:val="17"/>
            <w:szCs w:val="17"/>
            <w:u w:val="single" w:color="auto"/>
            <w:color w:val="0000FF"/>
          </w:rPr>
          <w:t>Form 10-K for the year ended December 31, 2005)</w:t>
        </w:r>
      </w:hyperlink>
    </w:p>
    <w:p>
      <w:pPr>
        <w:spacing w:after="0" w:line="61" w:lineRule="exact"/>
        <w:rPr>
          <w:sz w:val="20"/>
          <w:szCs w:val="20"/>
          <w:color w:val="auto"/>
        </w:rPr>
      </w:pPr>
    </w:p>
    <w:p>
      <w:pPr>
        <w:ind w:right="620"/>
        <w:spacing w:after="0" w:line="271" w:lineRule="auto"/>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7"/>
            <w:szCs w:val="17"/>
            <w:u w:val="single" w:color="auto"/>
            <w:color w:val="0000FF"/>
          </w:rPr>
          <w:t>Certificate of Amendment of Second Restated Certificate of Incorporation of the Company (incorporated by reference to Exhibit 3.1 to the</w:t>
        </w:r>
      </w:hyperlink>
      <w:r>
        <w:rPr>
          <w:rFonts w:ascii="Times New Roman" w:cs="Times New Roman" w:eastAsia="Times New Roman" w:hAnsi="Times New Roman"/>
          <w:sz w:val="17"/>
          <w:szCs w:val="17"/>
          <w:u w:val="single" w:color="auto"/>
          <w:color w:val="0000FF"/>
        </w:rPr>
        <w:t xml:space="preserve"> </w:t>
      </w:r>
      <w:hyperlink r:id="rId65">
        <w:r>
          <w:rPr>
            <w:rFonts w:ascii="Times New Roman" w:cs="Times New Roman" w:eastAsia="Times New Roman" w:hAnsi="Times New Roman"/>
            <w:sz w:val="17"/>
            <w:szCs w:val="17"/>
            <w:u w:val="single" w:color="auto"/>
            <w:color w:val="0000FF"/>
          </w:rPr>
          <w:t>Company’s Current Report on Form 8-K filed June 10, 2016)</w:t>
        </w:r>
      </w:hyperlink>
    </w:p>
    <w:p>
      <w:pPr>
        <w:spacing w:after="0" w:line="48" w:lineRule="exact"/>
        <w:rPr>
          <w:sz w:val="20"/>
          <w:szCs w:val="20"/>
          <w:color w:val="auto"/>
        </w:rPr>
      </w:pPr>
    </w:p>
    <w:p>
      <w:pPr>
        <w:ind w:right="620"/>
        <w:spacing w:after="0" w:line="239" w:lineRule="auto"/>
        <w:rPr>
          <w:rFonts w:ascii="Times New Roman" w:cs="Times New Roman" w:eastAsia="Times New Roman" w:hAnsi="Times New Roman"/>
          <w:sz w:val="17"/>
          <w:szCs w:val="17"/>
          <w:u w:val="single" w:color="auto"/>
          <w:color w:val="0000FF"/>
        </w:rPr>
      </w:pPr>
      <w:hyperlink r:id="rId66">
        <w:r>
          <w:rPr>
            <w:rFonts w:ascii="Times New Roman" w:cs="Times New Roman" w:eastAsia="Times New Roman" w:hAnsi="Times New Roman"/>
            <w:sz w:val="17"/>
            <w:szCs w:val="17"/>
            <w:u w:val="single" w:color="auto"/>
            <w:color w:val="0000FF"/>
          </w:rPr>
          <w:t>Amended and Restated By-Laws of the Company (incorporated by reference to Exhibit 3.1 to the Company’s Current Report on Form 8-K</w:t>
        </w:r>
      </w:hyperlink>
      <w:r>
        <w:rPr>
          <w:rFonts w:ascii="Times New Roman" w:cs="Times New Roman" w:eastAsia="Times New Roman" w:hAnsi="Times New Roman"/>
          <w:sz w:val="17"/>
          <w:szCs w:val="17"/>
          <w:u w:val="single" w:color="auto"/>
          <w:color w:val="0000FF"/>
        </w:rPr>
        <w:t xml:space="preserve"> </w:t>
      </w:r>
      <w:hyperlink r:id="rId66">
        <w:r>
          <w:rPr>
            <w:rFonts w:ascii="Times New Roman" w:cs="Times New Roman" w:eastAsia="Times New Roman" w:hAnsi="Times New Roman"/>
            <w:sz w:val="17"/>
            <w:szCs w:val="17"/>
            <w:u w:val="single" w:color="auto"/>
            <w:color w:val="0000FF"/>
          </w:rPr>
          <w:t>filed on December 8, 2016)</w:t>
        </w:r>
      </w:hyperlink>
    </w:p>
    <w:p>
      <w:pPr>
        <w:spacing w:after="0" w:line="50" w:lineRule="exact"/>
        <w:rPr>
          <w:sz w:val="20"/>
          <w:szCs w:val="20"/>
          <w:color w:val="auto"/>
        </w:rPr>
      </w:pPr>
    </w:p>
    <w:p>
      <w:pPr>
        <w:sectPr>
          <w:pgSz w:w="11900" w:h="16838" w:orient="portrait"/>
          <w:cols w:equalWidth="0" w:num="2">
            <w:col w:w="340" w:space="720"/>
            <w:col w:w="10160"/>
          </w:cols>
          <w:pgMar w:left="320" w:top="123" w:right="3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10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4.1*</w:t>
            </w:r>
          </w:p>
        </w:tc>
        <w:tc>
          <w:tcPr>
            <w:tcW w:w="9520" w:type="dxa"/>
            <w:vAlign w:val="bottom"/>
            <w:gridSpan w:val="3"/>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Description of the Company’s securities registered under Section 12 of the Securities Exchange Act of 1934, as amended (incorporated by</w:t>
              </w:r>
            </w:hyperlink>
          </w:p>
        </w:tc>
      </w:tr>
      <w:tr>
        <w:trPr>
          <w:trHeight w:val="160"/>
        </w:trPr>
        <w:tc>
          <w:tcPr>
            <w:tcW w:w="1040" w:type="dxa"/>
            <w:vAlign w:val="bottom"/>
          </w:tcPr>
          <w:p>
            <w:pPr>
              <w:spacing w:after="0"/>
              <w:rPr>
                <w:sz w:val="13"/>
                <w:szCs w:val="13"/>
                <w:color w:val="auto"/>
              </w:rPr>
            </w:pPr>
          </w:p>
        </w:tc>
        <w:tc>
          <w:tcPr>
            <w:tcW w:w="9500" w:type="dxa"/>
            <w:vAlign w:val="bottom"/>
            <w:tcBorders>
              <w:top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reference to Exhibit 4.1 to the Company's Annual Report on Form 10-K for the year ended December 31, 2019)</w:t>
              </w:r>
            </w:hyperlink>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6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0" w:lineRule="exact"/>
        <w:rPr>
          <w:sz w:val="20"/>
          <w:szCs w:val="20"/>
          <w:color w:val="auto"/>
        </w:rPr>
      </w:pPr>
    </w:p>
    <w:p>
      <w:pPr>
        <w:sectPr>
          <w:pgSz w:w="11900" w:h="16838" w:orient="portrait"/>
          <w:cols w:equalWidth="0" w:num="1">
            <w:col w:w="11220"/>
          </w:cols>
          <w:pgMar w:left="320" w:top="123"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10.1*</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10.3*</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ind w:right="840"/>
        <w:spacing w:after="0" w:line="239" w:lineRule="auto"/>
        <w:rPr>
          <w:sz w:val="20"/>
          <w:szCs w:val="20"/>
          <w:color w:val="auto"/>
        </w:rPr>
      </w:pPr>
      <w:r>
        <w:rPr>
          <w:rFonts w:ascii="Times New Roman" w:cs="Times New Roman" w:eastAsia="Times New Roman" w:hAnsi="Times New Roman"/>
          <w:sz w:val="17"/>
          <w:szCs w:val="17"/>
          <w:color w:val="auto"/>
        </w:rPr>
        <w:t>License Agreement dated December 14, 1989 between the Company and Farberware, Inc. (incorporated by reference to the Company’s registration statement No. 33-40154 on Form S-1)(P)</w:t>
      </w:r>
    </w:p>
    <w:p>
      <w:pPr>
        <w:spacing w:after="0" w:line="75" w:lineRule="exact"/>
        <w:rPr>
          <w:sz w:val="20"/>
          <w:szCs w:val="20"/>
          <w:color w:val="auto"/>
        </w:rPr>
      </w:pPr>
    </w:p>
    <w:p>
      <w:pPr>
        <w:ind w:right="400"/>
        <w:spacing w:after="0" w:line="271" w:lineRule="auto"/>
        <w:rPr>
          <w:rFonts w:ascii="Times New Roman" w:cs="Times New Roman" w:eastAsia="Times New Roman" w:hAnsi="Times New Roman"/>
          <w:sz w:val="17"/>
          <w:szCs w:val="17"/>
          <w:u w:val="single" w:color="auto"/>
          <w:color w:val="0000FF"/>
        </w:rPr>
      </w:pPr>
      <w:hyperlink r:id="rId68">
        <w:r>
          <w:rPr>
            <w:rFonts w:ascii="Times New Roman" w:cs="Times New Roman" w:eastAsia="Times New Roman" w:hAnsi="Times New Roman"/>
            <w:sz w:val="17"/>
            <w:szCs w:val="17"/>
            <w:u w:val="single" w:color="auto"/>
            <w:color w:val="0000FF"/>
          </w:rPr>
          <w:t>Fourth Amended and Restated Employment Agreement, dated as of June 27, 2019, between the Company and Jeffrey Siegel (incorporated by</w:t>
        </w:r>
      </w:hyperlink>
      <w:r>
        <w:rPr>
          <w:rFonts w:ascii="Times New Roman" w:cs="Times New Roman" w:eastAsia="Times New Roman" w:hAnsi="Times New Roman"/>
          <w:sz w:val="17"/>
          <w:szCs w:val="17"/>
          <w:u w:val="single" w:color="auto"/>
          <w:color w:val="0000FF"/>
        </w:rPr>
        <w:t xml:space="preserve"> </w:t>
      </w:r>
      <w:hyperlink r:id="rId68">
        <w:r>
          <w:rPr>
            <w:rFonts w:ascii="Times New Roman" w:cs="Times New Roman" w:eastAsia="Times New Roman" w:hAnsi="Times New Roman"/>
            <w:sz w:val="17"/>
            <w:szCs w:val="17"/>
            <w:u w:val="single" w:color="auto"/>
            <w:color w:val="0000FF"/>
          </w:rPr>
          <w:t>reference to Exhibit 10.1 to the Company’s Current Report on Form 8-K filed June 28, 2019)*</w:t>
        </w:r>
      </w:hyperlink>
    </w:p>
    <w:p>
      <w:pPr>
        <w:spacing w:after="0" w:line="61" w:lineRule="exact"/>
        <w:rPr>
          <w:sz w:val="20"/>
          <w:szCs w:val="20"/>
          <w:color w:val="auto"/>
        </w:rPr>
      </w:pPr>
    </w:p>
    <w:p>
      <w:pPr>
        <w:ind w:right="660"/>
        <w:spacing w:after="0" w:line="271" w:lineRule="auto"/>
        <w:rPr>
          <w:rFonts w:ascii="Times New Roman" w:cs="Times New Roman" w:eastAsia="Times New Roman" w:hAnsi="Times New Roman"/>
          <w:sz w:val="17"/>
          <w:szCs w:val="17"/>
          <w:u w:val="single" w:color="auto"/>
          <w:color w:val="0000FF"/>
        </w:rPr>
      </w:pPr>
      <w:hyperlink r:id="rId69">
        <w:r>
          <w:rPr>
            <w:rFonts w:ascii="Times New Roman" w:cs="Times New Roman" w:eastAsia="Times New Roman" w:hAnsi="Times New Roman"/>
            <w:sz w:val="17"/>
            <w:szCs w:val="17"/>
            <w:u w:val="single" w:color="auto"/>
            <w:color w:val="0000FF"/>
          </w:rPr>
          <w:t>First Amendment to the Fourth Amended and Restated Employment Agreement, dated as of October 11, 2019, between the Company and</w:t>
        </w:r>
      </w:hyperlink>
      <w:r>
        <w:rPr>
          <w:rFonts w:ascii="Times New Roman" w:cs="Times New Roman" w:eastAsia="Times New Roman" w:hAnsi="Times New Roman"/>
          <w:sz w:val="17"/>
          <w:szCs w:val="17"/>
          <w:u w:val="single" w:color="auto"/>
          <w:color w:val="0000FF"/>
        </w:rPr>
        <w:t xml:space="preserve"> </w:t>
      </w:r>
      <w:hyperlink r:id="rId69">
        <w:r>
          <w:rPr>
            <w:rFonts w:ascii="Times New Roman" w:cs="Times New Roman" w:eastAsia="Times New Roman" w:hAnsi="Times New Roman"/>
            <w:sz w:val="17"/>
            <w:szCs w:val="17"/>
            <w:u w:val="single" w:color="auto"/>
            <w:color w:val="0000FF"/>
          </w:rPr>
          <w:t>Jeffrey Siegel (incorporated by reference to Exhibit 10.6 to the Company’s Current Report on Form 8-K filed October 15, 2019)*</w:t>
        </w:r>
      </w:hyperlink>
    </w:p>
    <w:p>
      <w:pPr>
        <w:spacing w:after="0" w:line="61" w:lineRule="exact"/>
        <w:rPr>
          <w:sz w:val="20"/>
          <w:szCs w:val="20"/>
          <w:color w:val="auto"/>
        </w:rPr>
      </w:pPr>
    </w:p>
    <w:p>
      <w:pPr>
        <w:ind w:right="600"/>
        <w:spacing w:after="0" w:line="271" w:lineRule="auto"/>
        <w:rPr>
          <w:rFonts w:ascii="Times New Roman" w:cs="Times New Roman" w:eastAsia="Times New Roman" w:hAnsi="Times New Roman"/>
          <w:sz w:val="17"/>
          <w:szCs w:val="17"/>
          <w:u w:val="single" w:color="auto"/>
          <w:color w:val="0000FF"/>
        </w:rPr>
      </w:pPr>
      <w:hyperlink r:id="rId70">
        <w:r>
          <w:rPr>
            <w:rFonts w:ascii="Times New Roman" w:cs="Times New Roman" w:eastAsia="Times New Roman" w:hAnsi="Times New Roman"/>
            <w:sz w:val="17"/>
            <w:szCs w:val="17"/>
            <w:u w:val="single" w:color="auto"/>
            <w:color w:val="0000FF"/>
          </w:rPr>
          <w:t>Transition Agreement, dated as of November 1, 2022, by and among the Company and Jeffrey Siegel (incorporated by reference to Exhibit</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10.3 to the Company's quarter report on Form 10-Q for the quarter ended September 30, 2022).</w:t>
        </w:r>
      </w:hyperlink>
    </w:p>
    <w:p>
      <w:pPr>
        <w:spacing w:after="0" w:line="200" w:lineRule="exact"/>
        <w:rPr>
          <w:sz w:val="20"/>
          <w:szCs w:val="20"/>
          <w:color w:val="auto"/>
        </w:rPr>
      </w:pPr>
    </w:p>
    <w:p>
      <w:pPr>
        <w:sectPr>
          <w:pgSz w:w="11900" w:h="16838" w:orient="portrait"/>
          <w:cols w:equalWidth="0" w:num="2">
            <w:col w:w="400" w:space="660"/>
            <w:col w:w="10160"/>
          </w:cols>
          <w:pgMar w:left="320" w:top="123" w:right="359"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940"/>
          </w:cols>
          <w:pgMar w:left="320" w:top="12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10.5*</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10.8*</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10.9*</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10.10*</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10.12*</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10.13*</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10.14*</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10.15*</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10.16*</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10.17*</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10.18*</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10.20*</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10.21*</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39" w:lineRule="auto"/>
        <w:rPr>
          <w:rFonts w:ascii="Times New Roman" w:cs="Times New Roman" w:eastAsia="Times New Roman" w:hAnsi="Times New Roman"/>
          <w:sz w:val="17"/>
          <w:szCs w:val="17"/>
          <w:u w:val="single" w:color="auto"/>
          <w:color w:val="0000FF"/>
        </w:rPr>
      </w:pPr>
      <w:hyperlink r:id="rId72">
        <w:r>
          <w:rPr>
            <w:rFonts w:ascii="Times New Roman" w:cs="Times New Roman" w:eastAsia="Times New Roman" w:hAnsi="Times New Roman"/>
            <w:sz w:val="17"/>
            <w:szCs w:val="17"/>
            <w:u w:val="single" w:color="auto"/>
            <w:color w:val="0000FF"/>
          </w:rPr>
          <w:t>Letter Agreement Amending and Supplementing Employment Agreement between Lifetime Brands, Inc. and Daniel Siegel, effective April 13,</w:t>
        </w:r>
      </w:hyperlink>
      <w:r>
        <w:rPr>
          <w:rFonts w:ascii="Times New Roman" w:cs="Times New Roman" w:eastAsia="Times New Roman" w:hAnsi="Times New Roman"/>
          <w:sz w:val="17"/>
          <w:szCs w:val="17"/>
          <w:u w:val="single" w:color="auto"/>
          <w:color w:val="0000FF"/>
        </w:rPr>
        <w:t xml:space="preserve"> </w:t>
      </w:r>
      <w:hyperlink r:id="rId72">
        <w:r>
          <w:rPr>
            <w:rFonts w:ascii="Times New Roman" w:cs="Times New Roman" w:eastAsia="Times New Roman" w:hAnsi="Times New Roman"/>
            <w:sz w:val="17"/>
            <w:szCs w:val="17"/>
            <w:u w:val="single" w:color="auto"/>
            <w:color w:val="0000FF"/>
          </w:rPr>
          <w:t>2020 (incorporated by reference to Exhibit 10.2 to the Company's Quarterly Report on Form 10-Q for the quarter ended March 31, 2020)</w:t>
        </w:r>
      </w:hyperlink>
    </w:p>
    <w:p>
      <w:pPr>
        <w:spacing w:after="0" w:line="75" w:lineRule="exact"/>
        <w:rPr>
          <w:sz w:val="20"/>
          <w:szCs w:val="20"/>
          <w:color w:val="auto"/>
        </w:rPr>
      </w:pPr>
    </w:p>
    <w:p>
      <w:pPr>
        <w:spacing w:after="0" w:line="262" w:lineRule="auto"/>
        <w:rPr>
          <w:rFonts w:ascii="Times New Roman" w:cs="Times New Roman" w:eastAsia="Times New Roman" w:hAnsi="Times New Roman"/>
          <w:sz w:val="17"/>
          <w:szCs w:val="17"/>
          <w:u w:val="single" w:color="auto"/>
          <w:color w:val="0000FF"/>
        </w:rPr>
      </w:pPr>
      <w:hyperlink r:id="rId73">
        <w:r>
          <w:rPr>
            <w:rFonts w:ascii="Times New Roman" w:cs="Times New Roman" w:eastAsia="Times New Roman" w:hAnsi="Times New Roman"/>
            <w:sz w:val="17"/>
            <w:szCs w:val="17"/>
            <w:u w:val="single" w:color="auto"/>
            <w:color w:val="0000FF"/>
          </w:rPr>
          <w:t>Lease Agreement, dated as of May 10, 2006, between AG Metropolitan Endo, L.L.C and the Company for the property located at 1000 Stewart</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Avenue in Garden City, New York (incorporated by reference to Exhibit 99.1 to the Company’s Current Report on Form 8-K filed May 15,</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2006)</w:t>
        </w:r>
      </w:hyperlink>
    </w:p>
    <w:p>
      <w:pPr>
        <w:spacing w:after="0" w:line="43" w:lineRule="exact"/>
        <w:rPr>
          <w:rFonts w:ascii="Times New Roman" w:cs="Times New Roman" w:eastAsia="Times New Roman" w:hAnsi="Times New Roman"/>
          <w:sz w:val="17"/>
          <w:szCs w:val="17"/>
          <w:u w:val="single" w:color="auto"/>
          <w:color w:val="0000FF"/>
        </w:rPr>
      </w:pPr>
    </w:p>
    <w:p>
      <w:pPr>
        <w:ind w:right="200"/>
        <w:spacing w:after="0" w:line="224" w:lineRule="auto"/>
        <w:rPr>
          <w:rFonts w:ascii="Times New Roman" w:cs="Times New Roman" w:eastAsia="Times New Roman" w:hAnsi="Times New Roman"/>
          <w:sz w:val="17"/>
          <w:szCs w:val="17"/>
          <w:u w:val="single" w:color="auto"/>
          <w:color w:val="0000FF"/>
        </w:rPr>
      </w:pPr>
      <w:hyperlink r:id="rId74">
        <w:r>
          <w:rPr>
            <w:rFonts w:ascii="Times New Roman" w:cs="Times New Roman" w:eastAsia="Times New Roman" w:hAnsi="Times New Roman"/>
            <w:sz w:val="17"/>
            <w:szCs w:val="17"/>
            <w:u w:val="single" w:color="auto"/>
            <w:color w:val="0000FF"/>
          </w:rPr>
          <w:t>First Amendment to the Lease Agreement, dated as of September 26, 2006, between AG Metropolitan Endo, L.L.C and the Company for the</w:t>
        </w:r>
      </w:hyperlink>
      <w:r>
        <w:rPr>
          <w:rFonts w:ascii="Times New Roman" w:cs="Times New Roman" w:eastAsia="Times New Roman" w:hAnsi="Times New Roman"/>
          <w:sz w:val="17"/>
          <w:szCs w:val="17"/>
          <w:u w:val="single" w:color="auto"/>
          <w:color w:val="0000FF"/>
        </w:rPr>
        <w:t xml:space="preserve"> </w:t>
      </w:r>
      <w:hyperlink r:id="rId74">
        <w:r>
          <w:rPr>
            <w:rFonts w:ascii="Times New Roman" w:cs="Times New Roman" w:eastAsia="Times New Roman" w:hAnsi="Times New Roman"/>
            <w:sz w:val="17"/>
            <w:szCs w:val="17"/>
            <w:u w:val="single" w:color="auto"/>
            <w:color w:val="0000FF"/>
          </w:rPr>
          <w:t>property located at 1000 Stewart Avenue in Garden City, New York (incorporated by reference to Exhibit 10.1 to the Company’s Quarterly</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74">
        <w:r>
          <w:rPr>
            <w:rFonts w:ascii="Times New Roman" w:cs="Times New Roman" w:eastAsia="Times New Roman" w:hAnsi="Times New Roman"/>
            <w:sz w:val="17"/>
            <w:szCs w:val="17"/>
            <w:u w:val="single" w:color="auto"/>
            <w:color w:val="0000FF"/>
          </w:rPr>
          <w:t>Report on Form 10-Q for the quarter ended September 30, 2006)</w:t>
        </w:r>
      </w:hyperlink>
    </w:p>
    <w:p>
      <w:pPr>
        <w:spacing w:after="0" w:line="57" w:lineRule="exact"/>
        <w:rPr>
          <w:sz w:val="20"/>
          <w:szCs w:val="20"/>
          <w:color w:val="auto"/>
        </w:rPr>
      </w:pPr>
    </w:p>
    <w:p>
      <w:pPr>
        <w:ind w:right="400"/>
        <w:spacing w:after="0" w:line="239" w:lineRule="auto"/>
        <w:rPr>
          <w:rFonts w:ascii="Times New Roman" w:cs="Times New Roman" w:eastAsia="Times New Roman" w:hAnsi="Times New Roman"/>
          <w:sz w:val="17"/>
          <w:szCs w:val="17"/>
          <w:u w:val="single" w:color="auto"/>
          <w:color w:val="0000FF"/>
        </w:rPr>
      </w:pPr>
      <w:hyperlink r:id="rId75">
        <w:r>
          <w:rPr>
            <w:rFonts w:ascii="Times New Roman" w:cs="Times New Roman" w:eastAsia="Times New Roman" w:hAnsi="Times New Roman"/>
            <w:sz w:val="17"/>
            <w:szCs w:val="17"/>
            <w:u w:val="single" w:color="auto"/>
            <w:color w:val="0000FF"/>
          </w:rPr>
          <w:t>Amended and Restated 2000 Long-Term Incentive Plan, dated June 28, 2018 (incorporated by reference to Exhibit 10.1 to the Company’s</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Current Report on Form 8-K filed June 29, 2018)*</w:t>
        </w:r>
      </w:hyperlink>
    </w:p>
    <w:p>
      <w:pPr>
        <w:spacing w:after="0" w:line="75" w:lineRule="exact"/>
        <w:rPr>
          <w:sz w:val="20"/>
          <w:szCs w:val="20"/>
          <w:color w:val="auto"/>
        </w:rPr>
      </w:pPr>
    </w:p>
    <w:p>
      <w:pPr>
        <w:ind w:right="280"/>
        <w:spacing w:after="0" w:line="271" w:lineRule="auto"/>
        <w:rPr>
          <w:rFonts w:ascii="Times New Roman" w:cs="Times New Roman" w:eastAsia="Times New Roman" w:hAnsi="Times New Roman"/>
          <w:sz w:val="17"/>
          <w:szCs w:val="17"/>
          <w:u w:val="single" w:color="auto"/>
          <w:color w:val="0000FF"/>
        </w:rPr>
      </w:pPr>
      <w:hyperlink r:id="rId76">
        <w:r>
          <w:rPr>
            <w:rFonts w:ascii="Times New Roman" w:cs="Times New Roman" w:eastAsia="Times New Roman" w:hAnsi="Times New Roman"/>
            <w:sz w:val="17"/>
            <w:szCs w:val="17"/>
            <w:u w:val="single" w:color="auto"/>
            <w:color w:val="0000FF"/>
          </w:rPr>
          <w:t>Form of Restricted Stock Award Agreement under the Amended and Restated 2000 Long-term Incentive Plan (incorporated by reference to</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Exhibit 10.1 to the Company’s Quarterly Report on Form 10-Q filed August 10, 2015)*</w:t>
        </w:r>
      </w:hyperlink>
    </w:p>
    <w:p>
      <w:pPr>
        <w:spacing w:after="0" w:line="61" w:lineRule="exact"/>
        <w:rPr>
          <w:sz w:val="20"/>
          <w:szCs w:val="20"/>
          <w:color w:val="auto"/>
        </w:rPr>
      </w:pPr>
    </w:p>
    <w:p>
      <w:pPr>
        <w:ind w:right="800"/>
        <w:spacing w:after="0" w:line="271" w:lineRule="auto"/>
        <w:rPr>
          <w:rFonts w:ascii="Times New Roman" w:cs="Times New Roman" w:eastAsia="Times New Roman" w:hAnsi="Times New Roman"/>
          <w:sz w:val="17"/>
          <w:szCs w:val="17"/>
          <w:u w:val="single" w:color="auto"/>
          <w:color w:val="0000FF"/>
        </w:rPr>
      </w:pPr>
      <w:hyperlink r:id="rId77">
        <w:r>
          <w:rPr>
            <w:rFonts w:ascii="Times New Roman" w:cs="Times New Roman" w:eastAsia="Times New Roman" w:hAnsi="Times New Roman"/>
            <w:sz w:val="17"/>
            <w:szCs w:val="17"/>
            <w:u w:val="single" w:color="auto"/>
            <w:color w:val="0000FF"/>
          </w:rPr>
          <w:t>Form of Deferred Stock (Performance-Vesting) Award Agreement under the Amended and Restated 2000 Long-term Incentive Plan</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(incorporated by reference to Exhibit 10.2 to the Company’s Quarterly Report on Form 10-Q filed August 10, 2015)*</w:t>
        </w:r>
      </w:hyperlink>
    </w:p>
    <w:p>
      <w:pPr>
        <w:spacing w:after="0" w:line="48" w:lineRule="exact"/>
        <w:rPr>
          <w:sz w:val="20"/>
          <w:szCs w:val="20"/>
          <w:color w:val="auto"/>
        </w:rPr>
      </w:pPr>
    </w:p>
    <w:p>
      <w:pPr>
        <w:ind w:right="180"/>
        <w:spacing w:after="0" w:line="255" w:lineRule="auto"/>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Amended and Restated 2000 Incentive Bonus Compensation Plan, effective as of June 22, 2017 (incorporated by reference to Exhibit 10.1 to</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the Company’s Current Report on Form 8-K filed June 23, 2017)*</w:t>
        </w:r>
      </w:hyperlink>
    </w:p>
    <w:p>
      <w:pPr>
        <w:spacing w:after="0" w:line="74" w:lineRule="exact"/>
        <w:rPr>
          <w:sz w:val="20"/>
          <w:szCs w:val="20"/>
          <w:color w:val="auto"/>
        </w:rPr>
      </w:pPr>
    </w:p>
    <w:p>
      <w:pPr>
        <w:ind w:right="40"/>
        <w:spacing w:after="0" w:line="271" w:lineRule="auto"/>
        <w:rPr>
          <w:rFonts w:ascii="Times New Roman" w:cs="Times New Roman" w:eastAsia="Times New Roman" w:hAnsi="Times New Roman"/>
          <w:sz w:val="17"/>
          <w:szCs w:val="17"/>
          <w:u w:val="single" w:color="auto"/>
          <w:color w:val="0000FF"/>
        </w:rPr>
      </w:pPr>
      <w:hyperlink r:id="rId79">
        <w:r>
          <w:rPr>
            <w:rFonts w:ascii="Times New Roman" w:cs="Times New Roman" w:eastAsia="Times New Roman" w:hAnsi="Times New Roman"/>
            <w:sz w:val="17"/>
            <w:szCs w:val="17"/>
            <w:u w:val="single" w:color="auto"/>
            <w:color w:val="0000FF"/>
          </w:rPr>
          <w:t>Amended and Restated 2000 Long-Term Incentive Plan, effective as of June 25, 2020 (filed as Appendix B to the Registrant's Definitive Proxy</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Statement on Schedule 14A, filed on April 29, 2020 and incorporated by reference herein)</w:t>
        </w:r>
      </w:hyperlink>
    </w:p>
    <w:p>
      <w:pPr>
        <w:spacing w:after="0" w:line="61" w:lineRule="exact"/>
        <w:rPr>
          <w:sz w:val="20"/>
          <w:szCs w:val="20"/>
          <w:color w:val="auto"/>
        </w:rPr>
      </w:pPr>
    </w:p>
    <w:p>
      <w:pPr>
        <w:ind w:right="40"/>
        <w:spacing w:after="0" w:line="271" w:lineRule="auto"/>
        <w:rPr>
          <w:rFonts w:ascii="Times New Roman" w:cs="Times New Roman" w:eastAsia="Times New Roman" w:hAnsi="Times New Roman"/>
          <w:sz w:val="17"/>
          <w:szCs w:val="17"/>
          <w:u w:val="single" w:color="auto"/>
          <w:color w:val="0000FF"/>
        </w:rPr>
      </w:pPr>
      <w:hyperlink r:id="rId80">
        <w:r>
          <w:rPr>
            <w:rFonts w:ascii="Times New Roman" w:cs="Times New Roman" w:eastAsia="Times New Roman" w:hAnsi="Times New Roman"/>
            <w:sz w:val="17"/>
            <w:szCs w:val="17"/>
            <w:u w:val="single" w:color="auto"/>
            <w:color w:val="0000FF"/>
          </w:rPr>
          <w:t>Amended and Restated 2000 Long-Term Incentive Plan, effective as of June 23, 2022 (filed as Appendix B to the Registrant's Definitive Proxy</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Statement on Schedule 14A, filed on April 28, 2022 and incorporated by reference herein)</w:t>
        </w:r>
      </w:hyperlink>
    </w:p>
    <w:p>
      <w:pPr>
        <w:spacing w:after="0" w:line="61" w:lineRule="exact"/>
        <w:rPr>
          <w:sz w:val="20"/>
          <w:szCs w:val="20"/>
          <w:color w:val="auto"/>
        </w:rPr>
      </w:pPr>
    </w:p>
    <w:p>
      <w:pPr>
        <w:ind w:right="240"/>
        <w:spacing w:after="0" w:line="271" w:lineRule="auto"/>
        <w:rPr>
          <w:rFonts w:ascii="Times New Roman" w:cs="Times New Roman" w:eastAsia="Times New Roman" w:hAnsi="Times New Roman"/>
          <w:sz w:val="17"/>
          <w:szCs w:val="17"/>
          <w:u w:val="single" w:color="auto"/>
          <w:color w:val="0000FF"/>
        </w:rPr>
      </w:pPr>
      <w:hyperlink r:id="rId81">
        <w:r>
          <w:rPr>
            <w:rFonts w:ascii="Times New Roman" w:cs="Times New Roman" w:eastAsia="Times New Roman" w:hAnsi="Times New Roman"/>
            <w:sz w:val="17"/>
            <w:szCs w:val="17"/>
            <w:u w:val="single" w:color="auto"/>
            <w:color w:val="0000FF"/>
          </w:rPr>
          <w:t>Amended and Restated Employment Agreement, dated September 10, 2015, between the Company and Laurence Winoker (incorporated by</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reference to Exhibit 10.1 to the Company’s Current Report on Form 8-K filed September 16, 2015)*</w:t>
        </w:r>
      </w:hyperlink>
    </w:p>
    <w:p>
      <w:pPr>
        <w:spacing w:after="0" w:line="48" w:lineRule="exact"/>
        <w:rPr>
          <w:sz w:val="20"/>
          <w:szCs w:val="20"/>
          <w:color w:val="auto"/>
        </w:rPr>
      </w:pPr>
    </w:p>
    <w:p>
      <w:pPr>
        <w:ind w:right="200"/>
        <w:spacing w:after="0" w:line="255" w:lineRule="auto"/>
        <w:rPr>
          <w:rFonts w:ascii="Times New Roman" w:cs="Times New Roman" w:eastAsia="Times New Roman" w:hAnsi="Times New Roman"/>
          <w:sz w:val="17"/>
          <w:szCs w:val="17"/>
          <w:u w:val="single" w:color="auto"/>
          <w:color w:val="0000FF"/>
        </w:rPr>
      </w:pPr>
      <w:hyperlink r:id="rId82">
        <w:r>
          <w:rPr>
            <w:rFonts w:ascii="Times New Roman" w:cs="Times New Roman" w:eastAsia="Times New Roman" w:hAnsi="Times New Roman"/>
            <w:sz w:val="17"/>
            <w:szCs w:val="17"/>
            <w:u w:val="single" w:color="auto"/>
            <w:color w:val="0000FF"/>
          </w:rPr>
          <w:t>Amendment to the Amended and Restated Employment Agreement, dated November 8, 2017, between the Company and Laurence Winoker</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(incorporated by reference to Exhibit 10.3 to the Company’s Quarterly Report on Form 10-Q for the quarter ended September 30, 2017)*</w:t>
        </w:r>
      </w:hyperlink>
    </w:p>
    <w:p>
      <w:pPr>
        <w:spacing w:after="0" w:line="62" w:lineRule="exact"/>
        <w:rPr>
          <w:sz w:val="20"/>
          <w:szCs w:val="20"/>
          <w:color w:val="auto"/>
        </w:rPr>
      </w:pPr>
    </w:p>
    <w:p>
      <w:pPr>
        <w:ind w:right="220"/>
        <w:spacing w:after="0" w:line="224" w:lineRule="auto"/>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Letter Agreement Amending and Supplementing Employment Agreement between Lifetime Brands, Inc. and Laurence Winoker, effective</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April 13, 2020 (incorporated by reference to Exhibit 10.4 to the Company's Quarterly Report on Form 10-Q for the quarter ended March 31,</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2020)</w:t>
        </w:r>
      </w:hyperlink>
    </w:p>
    <w:p>
      <w:pPr>
        <w:spacing w:after="0" w:line="70" w:lineRule="exact"/>
        <w:rPr>
          <w:sz w:val="20"/>
          <w:szCs w:val="20"/>
          <w:color w:val="auto"/>
        </w:rPr>
      </w:pPr>
    </w:p>
    <w:p>
      <w:pPr>
        <w:ind w:right="280"/>
        <w:spacing w:after="0" w:line="271" w:lineRule="auto"/>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Third Amendment to the Amended and Restated Employment Agreement, dated as of August 1, 2022, between the Company and Laurence</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Winoker (incorporated by reference to Exhibit 10.1 to the Company's quarterly report on Form 10-Q for the quarter ended June 30, 2022)</w:t>
        </w:r>
      </w:hyperlink>
    </w:p>
    <w:p>
      <w:pPr>
        <w:spacing w:after="0" w:line="61" w:lineRule="exact"/>
        <w:rPr>
          <w:sz w:val="20"/>
          <w:szCs w:val="20"/>
          <w:color w:val="auto"/>
        </w:rPr>
      </w:pPr>
    </w:p>
    <w:p>
      <w:pPr>
        <w:ind w:right="220"/>
        <w:spacing w:after="0" w:line="262" w:lineRule="auto"/>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Fourth Amendment to the Amended and Restated Employment Agreement, dated as of March 8, 2023, by and between the Company and</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Laurence Winoker (incorporated by reference to Exhibit 10.18 to the Company's Annual Report on Form 10-K for the year ended December</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31, 2022)</w:t>
        </w:r>
      </w:hyperlink>
    </w:p>
    <w:p>
      <w:pPr>
        <w:spacing w:after="0" w:line="56" w:lineRule="exact"/>
        <w:rPr>
          <w:rFonts w:ascii="Times New Roman" w:cs="Times New Roman" w:eastAsia="Times New Roman" w:hAnsi="Times New Roman"/>
          <w:sz w:val="17"/>
          <w:szCs w:val="17"/>
          <w:u w:val="single" w:color="auto"/>
          <w:color w:val="0000FF"/>
        </w:rPr>
      </w:pPr>
    </w:p>
    <w:p>
      <w:pPr>
        <w:ind w:right="260"/>
        <w:spacing w:after="0" w:line="262" w:lineRule="auto"/>
        <w:rPr>
          <w:rFonts w:ascii="Times New Roman" w:cs="Times New Roman" w:eastAsia="Times New Roman" w:hAnsi="Times New Roman"/>
          <w:sz w:val="17"/>
          <w:szCs w:val="17"/>
          <w:u w:val="single" w:color="auto"/>
          <w:color w:val="0000FF"/>
        </w:rPr>
      </w:pPr>
      <w:hyperlink r:id="rId86">
        <w:r>
          <w:rPr>
            <w:rFonts w:ascii="Times New Roman" w:cs="Times New Roman" w:eastAsia="Times New Roman" w:hAnsi="Times New Roman"/>
            <w:sz w:val="17"/>
            <w:szCs w:val="17"/>
            <w:u w:val="single" w:color="auto"/>
            <w:color w:val="0000FF"/>
          </w:rPr>
          <w:t>Fifth Amendment to the Amended and Restated Employment Agreement, dated as of November 8, 2023, by and between the Company and</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Laurence Winoker (incorporated by reference to Exhibit 10.1 to the Company's Quarterly Report on Form 10-Q for the quarter ended</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September 30, 2023)</w:t>
        </w:r>
      </w:hyperlink>
    </w:p>
    <w:p>
      <w:pPr>
        <w:spacing w:after="0" w:line="56" w:lineRule="exact"/>
        <w:rPr>
          <w:rFonts w:ascii="Times New Roman" w:cs="Times New Roman" w:eastAsia="Times New Roman" w:hAnsi="Times New Roman"/>
          <w:sz w:val="17"/>
          <w:szCs w:val="17"/>
          <w:u w:val="single" w:color="auto"/>
          <w:color w:val="0000FF"/>
        </w:rPr>
      </w:pPr>
    </w:p>
    <w:p>
      <w:pPr>
        <w:jc w:val="both"/>
        <w:ind w:right="40"/>
        <w:spacing w:after="0" w:line="271" w:lineRule="auto"/>
        <w:rPr>
          <w:rFonts w:ascii="Times New Roman" w:cs="Times New Roman" w:eastAsia="Times New Roman" w:hAnsi="Times New Roman"/>
          <w:sz w:val="17"/>
          <w:szCs w:val="17"/>
          <w:u w:val="single" w:color="auto"/>
          <w:color w:val="0000FF"/>
        </w:rPr>
      </w:pPr>
      <w:hyperlink r:id="rId87">
        <w:r>
          <w:rPr>
            <w:rFonts w:ascii="Times New Roman" w:cs="Times New Roman" w:eastAsia="Times New Roman" w:hAnsi="Times New Roman"/>
            <w:sz w:val="17"/>
            <w:szCs w:val="17"/>
            <w:u w:val="single" w:color="auto"/>
            <w:color w:val="0000FF"/>
          </w:rPr>
          <w:t>Shares Subscription Agreement by and among the Company, Ekco, S.A.B. and Mr. José Ramón Elizondo Anaya and Mr. Miguel Ángel Huerta</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Pando, dated as of June 8, 2007 (incorporated by reference to Exhibit 99.1 to the Company’s Current Report on Form 8-K filed June 11, 2007)</w:t>
        </w:r>
      </w:hyperlink>
    </w:p>
    <w:p>
      <w:pPr>
        <w:spacing w:after="0" w:line="48" w:lineRule="exact"/>
        <w:rPr>
          <w:sz w:val="20"/>
          <w:szCs w:val="20"/>
          <w:color w:val="auto"/>
        </w:rPr>
      </w:pPr>
    </w:p>
    <w:p>
      <w:pPr>
        <w:ind w:right="120"/>
        <w:spacing w:after="0" w:line="246" w:lineRule="auto"/>
        <w:rPr>
          <w:rFonts w:ascii="Times New Roman" w:cs="Times New Roman" w:eastAsia="Times New Roman" w:hAnsi="Times New Roman"/>
          <w:sz w:val="17"/>
          <w:szCs w:val="17"/>
          <w:u w:val="single" w:color="auto"/>
          <w:color w:val="0000FF"/>
        </w:rPr>
      </w:pPr>
      <w:hyperlink r:id="rId88">
        <w:r>
          <w:rPr>
            <w:rFonts w:ascii="Times New Roman" w:cs="Times New Roman" w:eastAsia="Times New Roman" w:hAnsi="Times New Roman"/>
            <w:sz w:val="17"/>
            <w:szCs w:val="17"/>
            <w:u w:val="single" w:color="auto"/>
            <w:color w:val="0000FF"/>
          </w:rPr>
          <w:t>Amendment No. 1 dated September 5, 2007 to the Shares Subscription Agreement by and among the Company, Ekco, S.A.B. and Mr. José</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Ramón Elizondo Anaya and Mr. Miguel Ángel Huerta Pando (incorporated by reference to Exhibit 10.17 to the Company’s Annual Report on</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Form 10-K for the year ended December 31, 2008)</w:t>
        </w:r>
      </w:hyperlink>
    </w:p>
    <w:p>
      <w:pPr>
        <w:spacing w:after="0" w:line="69" w:lineRule="exact"/>
        <w:rPr>
          <w:rFonts w:ascii="Times New Roman" w:cs="Times New Roman" w:eastAsia="Times New Roman" w:hAnsi="Times New Roman"/>
          <w:sz w:val="17"/>
          <w:szCs w:val="17"/>
          <w:u w:val="single" w:color="auto"/>
          <w:color w:val="0000FF"/>
        </w:rPr>
      </w:pPr>
    </w:p>
    <w:p>
      <w:pPr>
        <w:ind w:right="120"/>
        <w:spacing w:after="0" w:line="262" w:lineRule="auto"/>
        <w:rPr>
          <w:rFonts w:ascii="Times New Roman" w:cs="Times New Roman" w:eastAsia="Times New Roman" w:hAnsi="Times New Roman"/>
          <w:sz w:val="17"/>
          <w:szCs w:val="17"/>
          <w:u w:val="single" w:color="auto"/>
          <w:color w:val="0000FF"/>
        </w:rPr>
      </w:pPr>
      <w:hyperlink r:id="rId89">
        <w:r>
          <w:rPr>
            <w:rFonts w:ascii="Times New Roman" w:cs="Times New Roman" w:eastAsia="Times New Roman" w:hAnsi="Times New Roman"/>
            <w:sz w:val="17"/>
            <w:szCs w:val="17"/>
            <w:u w:val="single" w:color="auto"/>
            <w:color w:val="0000FF"/>
          </w:rPr>
          <w:t>Amendment No. 2 dated September 25, 2008 to the Shares Subscription Agreement by and among the Company, Ekco, S.A.B. and Mr. José</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Ramón Elizondo Anaya and Mr. Miguel Ángel Huerta Pando (incorporated by reference to Exhibit 10.21 to the Company’s Annual Report on</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Form 10-K for the year ended December 31, 2008)</w:t>
        </w:r>
      </w:hyperlink>
    </w:p>
    <w:p>
      <w:pPr>
        <w:spacing w:after="0" w:line="20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500" w:space="560"/>
            <w:col w:w="9880"/>
          </w:cols>
          <w:pgMar w:left="320" w:top="123" w:right="639" w:bottom="1440" w:gutter="0" w:footer="0" w:header="0"/>
          <w:type w:val="continuous"/>
        </w:sectPr>
      </w:pPr>
    </w:p>
    <w:p>
      <w:pPr>
        <w:spacing w:after="0" w:line="333" w:lineRule="exact"/>
        <w:rPr>
          <w:rFonts w:ascii="Times New Roman" w:cs="Times New Roman" w:eastAsia="Times New Roman" w:hAnsi="Times New Roman"/>
          <w:sz w:val="17"/>
          <w:szCs w:val="17"/>
          <w:u w:val="single" w:color="auto"/>
          <w:color w:val="0000FF"/>
        </w:rPr>
      </w:pPr>
    </w:p>
    <w:p>
      <w:pPr>
        <w:jc w:val="center"/>
        <w:ind w:right="-29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320" w:top="123" w:right="6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10.23*</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Employment Agreement, dated as of November 8, 2017, between the Company and Daniel Siegel (incorporated by reference to Exhibit 10.4 to</w:t>
              </w:r>
            </w:hyperlink>
          </w:p>
        </w:tc>
      </w:tr>
      <w:tr>
        <w:trPr>
          <w:trHeight w:val="160"/>
        </w:trPr>
        <w:tc>
          <w:tcPr>
            <w:tcW w:w="1060" w:type="dxa"/>
            <w:vAlign w:val="bottom"/>
          </w:tcPr>
          <w:p>
            <w:pPr>
              <w:spacing w:after="0"/>
              <w:rPr>
                <w:sz w:val="13"/>
                <w:szCs w:val="13"/>
                <w:color w:val="auto"/>
              </w:rPr>
            </w:pPr>
          </w:p>
        </w:tc>
        <w:tc>
          <w:tcPr>
            <w:tcW w:w="9940" w:type="dxa"/>
            <w:vAlign w:val="bottom"/>
            <w:tcBorders>
              <w:top w:val="single" w:sz="8" w:color="0000FF"/>
            </w:tcBorders>
            <w:gridSpan w:val="36"/>
          </w:tcPr>
          <w:p>
            <w:pPr>
              <w:spacing w:after="0" w:line="161"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the Company’s Quarterly Report on Form 10-Q for the quarter ended September 30,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10.24*</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Amendment to the Employment Agreement, dated as of October 11, 2019, between the Company and Daniel Siegel (incorporated by reference</w:t>
              </w:r>
            </w:hyperlink>
          </w:p>
        </w:tc>
      </w:tr>
      <w:tr>
        <w:trPr>
          <w:trHeight w:val="148"/>
        </w:trPr>
        <w:tc>
          <w:tcPr>
            <w:tcW w:w="1060" w:type="dxa"/>
            <w:vAlign w:val="bottom"/>
          </w:tcPr>
          <w:p>
            <w:pPr>
              <w:spacing w:after="0"/>
              <w:rPr>
                <w:sz w:val="12"/>
                <w:szCs w:val="12"/>
                <w:color w:val="auto"/>
              </w:rPr>
            </w:pPr>
          </w:p>
        </w:tc>
        <w:tc>
          <w:tcPr>
            <w:tcW w:w="988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to Exhibit 10.5 to the Company’s Current Report on Form 8-K filed October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10.25*</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Letter Agreement Amending and Supplementing Employment Agreement between Lifetime Brands, Inc. and Daniel Siegel, effective April 13,</w:t>
              </w:r>
            </w:hyperlink>
          </w:p>
        </w:tc>
      </w:tr>
      <w:tr>
        <w:trPr>
          <w:trHeight w:val="148"/>
        </w:trPr>
        <w:tc>
          <w:tcPr>
            <w:tcW w:w="106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2020 (incorporated by reference to Exhibit 10.2 to the Company's Quarterly Report on Form 10-Q for the quarter ended March 31, 2020)</w:t>
              </w:r>
            </w:hyperlink>
          </w:p>
        </w:tc>
        <w:tc>
          <w:tcPr>
            <w:tcW w:w="4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10.26*</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Second Amendment, dated February 1, 2021, to the Employment Agreement, dated as of November 8, 2017, by and between Lifetime Brands,</w:t>
              </w:r>
            </w:hyperlink>
          </w:p>
        </w:tc>
      </w:tr>
      <w:tr>
        <w:trPr>
          <w:trHeight w:val="148"/>
        </w:trPr>
        <w:tc>
          <w:tcPr>
            <w:tcW w:w="106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Inc. and Daniel Siegel (incorporated by reference to Exhibit 10.2 to the Company's Current Report on Form 8-K filed February 1, 2021)</w:t>
              </w:r>
            </w:hyperlink>
          </w:p>
        </w:tc>
        <w:tc>
          <w:tcPr>
            <w:tcW w:w="4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10.27*</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Third Amendment, dated March 8, 2023, to the Employment Agreement, dated as of November 8, 2017, by and between Lifetime Brands, Inc.</w:t>
              </w:r>
            </w:hyperlink>
          </w:p>
        </w:tc>
      </w:tr>
      <w:tr>
        <w:trPr>
          <w:trHeight w:val="148"/>
        </w:trPr>
        <w:tc>
          <w:tcPr>
            <w:tcW w:w="106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and Daniel Siegel (incorporated by reference to Exhibit 10.26 to the Company's Annual Report on Form 10-K for the year ended December 31,</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0"/>
        </w:trPr>
        <w:tc>
          <w:tcPr>
            <w:tcW w:w="1060" w:type="dxa"/>
            <w:vAlign w:val="bottom"/>
          </w:tcPr>
          <w:p>
            <w:pPr>
              <w:spacing w:after="0"/>
              <w:rPr>
                <w:sz w:val="13"/>
                <w:szCs w:val="13"/>
                <w:color w:val="auto"/>
              </w:rPr>
            </w:pPr>
          </w:p>
        </w:tc>
        <w:tc>
          <w:tcPr>
            <w:tcW w:w="420" w:type="dxa"/>
            <w:vAlign w:val="bottom"/>
            <w:tcBorders>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2022)</w:t>
              </w:r>
            </w:hyperlink>
          </w:p>
        </w:tc>
        <w:tc>
          <w:tcPr>
            <w:tcW w:w="2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51"/>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10.28*</w:t>
            </w:r>
          </w:p>
        </w:tc>
        <w:tc>
          <w:tcPr>
            <w:tcW w:w="908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Fourth Amendment to the Employment Agreement, dated as of November 8, 2023, by and between the Company and Daniel Siegel</w:t>
              </w:r>
            </w:hyperlink>
          </w:p>
        </w:tc>
        <w:tc>
          <w:tcPr>
            <w:tcW w:w="1100" w:type="dxa"/>
            <w:vAlign w:val="bottom"/>
            <w:gridSpan w:val="24"/>
          </w:tcPr>
          <w:p>
            <w:pPr>
              <w:spacing w:after="0"/>
              <w:rPr>
                <w:sz w:val="21"/>
                <w:szCs w:val="21"/>
                <w:color w:val="auto"/>
              </w:rPr>
            </w:pPr>
          </w:p>
        </w:tc>
      </w:tr>
      <w:tr>
        <w:trPr>
          <w:trHeight w:val="148"/>
        </w:trPr>
        <w:tc>
          <w:tcPr>
            <w:tcW w:w="1060" w:type="dxa"/>
            <w:vAlign w:val="bottom"/>
          </w:tcPr>
          <w:p>
            <w:pPr>
              <w:spacing w:after="0"/>
              <w:rPr>
                <w:sz w:val="12"/>
                <w:szCs w:val="12"/>
                <w:color w:val="auto"/>
              </w:rPr>
            </w:pPr>
          </w:p>
        </w:tc>
        <w:tc>
          <w:tcPr>
            <w:tcW w:w="9340" w:type="dxa"/>
            <w:vAlign w:val="bottom"/>
            <w:tcBorders>
              <w:bottom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(incorporated by reference to Exhibit 10.2 to the Company's Quarterly Report on Form 10-Q for the quarter ended September 30, 2023)</w:t>
              </w:r>
            </w:hyperlink>
          </w:p>
        </w:tc>
        <w:tc>
          <w:tcPr>
            <w:tcW w:w="840" w:type="dxa"/>
            <w:vAlign w:val="bottom"/>
            <w:gridSpan w:val="19"/>
          </w:tcPr>
          <w:p>
            <w:pPr>
              <w:spacing w:after="0"/>
              <w:rPr>
                <w:sz w:val="12"/>
                <w:szCs w:val="12"/>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10.29*</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Amended and Restated Director’s and Officer’s Indemnification Agreement (incorporated by reference to Exhibit 10.1 to the</w:t>
              </w:r>
            </w:hyperlink>
          </w:p>
        </w:tc>
      </w:tr>
      <w:tr>
        <w:trPr>
          <w:trHeight w:val="148"/>
        </w:trPr>
        <w:tc>
          <w:tcPr>
            <w:tcW w:w="1060" w:type="dxa"/>
            <w:vAlign w:val="bottom"/>
          </w:tcPr>
          <w:p>
            <w:pPr>
              <w:spacing w:after="0"/>
              <w:rPr>
                <w:sz w:val="12"/>
                <w:szCs w:val="12"/>
                <w:color w:val="auto"/>
              </w:rPr>
            </w:pPr>
          </w:p>
        </w:tc>
        <w:tc>
          <w:tcPr>
            <w:tcW w:w="920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Company’s Current Report on Form 8-K filed January 28,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10.30*</w:t>
            </w:r>
          </w:p>
        </w:tc>
        <w:tc>
          <w:tcPr>
            <w:tcW w:w="956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Receivables Purchase Agreement, dated as of September 30, 2016 by and among the Company, as a Seller and as a Seller Agent and initial</w:t>
              </w:r>
            </w:hyperlink>
          </w:p>
        </w:tc>
        <w:tc>
          <w:tcPr>
            <w:tcW w:w="620" w:type="dxa"/>
            <w:vAlign w:val="bottom"/>
            <w:gridSpan w:val="14"/>
          </w:tcPr>
          <w:p>
            <w:pPr>
              <w:spacing w:after="0"/>
              <w:rPr>
                <w:sz w:val="22"/>
                <w:szCs w:val="22"/>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39"/>
          </w:tcPr>
          <w:p>
            <w:pPr>
              <w:spacing w:after="0" w:line="161"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Servicer, for itself and each of its subsidiaries thereto as a Seller, and HSBC Bank USA, National Association, as Purchaser (incorporated by</w:t>
              </w:r>
            </w:hyperlink>
          </w:p>
        </w:tc>
      </w:tr>
      <w:tr>
        <w:trPr>
          <w:trHeight w:val="173"/>
        </w:trPr>
        <w:tc>
          <w:tcPr>
            <w:tcW w:w="1060" w:type="dxa"/>
            <w:vAlign w:val="bottom"/>
          </w:tcPr>
          <w:p>
            <w:pPr>
              <w:spacing w:after="0"/>
              <w:rPr>
                <w:sz w:val="15"/>
                <w:szCs w:val="15"/>
                <w:color w:val="auto"/>
              </w:rPr>
            </w:pPr>
          </w:p>
        </w:tc>
        <w:tc>
          <w:tcPr>
            <w:tcW w:w="6560" w:type="dxa"/>
            <w:vAlign w:val="bottom"/>
            <w:tcBorders>
              <w:top w:val="single" w:sz="8" w:color="0000FF"/>
              <w:bottom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reference to Exhibit 10.1 to the Company’s Current Report on Form 8-K filed October 4, 2016)</w:t>
              </w:r>
            </w:hyperlink>
          </w:p>
        </w:tc>
        <w:tc>
          <w:tcPr>
            <w:tcW w:w="312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10.31*</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Lease Agreement (Single Tenant Facility), dated as of February 14, 2017 between Baseline Opportunity LLC and Lifetime Brands Inc. for</w:t>
              </w:r>
            </w:hyperlink>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39"/>
          </w:tcPr>
          <w:p>
            <w:pPr>
              <w:spacing w:after="0" w:line="16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property located at 1221 North Alder Avenue, Rialto, California (incorporated by reference to Exhibit 10.1 to the Company’s Quarterly Report</w:t>
              </w:r>
            </w:hyperlink>
          </w:p>
        </w:tc>
      </w:tr>
      <w:tr>
        <w:trPr>
          <w:trHeight w:val="173"/>
        </w:trPr>
        <w:tc>
          <w:tcPr>
            <w:tcW w:w="106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on Form 10-Q for the quarter ended March 31, 2017)</w:t>
              </w:r>
            </w:hyperlink>
          </w:p>
        </w:tc>
        <w:tc>
          <w:tcPr>
            <w:tcW w:w="6160" w:type="dxa"/>
            <w:vAlign w:val="bottom"/>
            <w:tcBorders>
              <w:top w:val="single" w:sz="8" w:color="0000FF"/>
            </w:tcBorders>
            <w:gridSpan w:val="25"/>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10.32*</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Voting Agreement, dated as of December 22, 2017, by and among Taylor Parent, LLC, and Jeffrey Siegel, Ronald Shiftan, Daniel Siegel and</w:t>
              </w:r>
            </w:hyperlink>
          </w:p>
        </w:tc>
      </w:tr>
      <w:tr>
        <w:trPr>
          <w:trHeight w:val="160"/>
        </w:trPr>
        <w:tc>
          <w:tcPr>
            <w:tcW w:w="106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6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Clifford Siegel (incorporated by reference to Exhibit 10.1 to the Company’s Current Report on Form 8-K filed December 29, 2017)</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10.33*</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Employment Agreement, dated as of December 22, 2017, between the Company and Robert B. Kay (incorporated by reference to Exhibit 10.2</w:t>
              </w:r>
            </w:hyperlink>
          </w:p>
        </w:tc>
      </w:tr>
      <w:tr>
        <w:trPr>
          <w:trHeight w:val="160"/>
        </w:trPr>
        <w:tc>
          <w:tcPr>
            <w:tcW w:w="106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to the Company’s Current Report on Form 8-K filed December 29, 2017)*</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10.34*</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Amendment to the Employment Agreement, dated as of October 11, 2019, between the Company and Robert B. Kay (incorporated by</w:t>
              </w:r>
            </w:hyperlink>
          </w:p>
        </w:tc>
      </w:tr>
      <w:tr>
        <w:trPr>
          <w:trHeight w:val="160"/>
        </w:trPr>
        <w:tc>
          <w:tcPr>
            <w:tcW w:w="106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reference to Exhibit 10.2 to the Company’s Current Report on Form 8-K filed October 15,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10.35*</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Letter Agreement Amending and Supplementing Employment Agreement between Lifetime Brands, Inc. and Robert B. Kay, effective April 13,</w:t>
              </w:r>
            </w:hyperlink>
          </w:p>
        </w:tc>
      </w:tr>
      <w:tr>
        <w:trPr>
          <w:trHeight w:val="148"/>
        </w:trPr>
        <w:tc>
          <w:tcPr>
            <w:tcW w:w="1060" w:type="dxa"/>
            <w:vAlign w:val="bottom"/>
          </w:tcPr>
          <w:p>
            <w:pPr>
              <w:spacing w:after="0"/>
              <w:rPr>
                <w:sz w:val="12"/>
                <w:szCs w:val="12"/>
                <w:color w:val="auto"/>
              </w:rPr>
            </w:pPr>
          </w:p>
        </w:tc>
        <w:tc>
          <w:tcPr>
            <w:tcW w:w="9980" w:type="dxa"/>
            <w:vAlign w:val="bottom"/>
            <w:tcBorders>
              <w:top w:val="single" w:sz="8" w:color="0000FF"/>
            </w:tcBorders>
            <w:gridSpan w:val="38"/>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 xml:space="preserve">2020 </w:t>
              </w:r>
            </w:hyperlink>
            <w:hyperlink r:id="rId72">
              <w:r>
                <w:rPr>
                  <w:rFonts w:ascii="Times New Roman" w:cs="Times New Roman" w:eastAsia="Times New Roman" w:hAnsi="Times New Roman"/>
                  <w:sz w:val="17"/>
                  <w:szCs w:val="17"/>
                  <w:color w:val="0000FF"/>
                </w:rPr>
                <w:t>(incorporated by reference to Exhibit 10.1 to the Company's Quarterly Report on Form 10-Q for the quarter ended March 31, 2020)</w:t>
              </w:r>
            </w:hyperlink>
          </w:p>
        </w:tc>
        <w:tc>
          <w:tcPr>
            <w:tcW w:w="20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10.36*</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Second Amendment, dated February 1, 2021, to the Employment Agreement, dated as of December 22, 2017, by and between Lifetime Brands,</w:t>
              </w:r>
            </w:hyperlink>
          </w:p>
        </w:tc>
      </w:tr>
      <w:tr>
        <w:trPr>
          <w:trHeight w:val="160"/>
        </w:trPr>
        <w:tc>
          <w:tcPr>
            <w:tcW w:w="106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Inc. and Robert Kay (incorporated by reference to Exhibit 10.1 to the Company's Current Report on Form 8-K filed February 1, 2021)</w:t>
              </w:r>
            </w:hyperlink>
          </w:p>
        </w:tc>
        <w:tc>
          <w:tcPr>
            <w:tcW w:w="720" w:type="dxa"/>
            <w:vAlign w:val="bottom"/>
            <w:tcBorders>
              <w:top w:val="single" w:sz="8" w:color="0000FF"/>
            </w:tcBorders>
            <w:gridSpan w:val="19"/>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10.37*</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Third Amendment, dated March 8, 2023, to the Employment Agreement, dated as of December 22, 2017, by and between Lifetime Brands, Inc.</w:t>
              </w:r>
            </w:hyperlink>
          </w:p>
        </w:tc>
      </w:tr>
      <w:tr>
        <w:trPr>
          <w:trHeight w:val="160"/>
        </w:trPr>
        <w:tc>
          <w:tcPr>
            <w:tcW w:w="1060" w:type="dxa"/>
            <w:vAlign w:val="bottom"/>
          </w:tcPr>
          <w:p>
            <w:pPr>
              <w:spacing w:after="0"/>
              <w:rPr>
                <w:sz w:val="13"/>
                <w:szCs w:val="13"/>
                <w:color w:val="auto"/>
              </w:rPr>
            </w:pPr>
          </w:p>
        </w:tc>
        <w:tc>
          <w:tcPr>
            <w:tcW w:w="9980" w:type="dxa"/>
            <w:vAlign w:val="bottom"/>
            <w:tcBorders>
              <w:top w:val="single" w:sz="8" w:color="0000FF"/>
            </w:tcBorders>
            <w:gridSpan w:val="38"/>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and Robert Kay (incorporated by reference to Exhibit 10.35 to the Company's Annual Report on Form 10-K for the year ended December 31,</w:t>
              </w:r>
            </w:hyperlink>
          </w:p>
        </w:tc>
        <w:tc>
          <w:tcPr>
            <w:tcW w:w="200" w:type="dxa"/>
            <w:vAlign w:val="bottom"/>
          </w:tcPr>
          <w:p>
            <w:pPr>
              <w:spacing w:after="0"/>
              <w:rPr>
                <w:sz w:val="13"/>
                <w:szCs w:val="13"/>
                <w:color w:val="auto"/>
              </w:rPr>
            </w:pPr>
          </w:p>
        </w:tc>
      </w:tr>
      <w:tr>
        <w:trPr>
          <w:trHeight w:val="173"/>
        </w:trPr>
        <w:tc>
          <w:tcPr>
            <w:tcW w:w="1060" w:type="dxa"/>
            <w:vAlign w:val="bottom"/>
          </w:tcPr>
          <w:p>
            <w:pPr>
              <w:spacing w:after="0"/>
              <w:rPr>
                <w:sz w:val="15"/>
                <w:szCs w:val="15"/>
                <w:color w:val="auto"/>
              </w:rPr>
            </w:pPr>
          </w:p>
        </w:tc>
        <w:tc>
          <w:tcPr>
            <w:tcW w:w="42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2022)</w:t>
              </w:r>
            </w:hyperlink>
          </w:p>
        </w:tc>
        <w:tc>
          <w:tcPr>
            <w:tcW w:w="240" w:type="dxa"/>
            <w:vAlign w:val="bottom"/>
            <w:tcBorders>
              <w:top w:val="single" w:sz="8" w:color="0000FF"/>
            </w:tcBorders>
          </w:tcPr>
          <w:p>
            <w:pPr>
              <w:spacing w:after="0"/>
              <w:rPr>
                <w:sz w:val="15"/>
                <w:szCs w:val="15"/>
                <w:color w:val="auto"/>
              </w:rPr>
            </w:pPr>
          </w:p>
        </w:tc>
        <w:tc>
          <w:tcPr>
            <w:tcW w:w="30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10.38*</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Stockholders Agreement, dated as of March 2, 2018, between the Company and Taylor Parent, LLC (incorporated by reference to Exhibit</w:t>
              </w:r>
            </w:hyperlink>
          </w:p>
        </w:tc>
      </w:tr>
      <w:tr>
        <w:trPr>
          <w:trHeight w:val="160"/>
        </w:trPr>
        <w:tc>
          <w:tcPr>
            <w:tcW w:w="106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61"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01</w:t>
              </w:r>
              <w:r>
                <w:rPr>
                  <w:rFonts w:ascii="Times New Roman" w:cs="Times New Roman" w:eastAsia="Times New Roman" w:hAnsi="Times New Roman"/>
                  <w:sz w:val="17"/>
                  <w:szCs w:val="17"/>
                  <w:color w:val="0000FF"/>
                </w:rPr>
                <w:t xml:space="preserve"> to the Company’s Current Report on Form 8-K filed March 6, 2018)</w:t>
              </w:r>
            </w:hyperlink>
          </w:p>
        </w:tc>
        <w:tc>
          <w:tcPr>
            <w:tcW w:w="4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10.39*</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Amendment to Stockholders Agreement, dated as of October 11, 2019, between the Company and Taylor Parent, LLC (incorporated by</w:t>
              </w:r>
            </w:hyperlink>
          </w:p>
        </w:tc>
      </w:tr>
      <w:tr>
        <w:trPr>
          <w:trHeight w:val="160"/>
        </w:trPr>
        <w:tc>
          <w:tcPr>
            <w:tcW w:w="106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reference to Exhibit 10.1 to the Company’s Current Report on Form 8-K filed October 15, 2019)</w:t>
              </w:r>
            </w:hyperlink>
          </w:p>
        </w:tc>
        <w:tc>
          <w:tcPr>
            <w:tcW w:w="240" w:type="dxa"/>
            <w:vAlign w:val="bottom"/>
            <w:gridSpan w:val="6"/>
          </w:tcPr>
          <w:p>
            <w:pPr>
              <w:spacing w:after="0"/>
              <w:rPr>
                <w:sz w:val="13"/>
                <w:szCs w:val="13"/>
                <w:color w:val="auto"/>
              </w:rPr>
            </w:pPr>
          </w:p>
        </w:tc>
        <w:tc>
          <w:tcPr>
            <w:tcW w:w="34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5980" w:type="dxa"/>
            <w:vAlign w:val="bottom"/>
            <w:gridSpan w:val="7"/>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77"/>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10.40*</w:t>
            </w:r>
          </w:p>
        </w:tc>
        <w:tc>
          <w:tcPr>
            <w:tcW w:w="956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Second Amendment, dated October 19, 2023, to that certain Stockholders Agreement, dated as of March 2, 2018, by and between Lifetime</w:t>
              </w:r>
            </w:hyperlink>
          </w:p>
        </w:tc>
        <w:tc>
          <w:tcPr>
            <w:tcW w:w="620" w:type="dxa"/>
            <w:vAlign w:val="bottom"/>
            <w:gridSpan w:val="14"/>
          </w:tcPr>
          <w:p>
            <w:pPr>
              <w:spacing w:after="0"/>
              <w:rPr>
                <w:sz w:val="24"/>
                <w:szCs w:val="24"/>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39"/>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Brands, Inc. and Taylor Parent, LLC (incorporated by reference to Exhibit 10.1 to the Company’s Current Report on Form 8-K filed on October</w:t>
              </w:r>
            </w:hyperlink>
          </w:p>
        </w:tc>
      </w:tr>
      <w:tr>
        <w:trPr>
          <w:trHeight w:val="173"/>
        </w:trPr>
        <w:tc>
          <w:tcPr>
            <w:tcW w:w="1060" w:type="dxa"/>
            <w:vAlign w:val="bottom"/>
          </w:tcPr>
          <w:p>
            <w:pPr>
              <w:spacing w:after="0"/>
              <w:rPr>
                <w:sz w:val="15"/>
                <w:szCs w:val="15"/>
                <w:color w:val="auto"/>
              </w:rPr>
            </w:pPr>
          </w:p>
        </w:tc>
        <w:tc>
          <w:tcPr>
            <w:tcW w:w="66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7"/>
                <w:szCs w:val="17"/>
                <w:color w:val="0000FF"/>
                <w:w w:val="98"/>
              </w:rPr>
            </w:pPr>
            <w:hyperlink r:id="rId107">
              <w:r>
                <w:rPr>
                  <w:rFonts w:ascii="Times New Roman" w:cs="Times New Roman" w:eastAsia="Times New Roman" w:hAnsi="Times New Roman"/>
                  <w:sz w:val="17"/>
                  <w:szCs w:val="17"/>
                  <w:color w:val="0000FF"/>
                  <w:w w:val="98"/>
                </w:rPr>
                <w:t>20, 2023)</w:t>
              </w:r>
            </w:hyperlink>
          </w:p>
        </w:tc>
        <w:tc>
          <w:tcPr>
            <w:tcW w:w="30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r>
      <w:tr>
        <w:trPr>
          <w:trHeight w:val="264"/>
        </w:trPr>
        <w:tc>
          <w:tcPr>
            <w:tcW w:w="10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10.41*</w:t>
            </w:r>
          </w:p>
        </w:tc>
        <w:tc>
          <w:tcPr>
            <w:tcW w:w="10180" w:type="dxa"/>
            <w:vAlign w:val="bottom"/>
            <w:gridSpan w:val="39"/>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Letter Agreement and Joinder, dated as of November 9, 2018, by and among the Company, Taylor Parent, LLC and Centre Capital Investors V,</w:t>
              </w:r>
            </w:hyperlink>
          </w:p>
        </w:tc>
      </w:tr>
      <w:tr>
        <w:trPr>
          <w:trHeight w:val="160"/>
        </w:trPr>
        <w:tc>
          <w:tcPr>
            <w:tcW w:w="1060" w:type="dxa"/>
            <w:vAlign w:val="bottom"/>
          </w:tcPr>
          <w:p>
            <w:pPr>
              <w:spacing w:after="0"/>
              <w:rPr>
                <w:sz w:val="13"/>
                <w:szCs w:val="13"/>
                <w:color w:val="auto"/>
              </w:rPr>
            </w:pPr>
          </w:p>
        </w:tc>
        <w:tc>
          <w:tcPr>
            <w:tcW w:w="9900" w:type="dxa"/>
            <w:vAlign w:val="bottom"/>
            <w:tcBorders>
              <w:top w:val="single" w:sz="8" w:color="0000FF"/>
            </w:tcBorders>
            <w:gridSpan w:val="34"/>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LP. (incorporated by reference to Exhibit 10.01 to the Company’s Current Report on Form 8-K filed November 15, 2018)</w:t>
              </w:r>
            </w:hyperlink>
          </w:p>
        </w:tc>
        <w:tc>
          <w:tcPr>
            <w:tcW w:w="280" w:type="dxa"/>
            <w:vAlign w:val="bottom"/>
            <w:gridSpan w:val="5"/>
          </w:tcPr>
          <w:p>
            <w:pPr>
              <w:spacing w:after="0"/>
              <w:rPr>
                <w:sz w:val="13"/>
                <w:szCs w:val="13"/>
                <w:color w:val="auto"/>
              </w:rPr>
            </w:pPr>
          </w:p>
        </w:tc>
      </w:tr>
      <w:tr>
        <w:trPr>
          <w:trHeight w:val="806"/>
        </w:trPr>
        <w:tc>
          <w:tcPr>
            <w:tcW w:w="1060" w:type="dxa"/>
            <w:vAlign w:val="bottom"/>
          </w:tcPr>
          <w:p>
            <w:pPr>
              <w:spacing w:after="0"/>
              <w:rPr>
                <w:sz w:val="24"/>
                <w:szCs w:val="24"/>
                <w:color w:val="auto"/>
              </w:rPr>
            </w:pPr>
          </w:p>
        </w:tc>
        <w:tc>
          <w:tcPr>
            <w:tcW w:w="5120" w:type="dxa"/>
            <w:vAlign w:val="bottom"/>
            <w:tcBorders>
              <w:top w:val="single" w:sz="8" w:color="0000FF"/>
            </w:tcBorders>
            <w:gridSpan w:val="7"/>
          </w:tcPr>
          <w:p>
            <w:pPr>
              <w:ind w:left="4480"/>
              <w:spacing w:after="0"/>
              <w:rPr>
                <w:sz w:val="20"/>
                <w:szCs w:val="20"/>
                <w:color w:val="auto"/>
              </w:rPr>
            </w:pPr>
            <w:r>
              <w:rPr>
                <w:rFonts w:ascii="Times New Roman" w:cs="Times New Roman" w:eastAsia="Times New Roman" w:hAnsi="Times New Roman"/>
                <w:sz w:val="17"/>
                <w:szCs w:val="17"/>
                <w:color w:val="auto"/>
              </w:rPr>
              <w:t>50</w:t>
            </w:r>
          </w:p>
        </w:tc>
        <w:tc>
          <w:tcPr>
            <w:tcW w:w="9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10.41*</w:t>
            </w:r>
          </w:p>
        </w:tc>
        <w:tc>
          <w:tcPr>
            <w:tcW w:w="10180" w:type="dxa"/>
            <w:vAlign w:val="bottom"/>
            <w:gridSpan w:val="36"/>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Credit Agreement, dated as of March 2, 2018, by and among the Company, the other Borrowers from time to time party thereto, the other Loan</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940" w:type="dxa"/>
            <w:vAlign w:val="bottom"/>
            <w:tcBorders>
              <w:top w:val="single" w:sz="8" w:color="0000FF"/>
            </w:tcBorders>
            <w:gridSpan w:val="35"/>
          </w:tcPr>
          <w:p>
            <w:pPr>
              <w:spacing w:after="0" w:line="161"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Parties from time to time party thereto, the Lenders from time to time party thereto, and JPMorgan Chase Bank, N.A., as Administrative Agent</w:t>
              </w:r>
            </w:hyperlink>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880" w:type="dxa"/>
            <w:vAlign w:val="bottom"/>
            <w:tcBorders>
              <w:top w:val="single" w:sz="8" w:color="0000FF"/>
            </w:tcBorders>
            <w:gridSpan w:val="32"/>
          </w:tcPr>
          <w:p>
            <w:pPr>
              <w:spacing w:after="0" w:line="173"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(incorporated by reference to Exhibit 10.02 to the Company’s Current Report on Form 8-K filed March 6,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10.43*</w:t>
            </w:r>
          </w:p>
        </w:tc>
        <w:tc>
          <w:tcPr>
            <w:tcW w:w="10180" w:type="dxa"/>
            <w:vAlign w:val="bottom"/>
            <w:gridSpan w:val="36"/>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Amendment No. 1, dated as of December 28, 2021, by and among the Company, the other Loan Parties party thereto (as defined therein), and</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80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JPMorgan Chase Bank, N.A., as Administrative Agent (incorporated by reference to Exhibit 10.01 to the Company's Current Report on Form</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8-K filed December 29, 2021)</w:t>
              </w:r>
            </w:hyperlink>
          </w:p>
        </w:tc>
        <w:tc>
          <w:tcPr>
            <w:tcW w:w="77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10.44*</w:t>
            </w:r>
          </w:p>
        </w:tc>
        <w:tc>
          <w:tcPr>
            <w:tcW w:w="954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Amendment No. 2, dated as of August 26, 2022, by and among the Company, the other Loan Parties party thereto (as defined therein), and</w:t>
              </w:r>
            </w:hyperlink>
          </w:p>
        </w:tc>
        <w:tc>
          <w:tcPr>
            <w:tcW w:w="6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6"/>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JPMorgan Chase Bank, N.A., as Administrative Agent (incorporated by reference to Exhibit 10.01 to the Company's Current Report on Form</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8-K filed August 29, 2022)</w:t>
              </w:r>
            </w:hyperlink>
          </w:p>
        </w:tc>
        <w:tc>
          <w:tcPr>
            <w:tcW w:w="79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10.45*</w:t>
            </w:r>
          </w:p>
        </w:tc>
        <w:tc>
          <w:tcPr>
            <w:tcW w:w="10180" w:type="dxa"/>
            <w:vAlign w:val="bottom"/>
            <w:gridSpan w:val="36"/>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Loan Agreement, dated as of March 2, 2018, by and among the Company, the other Loan Parties from time to time party thereto, the Lenders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76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from time to time party thereto, JPMorgan Chase Bank, N.A., as Administrative Agent and Golub Capital LLC, as Syndication Agent.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24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(incorporated by reference to Exhibit 10.03 to the Company’s Current Report on Form 8-K filed March 6, 2018)</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10.46*</w:t>
            </w:r>
          </w:p>
        </w:tc>
        <w:tc>
          <w:tcPr>
            <w:tcW w:w="958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Amendment No. 1, dated as of December 29, 2022, by and among the Company, the other Loan Parties from time to time party thereto, the</w:t>
              </w:r>
            </w:hyperlink>
          </w:p>
        </w:tc>
        <w:tc>
          <w:tcPr>
            <w:tcW w:w="60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6"/>
          </w:tcPr>
          <w:p>
            <w:pPr>
              <w:spacing w:after="0" w:line="148"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Lenders from time to time party thereto, JPMorgan Chase Bank, N.A., as Administrative Agent and Golub Capital LLC, as Syndication Agent.</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61"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(incorporated by reference to Exhibit 10.01 to the Company’s Current Report on Form 8-K filed January 3, 2023)</w:t>
              </w:r>
            </w:hyperlink>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10.47*</w:t>
            </w:r>
          </w:p>
        </w:tc>
        <w:tc>
          <w:tcPr>
            <w:tcW w:w="9820" w:type="dxa"/>
            <w:vAlign w:val="bottom"/>
            <w:tcBorders>
              <w:bottom w:val="single" w:sz="8" w:color="0000FF"/>
            </w:tcBorders>
            <w:gridSpan w:val="29"/>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Amendment No. 2, dated as of November 14, 2023, by and among the Company, the other Loan Parties party thereto (as defined therein), and</w:t>
              </w:r>
            </w:hyperlink>
          </w:p>
        </w:tc>
        <w:tc>
          <w:tcPr>
            <w:tcW w:w="3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6"/>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JPMorgan Chase Bank, N.A., as Administrative Agent (incorporated by reference to Exhibit 10.1 to the Company’s Current Report on Form 8-</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K filed November 15, 2023)</w:t>
              </w:r>
            </w:hyperlink>
          </w:p>
        </w:tc>
        <w:tc>
          <w:tcPr>
            <w:tcW w:w="7960" w:type="dxa"/>
            <w:vAlign w:val="bottom"/>
            <w:tcBorders>
              <w:top w:val="single" w:sz="8" w:color="0000FF"/>
            </w:tcBorders>
            <w:gridSpan w:val="30"/>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10.48*</w:t>
            </w:r>
          </w:p>
        </w:tc>
        <w:tc>
          <w:tcPr>
            <w:tcW w:w="10180" w:type="dxa"/>
            <w:vAlign w:val="bottom"/>
            <w:gridSpan w:val="36"/>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Amendment No.1 to the Receivables Purchase Agreement, dated as of October 9, 2020 by and among the Company, as a Seller and as a Seller</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84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Agent and initial Servicer, for itself and each of its subsidiaries thereto as a Seller, and HSBC Bank USA, National Association, as Purchaser</w:t>
              </w:r>
            </w:hyperlink>
          </w:p>
        </w:tc>
        <w:tc>
          <w:tcPr>
            <w:tcW w:w="20" w:type="dxa"/>
            <w:vAlign w:val="bottom"/>
          </w:tcPr>
          <w:p>
            <w:pPr>
              <w:spacing w:after="0"/>
              <w:rPr>
                <w:sz w:val="12"/>
                <w:szCs w:val="12"/>
                <w:color w:val="auto"/>
              </w:rPr>
            </w:pPr>
          </w:p>
        </w:tc>
        <w:tc>
          <w:tcPr>
            <w:tcW w:w="3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(incorporated by reference to Exhibit 10.43 to the Company's Annual Report on Form 10-K for the year ended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10.49*</w:t>
            </w:r>
          </w:p>
        </w:tc>
        <w:tc>
          <w:tcPr>
            <w:tcW w:w="10180" w:type="dxa"/>
            <w:vAlign w:val="bottom"/>
            <w:gridSpan w:val="36"/>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Amendment No.2 to the Receivables Purchase Agreement, dated as of January 6, 2023 by and among the Company, as a Seller and as a Seller</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82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Agent and initial Servicer, for itself and each of its subsidiaries thereto as a Seller, and HSBC Bank USA, National Association, as Purchaser</w:t>
              </w:r>
            </w:hyperlink>
          </w:p>
        </w:tc>
        <w:tc>
          <w:tcPr>
            <w:tcW w:w="40" w:type="dxa"/>
            <w:vAlign w:val="bottom"/>
            <w:gridSpan w:val="2"/>
          </w:tcPr>
          <w:p>
            <w:pPr>
              <w:spacing w:after="0"/>
              <w:rPr>
                <w:sz w:val="12"/>
                <w:szCs w:val="12"/>
                <w:color w:val="auto"/>
              </w:rPr>
            </w:pPr>
          </w:p>
        </w:tc>
        <w:tc>
          <w:tcPr>
            <w:tcW w:w="3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(incorporated by reference to Exhibit 10.45 to the Company's Annual Report on Form 10-K for the year ended December 31,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10.50*</w:t>
            </w: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vMerge w:val="continue"/>
          </w:tcPr>
          <w:p>
            <w:pPr>
              <w:spacing w:after="0"/>
              <w:rPr>
                <w:sz w:val="22"/>
                <w:szCs w:val="22"/>
                <w:color w:val="auto"/>
              </w:rPr>
            </w:pP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Amendment No.3 to the Receivables Purchase Agreement, dated as of December 21, 2023 by and among the Company, as a Seller and as a</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9420" w:type="dxa"/>
            <w:vAlign w:val="bottom"/>
            <w:tcBorders>
              <w:top w:val="single" w:sz="8" w:color="0000FF"/>
              <w:bottom w:val="single" w:sz="8" w:color="0000FF"/>
            </w:tcBorders>
            <w:gridSpan w:val="18"/>
          </w:tcPr>
          <w:p>
            <w:pPr>
              <w:spacing w:after="0" w:line="186" w:lineRule="exact"/>
              <w:rPr>
                <w:sz w:val="20"/>
                <w:szCs w:val="20"/>
                <w:color w:val="auto"/>
              </w:rPr>
            </w:pPr>
            <w:r>
              <w:rPr>
                <w:rFonts w:ascii="Times New Roman" w:cs="Times New Roman" w:eastAsia="Times New Roman" w:hAnsi="Times New Roman"/>
                <w:sz w:val="17"/>
                <w:szCs w:val="17"/>
                <w:color w:val="0000FF"/>
              </w:rPr>
              <w:t>Seller Agent and initial Servicer, for itself and each of its subsidiaries thereto as a Seller, and HSBC Bank USA, National Association, as</w:t>
            </w:r>
          </w:p>
        </w:tc>
        <w:tc>
          <w:tcPr>
            <w:tcW w:w="160" w:type="dxa"/>
            <w:vAlign w:val="bottom"/>
            <w:tcBorders>
              <w:top w:val="single" w:sz="8" w:color="0000FF"/>
            </w:tcBorders>
            <w:gridSpan w:val="3"/>
          </w:tcPr>
          <w:p>
            <w:pPr>
              <w:spacing w:after="0"/>
              <w:rPr>
                <w:sz w:val="16"/>
                <w:szCs w:val="16"/>
                <w:color w:val="auto"/>
              </w:rPr>
            </w:pPr>
          </w:p>
        </w:tc>
        <w:tc>
          <w:tcPr>
            <w:tcW w:w="6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0180" w:type="dxa"/>
            <w:vAlign w:val="bottom"/>
            <w:gridSpan w:val="36"/>
          </w:tcPr>
          <w:p>
            <w:pPr>
              <w:spacing w:after="0" w:line="186" w:lineRule="exact"/>
              <w:rPr>
                <w:sz w:val="20"/>
                <w:szCs w:val="20"/>
                <w:color w:val="auto"/>
              </w:rPr>
            </w:pPr>
            <w:r>
              <w:rPr>
                <w:rFonts w:ascii="Times New Roman" w:cs="Times New Roman" w:eastAsia="Times New Roman" w:hAnsi="Times New Roman"/>
                <w:sz w:val="17"/>
                <w:szCs w:val="17"/>
                <w:color w:val="0000FF"/>
              </w:rPr>
              <w:t>Purchaser</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10.51*</w:t>
            </w: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Amendment No.4 to the Receivables Purchase Agreement, dated as of February 23, 2024 by and among the Company, as a Seller and as a</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00" w:type="dxa"/>
            <w:vAlign w:val="bottom"/>
            <w:tcBorders>
              <w:top w:val="single" w:sz="8" w:color="0000FF"/>
            </w:tcBorders>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Seller Agent and initial Servicer, for itself and each of its subsidiaries thereto as a Seller, and HSBC Bank USA, National Association, as</w:t>
            </w:r>
          </w:p>
        </w:tc>
        <w:tc>
          <w:tcPr>
            <w:tcW w:w="1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3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420" w:type="dxa"/>
            <w:vAlign w:val="bottom"/>
            <w:tcBorders>
              <w:top w:val="single" w:sz="8" w:color="0000FF"/>
            </w:tcBorders>
            <w:gridSpan w:val="18"/>
          </w:tcPr>
          <w:p>
            <w:pPr>
              <w:spacing w:after="0" w:line="161" w:lineRule="exact"/>
              <w:rPr>
                <w:sz w:val="20"/>
                <w:szCs w:val="20"/>
                <w:color w:val="auto"/>
              </w:rPr>
            </w:pPr>
            <w:r>
              <w:rPr>
                <w:rFonts w:ascii="Times New Roman" w:cs="Times New Roman" w:eastAsia="Times New Roman" w:hAnsi="Times New Roman"/>
                <w:sz w:val="17"/>
                <w:szCs w:val="17"/>
                <w:color w:val="0000FF"/>
              </w:rPr>
              <w:t>Purchaser</w:t>
            </w:r>
          </w:p>
        </w:tc>
        <w:tc>
          <w:tcPr>
            <w:tcW w:w="2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10.52*</w:t>
            </w:r>
          </w:p>
        </w:tc>
        <w:tc>
          <w:tcPr>
            <w:tcW w:w="10180" w:type="dxa"/>
            <w:vAlign w:val="bottom"/>
            <w:gridSpan w:val="36"/>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Amendment to Option Grant Certificates, dated as of March 8, 2023 by and among the Company and Jeffrey Siegel (incorporated by reference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718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to Exhibit 10.46 to the Company's Annual Report on Form 10-K for the year ended December 31, 2022)</w:t>
              </w:r>
            </w:hyperlink>
          </w:p>
        </w:tc>
        <w:tc>
          <w:tcPr>
            <w:tcW w:w="2680" w:type="dxa"/>
            <w:vAlign w:val="bottom"/>
            <w:tcBorders>
              <w:top w:val="single" w:sz="8" w:color="0000FF"/>
            </w:tcBorders>
            <w:gridSpan w:val="20"/>
          </w:tcPr>
          <w:p>
            <w:pPr>
              <w:spacing w:after="0"/>
              <w:rPr>
                <w:sz w:val="12"/>
                <w:szCs w:val="12"/>
                <w:color w:val="auto"/>
              </w:rPr>
            </w:pPr>
          </w:p>
        </w:tc>
        <w:tc>
          <w:tcPr>
            <w:tcW w:w="3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8180" w:type="dxa"/>
            <w:vAlign w:val="bottom"/>
            <w:gridSpan w:val="31"/>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2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Consent of Ernst &amp; Young LLP</w:t>
            </w:r>
          </w:p>
        </w:tc>
        <w:tc>
          <w:tcPr>
            <w:tcW w:w="8000" w:type="dxa"/>
            <w:vAlign w:val="bottom"/>
            <w:gridSpan w:val="2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3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Consent of Castillo Miranda Y Compania, S.C.</w:t>
            </w:r>
          </w:p>
        </w:tc>
        <w:tc>
          <w:tcPr>
            <w:tcW w:w="6920" w:type="dxa"/>
            <w:vAlign w:val="bottom"/>
            <w:gridSpan w:val="28"/>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Certification by Robert B. Kay, Chief Executive Officer and Director, pursuant to Rule 13a-14(a) or Rule 15d-14(a) of the Securities and</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6480" w:type="dxa"/>
            <w:vAlign w:val="bottom"/>
            <w:tcBorders>
              <w:top w:val="single" w:sz="8" w:color="0000FF"/>
              <w:bottom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Exchange Act of 1934, as adopted pursuant to Section 302 of the Sarbanes-Oxley Act of 2002</w:t>
            </w:r>
          </w:p>
        </w:tc>
        <w:tc>
          <w:tcPr>
            <w:tcW w:w="2920" w:type="dxa"/>
            <w:vAlign w:val="bottom"/>
            <w:tcBorders>
              <w:top w:val="single" w:sz="8" w:color="0000FF"/>
            </w:tcBorders>
            <w:gridSpan w:val="7"/>
          </w:tcPr>
          <w:p>
            <w:pPr>
              <w:spacing w:after="0"/>
              <w:rPr>
                <w:sz w:val="12"/>
                <w:szCs w:val="12"/>
                <w:color w:val="auto"/>
              </w:rPr>
            </w:pPr>
          </w:p>
        </w:tc>
        <w:tc>
          <w:tcPr>
            <w:tcW w:w="26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Certification by Laurence Winoker, Executive Vice President – Finance, Treasurer and Chief Financial Officer, pursuant to Rule 13a-14(a) or</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040" w:type="dxa"/>
            <w:vAlign w:val="bottom"/>
            <w:tcBorders>
              <w:top w:val="single" w:sz="8" w:color="0000FF"/>
              <w:bottom w:val="single" w:sz="8" w:color="0000FF"/>
            </w:tcBorders>
            <w:gridSpan w:val="14"/>
          </w:tcPr>
          <w:p>
            <w:pPr>
              <w:spacing w:after="0" w:line="148" w:lineRule="exact"/>
              <w:rPr>
                <w:sz w:val="20"/>
                <w:szCs w:val="20"/>
                <w:color w:val="auto"/>
              </w:rPr>
            </w:pPr>
            <w:r>
              <w:rPr>
                <w:rFonts w:ascii="Times New Roman" w:cs="Times New Roman" w:eastAsia="Times New Roman" w:hAnsi="Times New Roman"/>
                <w:sz w:val="17"/>
                <w:szCs w:val="17"/>
                <w:color w:val="0000FF"/>
              </w:rPr>
              <w:t>Rule 15d-14(a) of the Securities and Exchange Act of 1934, as adopted pursuant to Section 302 of the Sarbanes-Oxley Act of 2002</w:t>
            </w:r>
          </w:p>
        </w:tc>
        <w:tc>
          <w:tcPr>
            <w:tcW w:w="700" w:type="dxa"/>
            <w:vAlign w:val="bottom"/>
            <w:tcBorders>
              <w:top w:val="single" w:sz="8" w:color="0000FF"/>
            </w:tcBorders>
            <w:gridSpan w:val="11"/>
          </w:tcPr>
          <w:p>
            <w:pPr>
              <w:spacing w:after="0"/>
              <w:rPr>
                <w:sz w:val="12"/>
                <w:szCs w:val="12"/>
                <w:color w:val="auto"/>
              </w:rPr>
            </w:pPr>
          </w:p>
        </w:tc>
        <w:tc>
          <w:tcPr>
            <w:tcW w:w="4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Certification by Robert B. Kay, Chief Executive Officer and Director, and Laurence Winoker, Executive Vice President – Finance, Treasurer</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2"/>
          </w:tcPr>
          <w:p>
            <w:pPr>
              <w:spacing w:after="0" w:line="148" w:lineRule="exact"/>
              <w:rPr>
                <w:sz w:val="20"/>
                <w:szCs w:val="20"/>
                <w:color w:val="auto"/>
              </w:rPr>
            </w:pPr>
            <w:r>
              <w:rPr>
                <w:rFonts w:ascii="Times New Roman" w:cs="Times New Roman" w:eastAsia="Times New Roman" w:hAnsi="Times New Roman"/>
                <w:sz w:val="17"/>
                <w:szCs w:val="17"/>
                <w:color w:val="0000FF"/>
              </w:rPr>
              <w:t>and Chief Financial Officer, pursuant to 18 U.S.C. Section 1350, as adopted pursuant to Section 906 of the Sarbanes-Oxley Act of 2002 (**)</w:t>
            </w:r>
          </w:p>
        </w:tc>
        <w:tc>
          <w:tcPr>
            <w:tcW w:w="60" w:type="dxa"/>
            <w:vAlign w:val="bottom"/>
            <w:tcBorders>
              <w:bottom w:val="single" w:sz="8" w:color="0000FF"/>
            </w:tcBorders>
            <w:gridSpan w:val="2"/>
          </w:tcPr>
          <w:p>
            <w:pPr>
              <w:spacing w:after="0"/>
              <w:rPr>
                <w:sz w:val="12"/>
                <w:szCs w:val="12"/>
                <w:color w:val="auto"/>
              </w:rPr>
            </w:pPr>
          </w:p>
        </w:tc>
        <w:tc>
          <w:tcPr>
            <w:tcW w:w="46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97.1*</w:t>
            </w: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Compensation Recoupment Policy of Lifetime Brands, Inc.</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560" w:type="dxa"/>
            <w:vAlign w:val="bottom"/>
            <w:gridSpan w:val="8"/>
            <w:shd w:val="clear" w:color="auto" w:fill="0000FF"/>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1018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Report of Independent Registered Accounting Firm on the consolidated financial statements of Grupo Vasconia, S.A.B. (formerly Ekco,</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360" w:type="dxa"/>
            <w:vAlign w:val="bottom"/>
            <w:tcBorders>
              <w:top w:val="single" w:sz="8" w:color="0000FF"/>
            </w:tcBorders>
            <w:gridSpan w:val="16"/>
          </w:tcPr>
          <w:p>
            <w:pPr>
              <w:spacing w:after="0" w:line="148" w:lineRule="exact"/>
              <w:rPr>
                <w:sz w:val="20"/>
                <w:szCs w:val="20"/>
                <w:color w:val="auto"/>
              </w:rPr>
            </w:pPr>
            <w:r>
              <w:rPr>
                <w:rFonts w:ascii="Times New Roman" w:cs="Times New Roman" w:eastAsia="Times New Roman" w:hAnsi="Times New Roman"/>
                <w:sz w:val="17"/>
                <w:szCs w:val="17"/>
                <w:color w:val="0000FF"/>
              </w:rPr>
              <w:t>S.A.B.)</w:t>
            </w:r>
          </w:p>
        </w:tc>
        <w:tc>
          <w:tcPr>
            <w:tcW w:w="82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844"/>
        </w:trPr>
        <w:tc>
          <w:tcPr>
            <w:tcW w:w="10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960" w:type="dxa"/>
            <w:vAlign w:val="bottom"/>
            <w:gridSpan w:val="9"/>
          </w:tcPr>
          <w:p>
            <w:pPr>
              <w:jc w:val="right"/>
              <w:ind w:right="1840"/>
              <w:spacing w:after="0"/>
              <w:rPr>
                <w:sz w:val="20"/>
                <w:szCs w:val="20"/>
                <w:color w:val="auto"/>
              </w:rPr>
            </w:pPr>
            <w:r>
              <w:rPr>
                <w:rFonts w:ascii="Times New Roman" w:cs="Times New Roman" w:eastAsia="Times New Roman" w:hAnsi="Times New Roman"/>
                <w:sz w:val="17"/>
                <w:szCs w:val="17"/>
                <w:color w:val="auto"/>
              </w:rPr>
              <w:t>51</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580"/>
          </w:cols>
          <w:pgMar w:left="320" w:top="12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 within the Inline XBRL document.</w:t>
      </w:r>
    </w:p>
    <w:p>
      <w:pPr>
        <w:spacing w:after="0" w:line="62" w:lineRule="exact"/>
        <w:rPr>
          <w:sz w:val="20"/>
          <w:szCs w:val="20"/>
          <w:color w:val="auto"/>
        </w:rPr>
      </w:pPr>
    </w:p>
    <w:p>
      <w:pPr>
        <w:sectPr>
          <w:pgSz w:w="11900" w:h="16838" w:orient="portrait"/>
          <w:cols w:equalWidth="0" w:num="2">
            <w:col w:w="680" w:space="380"/>
            <w:col w:w="9520"/>
          </w:cols>
          <w:pgMar w:left="320" w:top="123" w:right="9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75" w:lineRule="exact"/>
        <w:rPr>
          <w:sz w:val="20"/>
          <w:szCs w:val="20"/>
          <w:color w:val="auto"/>
        </w:rPr>
      </w:pPr>
    </w:p>
    <w:p>
      <w:pPr>
        <w:sectPr>
          <w:pgSz w:w="11900" w:h="16838" w:orient="portrait"/>
          <w:cols w:equalWidth="0" w:num="2">
            <w:col w:w="740" w:space="320"/>
            <w:col w:w="9520"/>
          </w:cols>
          <w:pgMar w:left="320" w:top="123" w:right="9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75" w:lineRule="exact"/>
        <w:rPr>
          <w:sz w:val="20"/>
          <w:szCs w:val="20"/>
          <w:color w:val="auto"/>
        </w:rPr>
      </w:pPr>
    </w:p>
    <w:p>
      <w:pPr>
        <w:sectPr>
          <w:pgSz w:w="11900" w:h="16838" w:orient="portrait"/>
          <w:cols w:equalWidth="0" w:num="2">
            <w:col w:w="740" w:space="320"/>
            <w:col w:w="9520"/>
          </w:cols>
          <w:pgMar w:left="320" w:top="123" w:right="9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75" w:lineRule="exact"/>
        <w:rPr>
          <w:sz w:val="20"/>
          <w:szCs w:val="20"/>
          <w:color w:val="auto"/>
        </w:rPr>
      </w:pPr>
    </w:p>
    <w:p>
      <w:pPr>
        <w:sectPr>
          <w:pgSz w:w="11900" w:h="16838" w:orient="portrait"/>
          <w:cols w:equalWidth="0" w:num="2">
            <w:col w:w="760" w:space="300"/>
            <w:col w:w="9520"/>
          </w:cols>
          <w:pgMar w:left="320" w:top="123" w:right="9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p>
      <w:pPr>
        <w:spacing w:after="0" w:line="75" w:lineRule="exact"/>
        <w:rPr>
          <w:sz w:val="20"/>
          <w:szCs w:val="20"/>
          <w:color w:val="auto"/>
        </w:rPr>
      </w:pPr>
    </w:p>
    <w:p>
      <w:pPr>
        <w:sectPr>
          <w:pgSz w:w="11900" w:h="16838" w:orient="portrait"/>
          <w:cols w:equalWidth="0" w:num="2">
            <w:col w:w="760" w:space="300"/>
            <w:col w:w="9520"/>
          </w:cols>
          <w:pgMar w:left="320" w:top="123" w:right="9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28" w:lineRule="exact"/>
        <w:rPr>
          <w:sz w:val="20"/>
          <w:szCs w:val="20"/>
          <w:color w:val="auto"/>
        </w:rPr>
      </w:pPr>
    </w:p>
    <w:p>
      <w:pPr>
        <w:sectPr>
          <w:pgSz w:w="11900" w:h="16838" w:orient="portrait"/>
          <w:cols w:equalWidth="0" w:num="2">
            <w:col w:w="720" w:space="340"/>
            <w:col w:w="9520"/>
          </w:cols>
          <w:pgMar w:left="320" w:top="123" w:right="999" w:bottom="1440" w:gutter="0" w:footer="0" w:header="0"/>
          <w:type w:val="continuous"/>
        </w:sectPr>
      </w:pPr>
    </w:p>
    <w:p>
      <w:pPr>
        <w:ind w:right="3820" w:firstLine="20"/>
        <w:spacing w:after="0" w:line="369" w:lineRule="auto"/>
        <w:tabs>
          <w:tab w:leader="none" w:pos="106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Annual Report on Form 10-K, formatted in Inline XBRL Notes to exhibits: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Filed herewith.</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2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Lifetime Brands, Inc.</w:t>
      </w:r>
    </w:p>
    <w:p>
      <w:pPr>
        <w:spacing w:after="0" w:line="28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17145</wp:posOffset>
            </wp:positionV>
            <wp:extent cx="27095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3">
                      <a:extLst>
                        <a:ext uri="{28A0092B-C50C-407E-A947-70E740481C1C}"/>
                      </a:extLst>
                    </a:blip>
                    <a:srcRect/>
                    <a:stretch>
                      <a:fillRect/>
                    </a:stretch>
                  </pic:blipFill>
                  <pic:spPr bwMode="auto">
                    <a:xfrm>
                      <a:off x="0" y="0"/>
                      <a:ext cx="2709545" cy="8255"/>
                    </a:xfrm>
                    <a:prstGeom prst="rect">
                      <a:avLst/>
                    </a:prstGeom>
                    <a:noFill/>
                  </pic:spPr>
                </pic:pic>
              </a:graphicData>
            </a:graphic>
          </wp:anchor>
        </w:drawing>
      </w:r>
    </w:p>
    <w:p>
      <w:pPr>
        <w:spacing w:after="0" w:line="1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Robert B. Kay</w:t>
      </w:r>
    </w:p>
    <w:p>
      <w:pPr>
        <w:spacing w:after="0" w:line="2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Date: March 12, 2024</w:t>
      </w:r>
    </w:p>
    <w:p>
      <w:pPr>
        <w:spacing w:after="0" w:line="30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w:t>
            </w:r>
          </w:p>
        </w:tc>
        <w:tc>
          <w:tcPr>
            <w:tcW w:w="474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Title</w:t>
            </w: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Date</w:t>
            </w:r>
          </w:p>
        </w:tc>
      </w:tr>
      <w:tr>
        <w:trPr>
          <w:trHeight w:val="29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B. Kay</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B. Kay</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Laurence Winoker</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Vice President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160"/>
        </w:trPr>
        <w:tc>
          <w:tcPr>
            <w:tcW w:w="38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Laurence Winoker</w:t>
            </w:r>
          </w:p>
        </w:tc>
        <w:tc>
          <w:tcPr>
            <w:tcW w:w="4740" w:type="dxa"/>
            <w:vAlign w:val="bottom"/>
          </w:tcPr>
          <w:p>
            <w:pPr>
              <w:ind w:left="120"/>
              <w:spacing w:after="0" w:line="161" w:lineRule="exact"/>
              <w:rPr>
                <w:sz w:val="20"/>
                <w:szCs w:val="20"/>
                <w:color w:val="auto"/>
              </w:rPr>
            </w:pPr>
            <w:r>
              <w:rPr>
                <w:rFonts w:ascii="Times New Roman" w:cs="Times New Roman" w:eastAsia="Times New Roman" w:hAnsi="Times New Roman"/>
                <w:sz w:val="17"/>
                <w:szCs w:val="17"/>
                <w:color w:val="auto"/>
              </w:rPr>
              <w:t>Treasurer and Chief Financial Officer</w:t>
            </w:r>
          </w:p>
        </w:tc>
        <w:tc>
          <w:tcPr>
            <w:tcW w:w="2640" w:type="dxa"/>
            <w:vAlign w:val="bottom"/>
          </w:tcPr>
          <w:p>
            <w:pPr>
              <w:spacing w:after="0"/>
              <w:rPr>
                <w:sz w:val="13"/>
                <w:szCs w:val="13"/>
                <w:color w:val="auto"/>
              </w:rPr>
            </w:pPr>
          </w:p>
        </w:tc>
      </w:tr>
      <w:tr>
        <w:trPr>
          <w:trHeight w:val="223"/>
        </w:trPr>
        <w:tc>
          <w:tcPr>
            <w:tcW w:w="386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640" w:type="dxa"/>
            <w:vAlign w:val="bottom"/>
          </w:tcPr>
          <w:p>
            <w:pPr>
              <w:spacing w:after="0"/>
              <w:rPr>
                <w:sz w:val="19"/>
                <w:szCs w:val="19"/>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Siegel</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Siegel</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Rachael Jarosh</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Rachael Jarosh</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Cherrie Nanninga</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Cherrie Nanninga</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Craig Phillips</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Craig Phillips</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Veronique Gabai-Pinsky</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Veronique Gabai-Pinsky</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Bruce Pollack</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Bruce Pollack</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J. Regan</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Regan</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6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Schnabel</w:t>
            </w: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12, 2024</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Schnabel</w:t>
            </w:r>
          </w:p>
        </w:tc>
        <w:tc>
          <w:tcPr>
            <w:tcW w:w="4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925"/>
        </w:trPr>
        <w:tc>
          <w:tcPr>
            <w:tcW w:w="3860" w:type="dxa"/>
            <w:vAlign w:val="bottom"/>
          </w:tcPr>
          <w:p>
            <w:pPr>
              <w:spacing w:after="0"/>
              <w:rPr>
                <w:sz w:val="24"/>
                <w:szCs w:val="24"/>
                <w:color w:val="auto"/>
              </w:rPr>
            </w:pPr>
          </w:p>
        </w:tc>
        <w:tc>
          <w:tcPr>
            <w:tcW w:w="474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53</w:t>
            </w:r>
          </w:p>
        </w:tc>
        <w:tc>
          <w:tcPr>
            <w:tcW w:w="2640" w:type="dxa"/>
            <w:vAlign w:val="bottom"/>
          </w:tcPr>
          <w:p>
            <w:pPr>
              <w:spacing w:after="0"/>
              <w:rPr>
                <w:sz w:val="24"/>
                <w:szCs w:val="24"/>
                <w:color w:val="auto"/>
              </w:rPr>
            </w:pPr>
          </w:p>
        </w:tc>
      </w:tr>
      <w:tr>
        <w:trPr>
          <w:trHeight w:val="108"/>
        </w:trPr>
        <w:tc>
          <w:tcPr>
            <w:tcW w:w="386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40" w:type="dxa"/>
            <w:vAlign w:val="bottom"/>
          </w:tcPr>
          <w:p>
            <w:pPr>
              <w:spacing w:after="0"/>
              <w:rPr>
                <w:sz w:val="17"/>
                <w:szCs w:val="17"/>
                <w:color w:val="auto"/>
              </w:rPr>
            </w:pPr>
          </w:p>
        </w:tc>
      </w:tr>
      <w:tr>
        <w:trPr>
          <w:trHeight w:val="947"/>
        </w:trPr>
        <w:tc>
          <w:tcPr>
            <w:tcW w:w="1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15</w:t>
            </w:r>
          </w:p>
        </w:tc>
        <w:tc>
          <w:tcPr>
            <w:tcW w:w="948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40" w:type="dxa"/>
            <w:vAlign w:val="bottom"/>
            <w:gridSpan w:val="5"/>
          </w:tcPr>
          <w:p>
            <w:pPr>
              <w:jc w:val="center"/>
              <w:ind w:right="3900"/>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5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80" w:type="dxa"/>
            <w:vAlign w:val="bottom"/>
            <w:gridSpan w:val="9"/>
          </w:tcPr>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LIST OF FINANCIAL STATEMENTS AND FINANCIAL STATEMENT SCHEDULE</w:t>
            </w:r>
          </w:p>
        </w:tc>
        <w:tc>
          <w:tcPr>
            <w:tcW w:w="540" w:type="dxa"/>
            <w:vAlign w:val="bottom"/>
          </w:tcPr>
          <w:p>
            <w:pPr>
              <w:spacing w:after="0"/>
              <w:rPr>
                <w:sz w:val="24"/>
                <w:szCs w:val="24"/>
                <w:color w:val="auto"/>
              </w:rPr>
            </w:pPr>
          </w:p>
        </w:tc>
      </w:tr>
      <w:tr>
        <w:trPr>
          <w:trHeight w:val="289"/>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 xml:space="preserve">The following consolidated financial statements of Lifetime Brands, Inc. are filed as part of this Annual Report under Item 8 – </w:t>
            </w:r>
            <w:r>
              <w:rPr>
                <w:rFonts w:ascii="Times New Roman" w:cs="Times New Roman" w:eastAsia="Times New Roman" w:hAnsi="Times New Roman"/>
                <w:sz w:val="17"/>
                <w:szCs w:val="17"/>
                <w:i w:val="1"/>
                <w:iCs w:val="1"/>
                <w:color w:val="auto"/>
              </w:rPr>
              <w:t>Financial Statements and</w:t>
            </w:r>
          </w:p>
        </w:tc>
        <w:tc>
          <w:tcPr>
            <w:tcW w:w="540" w:type="dxa"/>
            <w:vAlign w:val="bottom"/>
          </w:tcPr>
          <w:p>
            <w:pPr>
              <w:spacing w:after="0"/>
              <w:rPr>
                <w:sz w:val="24"/>
                <w:szCs w:val="24"/>
                <w:color w:val="auto"/>
              </w:rPr>
            </w:pPr>
          </w:p>
        </w:tc>
      </w:tr>
      <w:tr>
        <w:trPr>
          <w:trHeight w:val="227"/>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i w:val="1"/>
                <w:iCs w:val="1"/>
                <w:color w:val="auto"/>
              </w:rPr>
              <w:t>Supplementary Data.</w:t>
            </w:r>
          </w:p>
        </w:tc>
        <w:tc>
          <w:tcPr>
            <w:tcW w:w="540" w:type="dxa"/>
            <w:vAlign w:val="bottom"/>
          </w:tcPr>
          <w:p>
            <w:pPr>
              <w:spacing w:after="0"/>
              <w:rPr>
                <w:sz w:val="19"/>
                <w:szCs w:val="19"/>
                <w:color w:val="auto"/>
              </w:rPr>
            </w:pPr>
          </w:p>
        </w:tc>
      </w:tr>
      <w:tr>
        <w:trPr>
          <w:trHeight w:val="464"/>
        </w:trPr>
        <w:tc>
          <w:tcPr>
            <w:tcW w:w="20" w:type="dxa"/>
            <w:vAlign w:val="bottom"/>
          </w:tcPr>
          <w:p>
            <w:pPr>
              <w:spacing w:after="0"/>
              <w:rPr>
                <w:sz w:val="24"/>
                <w:szCs w:val="24"/>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42)</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F-2</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2023 and 2022</w:t>
            </w:r>
          </w:p>
        </w:tc>
        <w:tc>
          <w:tcPr>
            <w:tcW w:w="6240" w:type="dxa"/>
            <w:vAlign w:val="bottom"/>
            <w:gridSpan w:val="5"/>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F-5</w:t>
            </w:r>
          </w:p>
        </w:tc>
      </w:tr>
      <w:tr>
        <w:trPr>
          <w:trHeight w:val="199"/>
        </w:trPr>
        <w:tc>
          <w:tcPr>
            <w:tcW w:w="20" w:type="dxa"/>
            <w:vAlign w:val="bottom"/>
          </w:tcPr>
          <w:p>
            <w:pPr>
              <w:spacing w:after="0"/>
              <w:rPr>
                <w:sz w:val="17"/>
                <w:szCs w:val="17"/>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2023, 2022, and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F-6</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Income for the Years ended December 31, 2023, 2022, and 2021</w:t>
            </w:r>
          </w:p>
        </w:tc>
        <w:tc>
          <w:tcPr>
            <w:tcW w:w="27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F-7</w:t>
            </w:r>
          </w:p>
        </w:tc>
      </w:tr>
      <w:tr>
        <w:trPr>
          <w:trHeight w:val="199"/>
        </w:trPr>
        <w:tc>
          <w:tcPr>
            <w:tcW w:w="20" w:type="dxa"/>
            <w:vAlign w:val="bottom"/>
          </w:tcPr>
          <w:p>
            <w:pPr>
              <w:spacing w:after="0"/>
              <w:rPr>
                <w:sz w:val="17"/>
                <w:szCs w:val="17"/>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2023, 2022, and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F-8</w:t>
            </w:r>
          </w:p>
        </w:tc>
      </w:tr>
      <w:tr>
        <w:trPr>
          <w:trHeight w:val="199"/>
        </w:trPr>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2023, 2022, and 2021</w:t>
            </w:r>
          </w:p>
        </w:tc>
        <w:tc>
          <w:tcPr>
            <w:tcW w:w="640" w:type="dxa"/>
            <w:vAlign w:val="bottom"/>
            <w:tcBorders>
              <w:top w:val="single" w:sz="8" w:color="0000FF"/>
            </w:tcBorders>
          </w:tcPr>
          <w:p>
            <w:pPr>
              <w:spacing w:after="0"/>
              <w:rPr>
                <w:sz w:val="17"/>
                <w:szCs w:val="17"/>
                <w:color w:val="auto"/>
              </w:rPr>
            </w:pPr>
          </w:p>
        </w:tc>
        <w:tc>
          <w:tcPr>
            <w:tcW w:w="3380" w:type="dxa"/>
            <w:vAlign w:val="bottom"/>
            <w:gridSpan w:val="2"/>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F-9</w:t>
            </w:r>
          </w:p>
        </w:tc>
      </w:tr>
      <w:tr>
        <w:trPr>
          <w:trHeight w:val="199"/>
        </w:trPr>
        <w:tc>
          <w:tcPr>
            <w:tcW w:w="20" w:type="dxa"/>
            <w:vAlign w:val="bottom"/>
          </w:tcPr>
          <w:p>
            <w:pPr>
              <w:spacing w:after="0"/>
              <w:rPr>
                <w:sz w:val="17"/>
                <w:szCs w:val="17"/>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F-10</w:t>
            </w:r>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22"/>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The following consolidated financial statement schedule of Lifetime Brands, Inc. required pursuant to Item 15(a) is submitted herewith:</w:t>
            </w:r>
          </w:p>
        </w:tc>
        <w:tc>
          <w:tcPr>
            <w:tcW w:w="54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Schedule II – Valuation and Qualifying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S-1</w:t>
            </w:r>
          </w:p>
        </w:tc>
      </w:tr>
      <w:tr>
        <w:trPr>
          <w:trHeight w:val="20"/>
        </w:trPr>
        <w:tc>
          <w:tcPr>
            <w:tcW w:w="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09"/>
        </w:trPr>
        <w:tc>
          <w:tcPr>
            <w:tcW w:w="107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All other financial schedules are not required under the related instructions or are inapplicable, and therefore have been omitted.</w:t>
            </w:r>
          </w:p>
        </w:tc>
        <w:tc>
          <w:tcPr>
            <w:tcW w:w="540" w:type="dxa"/>
            <w:vAlign w:val="bottom"/>
          </w:tcPr>
          <w:p>
            <w:pPr>
              <w:spacing w:after="0"/>
              <w:rPr>
                <w:sz w:val="24"/>
                <w:szCs w:val="24"/>
                <w:color w:val="auto"/>
              </w:rPr>
            </w:pPr>
          </w:p>
        </w:tc>
      </w:tr>
      <w:tr>
        <w:trPr>
          <w:trHeight w:val="105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40" w:type="dxa"/>
            <w:vAlign w:val="bottom"/>
            <w:gridSpan w:val="5"/>
          </w:tcPr>
          <w:p>
            <w:pPr>
              <w:jc w:val="center"/>
              <w:ind w:right="392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w:t>
            </w:r>
          </w:p>
        </w:tc>
        <w:tc>
          <w:tcPr>
            <w:tcW w:w="5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Lifetime Brands,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Lifetime Brands, Inc. (the Company) as of December 31, 2023 and 2022, the related consolidated statements of operations, comprehensive (loss) income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stockholders' equity and cash flows for each of the three years in the period ended December 31, 2023, and the related notes and financial statement schedule listed in the Index at Item 15(a) (collectively referred to as the “consolidated financial statements”). In our opinion, based on our audits and the report of other auditors,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did not audit the financial statements of Grupo Vasconia, S.A.B. and Subsidiaries, a corporation in which the Company has a 24.7% interest. In the consolidated financial statements, the Company’s investment in Grupo Vasconia, S.A.B. and Subsidiaries is stated at $1.8 million and $12.5 million as of December 31, 2023 and 2022, respectively, and the Company’s equity in (losses) earnings of Grupo Vasconia, S.A.B. and Subsidiaries is stated at $(5.8) million in 2023, $(3.3) million in 2022 and $1.8 million in 2021. Those statements were audited by other auditors whose report has been furnished to us, and our opinion, insofar as it relates to the amounts included for Grupo Vasconia, S.A.B. and Subsidiaries, is based solely on the report of the other auditors.</w:t>
      </w:r>
    </w:p>
    <w:p>
      <w:pPr>
        <w:spacing w:after="0" w:line="17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12, 2024 expressed an unqualified opinion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sz w:val="1"/>
          <w:szCs w:val="1"/>
          <w:color w:val="auto"/>
        </w:rPr>
        <w:drawing>
          <wp:inline distT="0" distB="0" distL="0" distR="0">
            <wp:extent cx="24765" cy="901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8">
                      <a:extLst>
                        <a:ext uri="{28A0092B-C50C-407E-A947-70E740481C1C}"/>
                      </a:extLst>
                    </a:blip>
                    <a:srcRect/>
                    <a:stretch>
                      <a:fillRect/>
                    </a:stretch>
                  </pic:blipFill>
                  <pic:spPr bwMode="auto">
                    <a:xfrm>
                      <a:off x="0" y="0"/>
                      <a:ext cx="24765" cy="90170"/>
                    </a:xfrm>
                    <a:prstGeom prst="rect">
                      <a:avLst/>
                    </a:prstGeom>
                    <a:noFill/>
                    <a:ln>
                      <a:noFill/>
                    </a:ln>
                  </pic:spPr>
                </pic:pic>
              </a:graphicData>
            </a:graphic>
          </wp:inline>
        </w:drawing>
      </w:r>
      <w:r>
        <w:rPr>
          <w:rFonts w:ascii="Times New Roman" w:cs="Times New Roman" w:eastAsia="Times New Roman" w:hAnsi="Times New Roman"/>
          <w:sz w:val="17"/>
          <w:szCs w:val="17"/>
          <w:color w:val="auto"/>
        </w:rPr>
        <w:t>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Estimation of Variable Consideration</w:t>
      </w:r>
    </w:p>
    <w:p>
      <w:pPr>
        <w:spacing w:after="0" w:line="79" w:lineRule="exact"/>
        <w:rPr>
          <w:sz w:val="20"/>
          <w:szCs w:val="20"/>
          <w:color w:val="auto"/>
        </w:rPr>
      </w:pPr>
    </w:p>
    <w:p>
      <w:pPr>
        <w:jc w:val="right"/>
        <w:ind w:left="20"/>
        <w:spacing w:after="0"/>
        <w:rPr>
          <w:sz w:val="20"/>
          <w:szCs w:val="20"/>
          <w:color w:val="auto"/>
        </w:rPr>
      </w:pPr>
      <w:r>
        <w:rPr>
          <w:rFonts w:ascii="Times New Roman" w:cs="Times New Roman" w:eastAsia="Times New Roman" w:hAnsi="Times New Roman"/>
          <w:sz w:val="17"/>
          <w:szCs w:val="17"/>
          <w:i w:val="1"/>
          <w:iCs w:val="1"/>
          <w:color w:val="auto"/>
        </w:rPr>
        <w:t xml:space="preserve">Description of the Matter      </w:t>
      </w:r>
      <w:r>
        <w:rPr>
          <w:rFonts w:ascii="Times New Roman" w:cs="Times New Roman" w:eastAsia="Times New Roman" w:hAnsi="Times New Roman"/>
          <w:sz w:val="17"/>
          <w:szCs w:val="17"/>
          <w:color w:val="auto"/>
        </w:rPr>
        <w:t>For the year ended December 31, 2023, the Company reported net sales of $686.7 million. As described in Note 2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the Company offers various sales incentives and promotional programs to its customers in the</w:t>
      </w:r>
    </w:p>
    <w:p>
      <w:pPr>
        <w:spacing w:after="0" w:line="1" w:lineRule="exact"/>
        <w:rPr>
          <w:sz w:val="20"/>
          <w:szCs w:val="20"/>
          <w:color w:val="auto"/>
        </w:rPr>
      </w:pPr>
    </w:p>
    <w:p>
      <w:pPr>
        <w:jc w:val="both"/>
        <w:ind w:left="2260"/>
        <w:spacing w:after="0" w:line="230" w:lineRule="auto"/>
        <w:rPr>
          <w:sz w:val="20"/>
          <w:szCs w:val="20"/>
          <w:color w:val="auto"/>
        </w:rPr>
      </w:pPr>
      <w:r>
        <w:rPr>
          <w:rFonts w:ascii="Times New Roman" w:cs="Times New Roman" w:eastAsia="Times New Roman" w:hAnsi="Times New Roman"/>
          <w:sz w:val="17"/>
          <w:szCs w:val="17"/>
          <w:color w:val="auto"/>
        </w:rPr>
        <w:t>normal course of business.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Auditing the Company’s measurement of the variable consideration associated with the non-contractual sales incentives and promotions is challenging because the method of calculation involves subjective management assumptions about estimates of the expected discounts. For example, in addition to historical experience, the Company considers specific known events and industry trends to estimate the expected discounts. Changes in these assumptions can have a material effect on the amount of net sales recognized.</w:t>
      </w:r>
    </w:p>
    <w:p>
      <w:pPr>
        <w:spacing w:after="0" w:line="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controls over the estimation of variable consideration. Among others, we tested management’s review controls over the determination of significant assumptions used in estimating the variable consideration. We also tested controls over management’s review of the completeness and accuracy of the underlying data used in the analysis.</w:t>
      </w:r>
    </w:p>
    <w:p>
      <w:pPr>
        <w:spacing w:after="0" w:line="7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To test the Company’s measurement of variable consideration related to the non-contractual sales incentives and promotions, our audit procedures included, among others, evaluating the Company’s methodologies, evaluating the significant assumptions described above and testing the completeness and accuracy of the underlying data used in management's analyses. We inspected a selection of communications between the sales and finance departments that were used to support the estimation of the variable consideration. For a sample of transactions, we performed detailed transactional testing of customer deductions to validate the timing and amount of the sales allowances recorded. We performed corroborative inquiries of sales division executives to evaluate the ongoing sales promotions and spending needs at year end. Additionally, we performed retrospective analyses over management’s historical estimates in order to assess the reasonableness of how the Company measures certain variable consideration discounts.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2100" w:space="160"/>
            <w:col w:w="8960"/>
          </w:cols>
          <w:pgMar w:left="320" w:top="123"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Valuation of Goodwill and Trade Names</w:t>
      </w:r>
    </w:p>
    <w:p>
      <w:pPr>
        <w:spacing w:after="0" w:line="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At December 31, 2023, the Company’s intangible assets include goodwill in the U.S. reporting unit with a carrying value of $33.2 million and an indefinite-lived trade name in the U.S. reportable segment with a carrying value of $42.0 million. As discussed in Note 7 of the consolidated financial statements, the Company tests goodwill and its indefinite-lived trade name for impairment at least annually, or more frequently when events or changes in circumstances indicate that the carrying value of these assets may not be recoverable. An impairment loss is recognized when the fair value of goodwill or the indefinite-lived trade name is less than its carrying amount.</w:t>
      </w:r>
    </w:p>
    <w:p>
      <w:pPr>
        <w:spacing w:after="0" w:line="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Auditing management’s annual goodwill and indefinite-lived trade name impairment tests was complex as valuation of the reporting unit and indefinite-lived trade name involves considerable management judgment and estimation. For goodwill, the Company estimated the fair value of the reporting unit using a combination of the discounted cash flow method, a form of the income approach, and the guideline public company method, a form of the market approach. The discounted cash flow method is largely dependent upon estimates made by management with respect to significant assumptions, including projected net sales, projected earnings before interest, tax, depreciation and amortization (“EBITDA”), and the cost of capital. For the indefinite-lived trade name, significant assumptions used in management’s fair value analysis included future net sales for the related brand, the royalty rate, and the cost of capital. These assumptions are forward-looking. Changes in market, industry and company-specific conditions could materially impact the determination of the fair value of the asset and the measurement of the impairment.</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valuation of goodwill and indefinite-lived trade name. This included testing management’s review controls relating to the Company’s valuation models and significant assumptions, described above.</w:t>
      </w:r>
    </w:p>
    <w:p>
      <w:pPr>
        <w:spacing w:after="0" w:line="6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As part of our audit, we assessed the methodologies and significant assumptions used for the purposes of performing the impairment tests, among other procedures. We evaluated our historical experience with management’s effort in producing accurate projections of revenue growth and profitability by comparing its historical projections to the Company’s actual performance. We tested the significant assumptions discussed above, as well as the completeness and accuracy of the underlying data used in the valuations. We assessed the appropriateness of the Company’s projections by comparing them to general and sector-specific market expectations. We engaged our valuation specialists to assess the reasonableness of the cost of capital, the valuation models and significant assumptions used in the valuation of the U.S. reporting unit as well as the indefinite-lived trade name. In order to reflect the uncertainty inherent in the projections, we inspected the sensitivity analyses performed by the Company and performed our own sensitivity analyses by increasing or decreasing the significant assumptions and evaluated the potential outcome for the U.S. reporting unit and the indefinite-lived trade name in the U.S. reportable segment. In addition, we tested the reconciliation of the fair value of the reporting units developed by management to the stock market capitalization of the Company as of the valuation date and evaluated the implied control premium for reasonableness.</w:t>
      </w:r>
    </w:p>
    <w:p>
      <w:pPr>
        <w:spacing w:after="0" w:line="711" w:lineRule="exact"/>
        <w:rPr>
          <w:sz w:val="20"/>
          <w:szCs w:val="20"/>
          <w:color w:val="auto"/>
        </w:rPr>
      </w:pPr>
    </w:p>
    <w:p>
      <w:pPr>
        <w:sectPr>
          <w:pgSz w:w="11900" w:h="16838" w:orient="portrait"/>
          <w:cols w:equalWidth="0" w:num="2">
            <w:col w:w="2100" w:space="160"/>
            <w:col w:w="8960"/>
          </w:cols>
          <w:pgMar w:left="320" w:top="123" w:right="35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1984.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23,598</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less allowances of $15,952 at December 31, 2023 and $14,606 at December 31, 2022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141,195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222,209</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13,254</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376,355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400,256</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74,869</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213,887</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6,338</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667,142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maturity of term loan</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38,052</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77,602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14,028</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129,906</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 LONG-TERM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76,420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242,857</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6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Preferred stock, $1.00 par value, shares authorized: 100 shares of Series A and 2,000,000 shares of Series B; none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issued and outstanding</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8640" w:type="dxa"/>
            <w:vAlign w:val="bottom"/>
          </w:tcPr>
          <w:p>
            <w:pPr>
              <w:ind w:left="320"/>
              <w:spacing w:after="0" w:line="167" w:lineRule="exact"/>
              <w:rPr>
                <w:sz w:val="20"/>
                <w:szCs w:val="20"/>
                <w:color w:val="auto"/>
              </w:rPr>
            </w:pPr>
            <w:r>
              <w:rPr>
                <w:rFonts w:ascii="Times New Roman" w:cs="Times New Roman" w:eastAsia="Times New Roman" w:hAnsi="Times New Roman"/>
                <w:sz w:val="17"/>
                <w:szCs w:val="17"/>
                <w:color w:val="auto"/>
              </w:rPr>
              <w:t>Common stock, $0.01 par value, shares authorized: 50,000,000 at December 31, 2023 and 2022; shares issued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6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outstanding: 21,813,266 at December 31, 2023 and 21,779,799 at December 31, 2022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Paid-in capital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274,579</w:t>
            </w:r>
          </w:p>
        </w:tc>
        <w:tc>
          <w:tcPr>
            <w:tcW w:w="0" w:type="dxa"/>
            <w:vAlign w:val="bottom"/>
          </w:tcPr>
          <w:p>
            <w:pPr>
              <w:spacing w:after="0"/>
              <w:rPr>
                <w:sz w:val="1"/>
                <w:szCs w:val="1"/>
                <w:color w:val="auto"/>
              </w:rPr>
            </w:pPr>
          </w:p>
        </w:tc>
      </w:tr>
      <w:tr>
        <w:trPr>
          <w:trHeight w:val="219"/>
        </w:trPr>
        <w:tc>
          <w:tcPr>
            <w:tcW w:w="8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 retained earnings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0" w:type="dxa"/>
            <w:vAlign w:val="bottom"/>
          </w:tcPr>
          <w:p>
            <w:pPr>
              <w:spacing w:after="0"/>
              <w:rPr>
                <w:sz w:val="1"/>
                <w:szCs w:val="1"/>
                <w:color w:val="auto"/>
              </w:rPr>
            </w:pPr>
          </w:p>
        </w:tc>
      </w:tr>
      <w:tr>
        <w:trPr>
          <w:trHeight w:val="212"/>
        </w:trPr>
        <w:tc>
          <w:tcPr>
            <w:tcW w:w="86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230,879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240,088</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667,142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 except per share data)</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862,924</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467,346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559,605</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303,319</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80,772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156,445</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impairments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facility remediation expense</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50,842</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(15,524)</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to market (loss) gain on interest rate derivatives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extinguishments of debt,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 and equity in (losses) earnings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36,380</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(16,541)</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(losses) earnings,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INCOME PER COMMON SHARE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INCOME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0.94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5"/>
                <w:szCs w:val="15"/>
                <w:color w:val="auto"/>
              </w:rPr>
            </w:pPr>
          </w:p>
        </w:tc>
      </w:tr>
      <w:tr>
        <w:trPr>
          <w:trHeight w:val="22"/>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w:t>
            </w:r>
          </w:p>
        </w:tc>
      </w:tr>
      <w:tr>
        <w:trPr>
          <w:trHeight w:val="219"/>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change in cash flow hedges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retirement benefit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12"/>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5,623</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18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4320" w:type="dxa"/>
            <w:vAlign w:val="bottom"/>
          </w:tcPr>
          <w:p>
            <w:pPr>
              <w:spacing w:after="0"/>
              <w:rPr>
                <w:sz w:val="24"/>
                <w:szCs w:val="24"/>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Retained earnings</w:t>
            </w:r>
          </w:p>
        </w:tc>
        <w:tc>
          <w:tcPr>
            <w:tcW w:w="12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 deficit)</w:t>
            </w:r>
          </w:p>
        </w:tc>
        <w:tc>
          <w:tcPr>
            <w:tcW w:w="12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268,666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230,136</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3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w:t>
            </w: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8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22,018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271,556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17,419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(33,549)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255,646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0" w:type="dxa"/>
            <w:vAlign w:val="bottom"/>
          </w:tcPr>
          <w:p>
            <w:pPr>
              <w:spacing w:after="0"/>
              <w:rPr>
                <w:sz w:val="1"/>
                <w:szCs w:val="1"/>
                <w:color w:val="auto"/>
              </w:rPr>
            </w:pPr>
          </w:p>
        </w:tc>
      </w:tr>
      <w:tr>
        <w:trPr>
          <w:trHeight w:val="24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168"/>
        </w:trPr>
        <w:tc>
          <w:tcPr>
            <w:tcW w:w="43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repurchase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8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21,780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274,579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(35,854)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240,088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shares issued to employees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issuance of restricted shares granted to employees and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effectively repurchased for required employee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withholding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repurchase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(2,539)</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Dividends </w:t>
            </w:r>
            <w:r>
              <w:rPr>
                <w:rFonts w:ascii="Times New Roman" w:cs="Times New Roman" w:eastAsia="Times New Roman" w:hAnsi="Times New Roman"/>
                <w:sz w:val="22"/>
                <w:szCs w:val="22"/>
                <w:color w:val="auto"/>
                <w:vertAlign w:val="superscript"/>
              </w:rPr>
              <w:t>(1)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(3,765)</w:t>
            </w:r>
          </w:p>
        </w:tc>
        <w:tc>
          <w:tcPr>
            <w:tcW w:w="0" w:type="dxa"/>
            <w:vAlign w:val="bottom"/>
          </w:tcPr>
          <w:p>
            <w:pPr>
              <w:spacing w:after="0"/>
              <w:rPr>
                <w:sz w:val="1"/>
                <w:szCs w:val="1"/>
                <w:color w:val="auto"/>
              </w:rPr>
            </w:pPr>
          </w:p>
        </w:tc>
      </w:tr>
      <w:tr>
        <w:trPr>
          <w:trHeight w:val="23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230,879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57"/>
        <w:spacing w:after="0"/>
        <w:tabs>
          <w:tab w:leader="none" w:pos="46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declared per share of common stock, were $0.17, $0.17 and $0.17 in 2021, 2022 and 2023, respectively.</w:t>
      </w:r>
    </w:p>
    <w:p>
      <w:pPr>
        <w:spacing w:after="0" w:line="1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201"/>
        </w:trPr>
        <w:tc>
          <w:tcPr>
            <w:tcW w:w="7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8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(loss) income</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(8,412)</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(6,166)</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20,801</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22,520</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Intangible asset impairments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14,760</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financing costs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1,739</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Mark to market loss (gain) on interest rate derivatives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Non-cash lease adjustment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Provision (recovery) for doubtful accounts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1,799</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Stock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5,217</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Undistributed losses (earnings) from equity investment, net of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Contingent consideration fair value adjustment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Gain on extinguishments of debt, net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Wallace facility remediation expense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500</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Changes in operating assets and liabilities (excluding the effects of business acquisitions)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(5,531)</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Inventory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(67,501)</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Prepaid expenses, other current assets and other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2,043</w:t>
            </w:r>
          </w:p>
        </w:tc>
      </w:tr>
      <w:tr>
        <w:trPr>
          <w:trHeight w:val="203"/>
        </w:trPr>
        <w:tc>
          <w:tcPr>
            <w:tcW w:w="7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48,079</w:t>
            </w:r>
          </w:p>
        </w:tc>
      </w:tr>
      <w:tr>
        <w:trPr>
          <w:trHeight w:val="209"/>
        </w:trPr>
        <w:tc>
          <w:tcPr>
            <w:tcW w:w="7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taxes payable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(4,270)</w:t>
            </w:r>
          </w:p>
        </w:tc>
      </w:tr>
      <w:tr>
        <w:trPr>
          <w:trHeight w:val="196"/>
        </w:trPr>
        <w:tc>
          <w:tcPr>
            <w:tcW w:w="726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56,431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36,988</w:t>
            </w:r>
          </w:p>
        </w:tc>
      </w:tr>
      <w:tr>
        <w:trPr>
          <w:trHeight w:val="18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(3,986)</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Proceeds from sale of shares of equity method investment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3,061</w:t>
            </w:r>
          </w:p>
        </w:tc>
      </w:tr>
      <w:tr>
        <w:trPr>
          <w:trHeight w:val="203"/>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Acquisition</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(17,956)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w:t>
            </w:r>
          </w:p>
        </w:tc>
      </w:tr>
      <w:tr>
        <w:trPr>
          <w:trHeight w:val="202"/>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(2,801)</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(20,931)</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w:t>
            </w:r>
          </w:p>
        </w:tc>
      </w:tr>
      <w:tr>
        <w:trPr>
          <w:trHeight w:val="185"/>
        </w:trPr>
        <w:tc>
          <w:tcPr>
            <w:tcW w:w="7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7"/>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Proceeds from revolving credit facility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103,385</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Repayments of revolving credit facility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(265,662)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(130,662)</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Proceeds from Term Loan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Repayments of Term Loan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(10,478)</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 of financing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Payments for finance lease obligations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Payments of tax withholding for stock based compensation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(3,189)</w:t>
            </w:r>
          </w:p>
        </w:tc>
      </w:tr>
      <w:tr>
        <w:trPr>
          <w:trHeight w:val="203"/>
        </w:trPr>
        <w:tc>
          <w:tcPr>
            <w:tcW w:w="7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Proceeds from the exercise of stock options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877</w:t>
            </w:r>
          </w:p>
        </w:tc>
      </w:tr>
      <w:tr>
        <w:trPr>
          <w:trHeight w:val="20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Payments for stock repurchase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Cash dividends paid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(3,843)</w:t>
            </w:r>
          </w:p>
        </w:tc>
      </w:tr>
      <w:tr>
        <w:trPr>
          <w:trHeight w:val="202"/>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(61,062)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(44,027)</w:t>
            </w:r>
          </w:p>
        </w:tc>
      </w:tr>
      <w:tr>
        <w:trPr>
          <w:trHeight w:val="19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foreign exchange on cash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161</w:t>
            </w:r>
          </w:p>
        </w:tc>
      </w:tr>
      <w:tr>
        <w:trPr>
          <w:trHeight w:val="20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DECREASE IN CASH AND CASH EQUIVALENTS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(7,981)</w:t>
            </w:r>
          </w:p>
        </w:tc>
      </w:tr>
      <w:tr>
        <w:trPr>
          <w:trHeight w:val="20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35,963</w:t>
            </w:r>
          </w:p>
        </w:tc>
      </w:tr>
      <w:tr>
        <w:trPr>
          <w:trHeight w:val="22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27,982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See Notes to consolidated</w:t>
      </w: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auto"/>
        </w:rPr>
        <w:t>-9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business</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1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for financial information and with the instructions to Form 10-K.</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goodwill, tangible and intangible assets, stock-based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subsidiaries. All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and uncertainties</w:t>
      </w:r>
    </w:p>
    <w:p>
      <w:pPr>
        <w:spacing w:after="0" w:line="11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Company’s current estimates contemplate current and expected future conditions, as applicable, it is reasonably possible that actual conditions could differ from expectations, which could materially affect the Company’s results of operations and financial position.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1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w:t>
      </w:r>
    </w:p>
    <w:p>
      <w:pPr>
        <w:spacing w:after="0" w:line="1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w:t>
      </w:r>
    </w:p>
    <w:p>
      <w:pPr>
        <w:spacing w:after="0" w:line="17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Realized and unrealized gains and losses from non-designated foreign currency hedges are recognized in selling, general and administrative expenses in the consolidated statements of operations.</w:t>
      </w:r>
    </w:p>
    <w:p>
      <w:pPr>
        <w:spacing w:after="0" w:line="15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Foreign currency gains and losses included within selling, general and administrative expenses were a $0.1 million loss in 2023, a $1.5 million loss in 2022, and a $1.3 million loss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65"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 REVENUE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Cost of sales consist primarily of costs associated with the production and procurement of product, inbound freight costs, purchasing costs, royalties and other product procurement related charges.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 expenses</w:t>
      </w:r>
    </w:p>
    <w:p>
      <w:pPr>
        <w:spacing w:after="0" w:line="11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Distribution expenses consist primarily of warehousing expenses and freight-out expenses. Freight-out expenses were $17.0 million, $17.4 million and $19.2 million for the years ended December 31, 2023, 2022 and 2021, respectively. Handling costs of products sold are included in cost of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expenses</w:t>
      </w:r>
    </w:p>
    <w:p>
      <w:pPr>
        <w:spacing w:after="0" w:line="118"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Advertising expenses are expensed as incurred and are included in selling, general and administrative expenses. Advertising expenses were $7.5 million, $6.8 million and $4.4 million for the years ended December 31, 2023, 2022 and 2021,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 of the COVID-19 pandemic. A considerable amount of judgment is required to assess the ultimate realization of these receivables including assessing the initial and on-going creditworthiness of the Company’s customers.</w:t>
      </w:r>
    </w:p>
    <w:p>
      <w:pPr>
        <w:spacing w:after="0" w:line="1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65"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sales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Property and equipment is stated at cost. Equipment under finance leases is recorded at the present value of the total minimum lease payments. Property and equipment, other than leasehold improvements and equipment under finance leases, are depreciated using the straight-line method over the estimated useful lives of the assets. Buildings are depreciated over 30 years, machinery and equipment and computer hardware and software are depreciated over periods ranging from 3 years to 10 years. Leasehold improvements are amortized over the term of the lease or the estimated useful lives of the improvements, whichever is shorter. Equipment under finance</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31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leases are amortized over the shorter of the lease term or the assets’ useful lives. Advances paid towards the acquisition of property and equipment and the cost of property and equipment not ready for use before the end of the period are classified as construction in progress.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considers all highly liquid instruments with a maturity of three months or less when purchased to be cash equivalents.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Concentrations of credit risk with respect to trade accounts receivable are limited due to the large number of entities comprising the Company’s customer base.</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During the years ended December 31, 2023, 2022 and 2021, Wal-Mart Stores, Inc., including Sam’s Club, (“Walmart”), accounted for 21%, 19% and 18% of consolidated net sales, respectively. During the years ended December 31, 2023, 2022 and 2021, sales to Costco Wholesale Corporation (“Costco”) accounted for 11%, 13%, and 12% of consolidated net sales. During the year ended December 31, 2023, 2022 and 2021, Amazon.com Inc., (“Amazon”), accounted for 11%, 11% and 12% of consolidated net sales. Sales to Costco and Amazon are included in the Company’s U.S. and International segments. No other customers accounted for 10% or more of the Company’s sales during these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Financial Accounting Standards Board (“FASB”) Accounting Standards Codification (“ASC”) Topic 820, Fair Value Measurements and Disclosures, provides enhanced guidance for using fair value to measure assets and liabilities and establishes a common definition of fair value, provides a framework for measuring fair value under U.S. GAAP and expands disclosure requirements about fair value measurements. Fair value measurements included in the Company’s consolidated financial statements relate to the Company’s annual goodwill and other intangible asset impairment tests that use Level 3 unobservable inputs as described in NOTE 7 — GOODWILL AND INTANGIBLE ASSETS and derivatives that use Level 2 observable inputs as described in NOTE 9 — DERIVATIVES.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11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is included in accumulated other comprehensive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intangible assets and long-lived assets</w:t>
      </w:r>
    </w:p>
    <w:p>
      <w:pPr>
        <w:spacing w:after="0" w:line="118"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not considered to be</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See NOTE 7 — GOODWILL AND INTANGIBLE ASSETS for further discussion regarding goodwill impairment.</w:t>
      </w:r>
    </w:p>
    <w:p>
      <w:pPr>
        <w:spacing w:after="0" w:line="16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 See NOTE 7 — GOODWILL AND INTANGIBLE ASSETS for further discussion regarding impairment of indefinite lived intangibles.</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7 — GOODWILL AND INTANGIBLE ASSETS for further discussion regarding impairment of long-lived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applies the authoritative guidance for the financial statement recognition, measurement and disclosure of uncertain tax positions recognized in the Company’s financial statements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6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uses the Black-Scholes option valuation model to estimate the fair value of its stock options. The Black-Scholes option valuation model requires the input of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1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Cash-settled performance-based awards represent the right to receive up to 150% of the target number of deferred stock units with payment in cash equivalent to the value of one share of the Company’s common stock. The number of deferred stock units earned will</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be determined based on the attainment of specified performance goals at the end of the performance period, as determined by the Compensation Committee of the Board of Directors. The cash-settled performance-based awards are subject to the terms and conditions of the Company’s Plan. 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settled performance-based awards are liability-classified awards and are recorded within accrued expenses and other long-term liabilities in the Company’s consolidated balance sheet. These awards are remeasured to fair value at the end of each reporting period until settlement. The cash-settled performance-based awards vest at the end of a three year period, as determined by the Compensation Committee.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7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For certain equipment leases, the Company applies a portfolio approach to effectively account for any ROU assets and lease liabilities. Leases with an initial term of 12 months or less are not recorded on the balance sheet.</w:t>
      </w:r>
    </w:p>
    <w:p>
      <w:pPr>
        <w:spacing w:after="0" w:line="15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healthcare</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 expenses</w:t>
      </w:r>
    </w:p>
    <w:p>
      <w:pPr>
        <w:spacing w:after="0" w:line="11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15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the Company incurred $0.8 million of restructuring expense in connection with the termination of the Company’s Executive Chairman as described below.</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2022, the Company’s international segment incurred $0.4 million of restructuring expenses related to severance associated with the reorganization of the International segment’s workforce. The reorganization was the result of the Company’s efforts to realign the management and operating structure of the European business in response to changing market conditions.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2022, the Company’s U.S. segment incurred $0.4 million of restructuring expense in connection with the reorganization of the U.S. segment’s sales management structure. The payment was made in 2023.</w:t>
      </w:r>
    </w:p>
    <w:p>
      <w:pPr>
        <w:spacing w:after="0" w:line="1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2022, the Company incurred $0.6 million of unallocated expense related to the termination payment with its Executive Chairman, Jeffrey Siegel. On November 1, 2022, the Company entered into a transition agreement with Jeffrey Siegel, which terminated his employment with the Company, effective March 31, 2023. The transition agreement amended Mr. Siegel’s employment agreement which was to expire on December 31, 2022. The employment agreement provided for a one-time payment, which was paid on April 7,</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2023. The one-time payment of $1.4 million, was recognized over the remaining employment period with $0.6 million recognized in the fourth quarter of 2022 and the remaining $0.8 million recognized in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1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Adopted accounting pronouncements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Effective January 1, 2023, the Company adopted ASU 2016-13, Measurement of Credit Losses on Financial Instruments. This guidance introduces a new model for recognizing credit losses on financial instruments based on an estimate of current expected credit losses, to include historical experience, current conditions and reasonable and supportable forecasts. The Company adopted this guidance on a modified retrospective basis and the adoption did not have a material impact on the Company’s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which enhances the disclosures required for operating segments in the Company’s annual and interim consolidated financial statements. The new guidance is effective for public business entities for fiscal years beginning after December 15, 2023, and interim periods within fiscal years beginning after December 15, 2024 on a retrospective basis. Early adoption is permitted. Management is currently evaluating the impact of this standard on its consolidated financial statements and related disclosures.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REVENUE</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$2.7 million, $4.6 million and $3.9 million for the years ended December 31, 2023, 2022 and 2021, respectively. Net sales exclude taxes that are collected from customers and remitted to the taxing authorities.</w:t>
      </w:r>
    </w:p>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terms vary by customer, but generally range from 30 to 90 days or at the point of sale for the Company’s retail direct sales.</w:t>
      </w:r>
    </w:p>
    <w:p>
      <w:pPr>
        <w:spacing w:after="0" w:line="21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6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following tables present the Company’s net sales disaggregated by segment, product category and geographic region for the years ended December 31, 2023, 2022 and 2021 (in thousands).</w:t>
      </w: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7"/>
              </w:rPr>
              <w:t>(in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U.S.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6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Kitchenware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386,681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402,869</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487,797</w:t>
            </w:r>
          </w:p>
        </w:tc>
      </w:tr>
      <w:tr>
        <w:trPr>
          <w:trHeight w:val="219"/>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167,181</w:t>
            </w:r>
          </w:p>
        </w:tc>
      </w:tr>
      <w:tr>
        <w:trPr>
          <w:trHeight w:val="219"/>
        </w:trPr>
        <w:tc>
          <w:tcPr>
            <w:tcW w:w="6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Home Solutions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115,655</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U.S. segment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669,179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770,633</w:t>
            </w:r>
          </w:p>
        </w:tc>
      </w:tr>
      <w:tr>
        <w:trPr>
          <w:trHeight w:val="186"/>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International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92,291</w:t>
            </w:r>
          </w:p>
        </w:tc>
      </w:tr>
      <w:tr>
        <w:trPr>
          <w:trHeight w:val="212"/>
        </w:trPr>
        <w:tc>
          <w:tcPr>
            <w:tcW w:w="69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862,924</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9"/>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7"/>
              </w:rPr>
              <w:t>(in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743,319</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54,150</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65,455</w:t>
            </w:r>
          </w:p>
        </w:tc>
      </w:tr>
      <w:tr>
        <w:trPr>
          <w:trHeight w:val="212"/>
        </w:trPr>
        <w:tc>
          <w:tcPr>
            <w:tcW w:w="69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Total net sales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862,924</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—ACQUISITION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S’well</w:t>
      </w:r>
    </w:p>
    <w:p>
      <w:pPr>
        <w:spacing w:after="0" w:line="118"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7"/>
          <w:szCs w:val="17"/>
          <w:color w:val="auto"/>
        </w:rPr>
        <w:t>On March 2, 2022, the Company acquired certain assets of Can't Live Without It, LLC. (dba S’well Bottle and which the Company refers to as “S’well”). The Company paid cash consideration of $18.0 million. The transaction also includes up to $5.0 million in contingent consideration, subject to the acquired brand reaching certain milestones.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purchase price was comprised of the following (in thousands):</w:t>
            </w: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28"/>
        </w:trPr>
        <w:tc>
          <w:tcPr>
            <w:tcW w:w="2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19"/>
        </w:trPr>
        <w:tc>
          <w:tcPr>
            <w:tcW w:w="2360" w:type="dxa"/>
            <w:vAlign w:val="bottom"/>
          </w:tcPr>
          <w:p>
            <w:pPr>
              <w:spacing w:after="0"/>
              <w:rPr>
                <w:sz w:val="19"/>
                <w:szCs w:val="19"/>
                <w:color w:val="auto"/>
              </w:rPr>
            </w:pPr>
          </w:p>
        </w:tc>
        <w:tc>
          <w:tcPr>
            <w:tcW w:w="3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Cash paid</w:t>
            </w:r>
            <w:r>
              <w:rPr>
                <w:rFonts w:ascii="Times New Roman" w:cs="Times New Roman" w:eastAsia="Times New Roman" w:hAnsi="Times New Roman"/>
                <w:sz w:val="22"/>
                <w:szCs w:val="22"/>
                <w:color w:val="auto"/>
                <w:vertAlign w:val="superscript"/>
              </w:rPr>
              <w:t>(1)</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17,956</w:t>
            </w:r>
          </w:p>
        </w:tc>
      </w:tr>
      <w:tr>
        <w:trPr>
          <w:trHeight w:val="219"/>
        </w:trPr>
        <w:tc>
          <w:tcPr>
            <w:tcW w:w="2360" w:type="dxa"/>
            <w:vAlign w:val="bottom"/>
          </w:tcPr>
          <w:p>
            <w:pPr>
              <w:spacing w:after="0"/>
              <w:rPr>
                <w:sz w:val="19"/>
                <w:szCs w:val="19"/>
                <w:color w:val="auto"/>
              </w:rPr>
            </w:pPr>
          </w:p>
        </w:tc>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Value of contingent consideration</w:t>
            </w:r>
          </w:p>
        </w:tc>
        <w:tc>
          <w:tcPr>
            <w:tcW w:w="1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37"/>
        </w:trPr>
        <w:tc>
          <w:tcPr>
            <w:tcW w:w="236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Total purchase price</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18,606</w:t>
            </w:r>
          </w:p>
        </w:tc>
      </w:tr>
      <w:tr>
        <w:trPr>
          <w:trHeight w:val="20"/>
        </w:trPr>
        <w:tc>
          <w:tcPr>
            <w:tcW w:w="23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40" w:hanging="137"/>
        <w:spacing w:after="0"/>
        <w:tabs>
          <w:tab w:leader="none" w:pos="14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final working capital adjustment of $21k pursuant to the terms of the Asset Purchase Agreement.</w:t>
      </w:r>
    </w:p>
    <w:p>
      <w:pPr>
        <w:spacing w:after="0" w:line="19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value of contingent consideration represents the present value of estimated contingent payments of $0.7 million, related to the attainment of certain net sales contribution targets for the year 2024. Acquisition related costs of $0.9 million were recorded within selling, general and administrative expenses in the consolidated statements of operations in 2022.</w:t>
      </w:r>
    </w:p>
    <w:p>
      <w:pPr>
        <w:spacing w:after="0" w:line="16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purchase price was allocated based on the Company’s final estimate of the fair values of the assets acquired and liabilities assumed at the acquisition date, as follows (in thousands):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tcPr>
          <w:p>
            <w:pPr>
              <w:spacing w:after="0"/>
              <w:rPr>
                <w:sz w:val="17"/>
                <w:szCs w:val="17"/>
                <w:color w:val="auto"/>
              </w:rPr>
            </w:pPr>
          </w:p>
        </w:tc>
        <w:tc>
          <w:tcPr>
            <w:tcW w:w="5600" w:type="dxa"/>
            <w:vAlign w:val="bottom"/>
            <w:gridSpan w:val="2"/>
          </w:tcPr>
          <w:p>
            <w:pPr>
              <w:jc w:val="center"/>
              <w:ind w:right="414"/>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1960" w:type="dxa"/>
            <w:vAlign w:val="bottom"/>
          </w:tcPr>
          <w:p>
            <w:pPr>
              <w:spacing w:after="0"/>
              <w:rPr>
                <w:sz w:val="17"/>
                <w:szCs w:val="17"/>
                <w:color w:val="auto"/>
              </w:rPr>
            </w:pPr>
          </w:p>
        </w:tc>
      </w:tr>
      <w:tr>
        <w:trPr>
          <w:trHeight w:val="206"/>
        </w:trPr>
        <w:tc>
          <w:tcPr>
            <w:tcW w:w="3080" w:type="dxa"/>
            <w:vAlign w:val="bottom"/>
          </w:tcPr>
          <w:p>
            <w:pPr>
              <w:spacing w:after="0"/>
              <w:rPr>
                <w:sz w:val="17"/>
                <w:szCs w:val="17"/>
                <w:color w:val="auto"/>
              </w:rPr>
            </w:pPr>
          </w:p>
        </w:tc>
        <w:tc>
          <w:tcPr>
            <w:tcW w:w="5600" w:type="dxa"/>
            <w:vAlign w:val="bottom"/>
            <w:gridSpan w:val="2"/>
          </w:tcPr>
          <w:p>
            <w:pPr>
              <w:jc w:val="center"/>
              <w:ind w:right="41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960" w:type="dxa"/>
            <w:vAlign w:val="bottom"/>
          </w:tcPr>
          <w:p>
            <w:pPr>
              <w:spacing w:after="0"/>
              <w:rPr>
                <w:sz w:val="17"/>
                <w:szCs w:val="17"/>
                <w:color w:val="auto"/>
              </w:rPr>
            </w:pPr>
          </w:p>
        </w:tc>
      </w:tr>
      <w:tr>
        <w:trPr>
          <w:trHeight w:val="227"/>
        </w:trPr>
        <w:tc>
          <w:tcPr>
            <w:tcW w:w="3080" w:type="dxa"/>
            <w:vAlign w:val="bottom"/>
          </w:tcPr>
          <w:p>
            <w:pPr>
              <w:spacing w:after="0"/>
              <w:rPr>
                <w:sz w:val="19"/>
                <w:szCs w:val="19"/>
                <w:color w:val="auto"/>
              </w:rPr>
            </w:pPr>
          </w:p>
        </w:tc>
        <w:tc>
          <w:tcPr>
            <w:tcW w:w="5600" w:type="dxa"/>
            <w:vAlign w:val="bottom"/>
            <w:gridSpan w:val="2"/>
          </w:tcPr>
          <w:p>
            <w:pPr>
              <w:jc w:val="center"/>
              <w:ind w:right="41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960" w:type="dxa"/>
            <w:vAlign w:val="bottom"/>
          </w:tcPr>
          <w:p>
            <w:pPr>
              <w:spacing w:after="0"/>
              <w:rPr>
                <w:sz w:val="19"/>
                <w:szCs w:val="19"/>
                <w:color w:val="auto"/>
              </w:rPr>
            </w:pPr>
          </w:p>
        </w:tc>
      </w:tr>
      <w:tr>
        <w:trPr>
          <w:trHeight w:val="657"/>
        </w:trPr>
        <w:tc>
          <w:tcPr>
            <w:tcW w:w="3080" w:type="dxa"/>
            <w:vAlign w:val="bottom"/>
            <w:tcBorders>
              <w:bottom w:val="single" w:sz="8" w:color="CCEEFF"/>
            </w:tcBorders>
          </w:tcPr>
          <w:p>
            <w:pPr>
              <w:spacing w:after="0"/>
              <w:rPr>
                <w:sz w:val="24"/>
                <w:szCs w:val="24"/>
                <w:color w:val="auto"/>
              </w:rPr>
            </w:pPr>
          </w:p>
        </w:tc>
        <w:tc>
          <w:tcPr>
            <w:tcW w:w="54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Purchase Price Allocation</w:t>
            </w:r>
          </w:p>
        </w:tc>
      </w:tr>
      <w:tr>
        <w:trPr>
          <w:trHeight w:val="21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w:t>
            </w:r>
          </w:p>
        </w:tc>
      </w:tr>
      <w:tr>
        <w:trPr>
          <w:trHeight w:val="219"/>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4,005</w:t>
            </w: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5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5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r>
      <w:tr>
        <w:trPr>
          <w:trHeight w:val="21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5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(3,685)</w:t>
            </w:r>
          </w:p>
        </w:tc>
      </w:tr>
      <w:tr>
        <w:trPr>
          <w:trHeight w:val="21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allocated value</w:t>
            </w: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18,606</w:t>
            </w:r>
          </w:p>
        </w:tc>
      </w:tr>
    </w:tbl>
    <w:p>
      <w:pPr>
        <w:spacing w:after="0" w:line="28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acquisition is being accounted for as a business combination using the acquisition method of accounting in accordance with FASB ASC Topic 805, Business Combinations (“ASC Topic 805”), which established a new basis of accounting for all identifiable assets acquired and liabilities assumed at fair value.</w:t>
      </w:r>
    </w:p>
    <w:p>
      <w:pPr>
        <w:spacing w:after="0" w:line="15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goodwill and intangible assets are included in the U.S. segment. The trade name intangible asset is amortized on a straight-line basis over its estimated useful life of 12 years (see NOTE 7 — GOODWILL AND INTANGIBLE ASSETS). The goodwill recognized results from such factors as assembled workforce and the value of other synergies expected from combining operations with the Company. The associated goodwill is deductible for tax purposes over 15 years.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credit of $(0.7) million is included in Selling, general and administrative expenses for the year ended December 31, 2023 to reflect the decrease in fair value of a contingent consideration obligation acquired by the Company in connection with its acquisition of S’well.</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consolidated financial statements in accordance with ASC Topic No. 805, Business Combinations, commencing from the acquisition date. The purchase price was allocated based on the fair values of the assets acquired which consistent of inventory $0.3 million and liabilities assumed of $0.1 million. The Year &amp; Day acquisition did not have a material impact on the Company's consolidated statement of operations for the year ended December 31, 2021.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LEASES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has operating leases for corporate offices, distribution facilities, manufacturing plants, and certain vehicles. Leases with an initial term of 12 months or less are not recorded on the condensed consolidated balance sheets. The Company has elected the practical expedient to account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that do not depend on changes in index rates or payments based on usage, are not included in the ROU assets or liabilities. These are expensed as incurred and recorded as variable lease expense.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costs for the year ended December 31, 2023, 2022 and 2021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2"/>
        </w:trPr>
        <w:tc>
          <w:tcPr>
            <w:tcW w:w="5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55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7"/>
                <w:szCs w:val="17"/>
                <w:color w:val="auto"/>
              </w:rPr>
              <w:t xml:space="preserve">Operating lease costs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lease expense</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17,855</w:t>
            </w:r>
          </w:p>
        </w:tc>
        <w:tc>
          <w:tcPr>
            <w:tcW w:w="4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17,860</w:t>
            </w: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w:t>
            </w:r>
          </w:p>
        </w:tc>
        <w:tc>
          <w:tcPr>
            <w:tcW w:w="4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5,833</w:t>
            </w: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22,553</w:t>
            </w:r>
          </w:p>
        </w:tc>
        <w:tc>
          <w:tcPr>
            <w:tcW w:w="4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23,693</w:t>
            </w:r>
          </w:p>
        </w:tc>
      </w:tr>
      <w:tr>
        <w:trPr>
          <w:trHeight w:val="20"/>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20" w:hanging="117"/>
        <w:spacing w:after="0"/>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Expenses are recorded within distribution expenses and selling, general and administrative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for the year ended December 31, 2023, 2022 and 2021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
        </w:trPr>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5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19,154</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65"/>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5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r>
      <w:tr>
        <w:trPr>
          <w:trHeight w:val="237"/>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Included in machinery, furniture and equipment as of December 31, 2023 and 2022 is $0.2 million and $0.3 million, respectively, related to assets recorded under finance leases. Included in accumulated depreciation and amortization at December 31, 2023 and December 31, 2022 is $0.1 million and $0.2 million, respectively, related to assets recorded under finance leases.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future lease payments for operating leases as of December 31, 2023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22"/>
        </w:trPr>
        <w:tc>
          <w:tcPr>
            <w:tcW w:w="7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18,971</w:t>
            </w: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18,367</w:t>
            </w: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12,842</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18,522</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101,678</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(17,594)</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1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84,084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Average lease terms and discount rates were as follows:</w:t>
            </w: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74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19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7"/>
                <w:szCs w:val="17"/>
                <w:color w:val="auto"/>
              </w:rPr>
            </w:pPr>
          </w:p>
        </w:tc>
        <w:tc>
          <w:tcPr>
            <w:tcW w:w="16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
        </w:trPr>
        <w:tc>
          <w:tcPr>
            <w:tcW w:w="7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SALE OF ACCOUNTS RECEIVABLE</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The Company did not sell receivables to HSBC during the year ended December 31, 2023. Pursuant to this agreement, the Company sold $141.3 million of Receivables during the year ended December 31, 2022. A charge of $0.8 million related to the sale of the Receivables was included in selling, general and administrative expenses in the consolidated statements of operations for the year ended December 31, 2022. At December 31, 2023 and 2022, zero and $20.2 million, respectively, of receivables sold were outstanding and due to HSBC from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$28.3 million of accounts receivables were available for sale to HSBC, net of applicable charges.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EQUITY INVESTMENTS</w:t>
      </w:r>
    </w:p>
    <w:p>
      <w:pPr>
        <w:spacing w:after="0" w:line="1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Company owns 24.7% of the outstanding capital stock of Vasconia, an integrated manufacturer of aluminum products and a housewares company in Mexico.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years ended December 31, 2023, 2022 and 2021 in the accompanying consolidated statements of operations.</w:t>
      </w:r>
    </w:p>
    <w:p>
      <w:pPr>
        <w:spacing w:after="0" w:line="17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June 30, 2021, Vasconia issued additional shares of its stock,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consolidated statements of operations for the year ended December 31, 2021.</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On July 29, 2021, the Company sold 2.2 million shares further reducing its ownership from approximately 27% to 24.7%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net of taxes, in the accompanying consolidated statements of operations for the year ended December 31, 2021. The Company continues to apply the equity method of accounting.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equity in earnings, net of tax, for 2023, 2022 and 2021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top w:val="single" w:sz="8" w:color="auto"/>
              <w:bottom w:val="single" w:sz="8" w:color="auto"/>
            </w:tcBorders>
          </w:tcPr>
          <w:p>
            <w:pPr>
              <w:spacing w:after="0"/>
              <w:rPr>
                <w:sz w:val="17"/>
                <w:szCs w:val="17"/>
                <w:color w:val="auto"/>
              </w:rPr>
            </w:pPr>
          </w:p>
        </w:tc>
      </w:tr>
      <w:tr>
        <w:trPr>
          <w:trHeight w:val="186"/>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w w:val="97"/>
              </w:rPr>
              <w:t>(in thousands)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Vasconia equity in earnings, net of taxes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on dilution in Vasconia ownership</w:t>
            </w:r>
          </w:p>
        </w:tc>
        <w:tc>
          <w:tcPr>
            <w:tcW w:w="2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on partial sale of Vasconia ownership, net of taxes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Impairment on investment in Vasconia</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(losses) earnings, net of taxes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value of the Company’s investment balance has been translated from Mexican pesos (“MXN”) to U.S. dollars (“USD”) using the spot rate of MXN 16.96 and MXN 19.47 at December 31, 2023 and 2022, respectively.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proportionate share of Vasconia's net income (loss) has been translated from MXN to USD using the following exchange rates: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5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6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540" w:type="dxa"/>
            <w:vAlign w:val="bottom"/>
            <w:tcBorders>
              <w:bottom w:val="single" w:sz="8" w:color="auto"/>
            </w:tcBorders>
          </w:tcPr>
          <w:p>
            <w:pPr>
              <w:jc w:val="right"/>
              <w:ind w:right="11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8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exchange rate (MXN to USD)</w:t>
            </w:r>
          </w:p>
        </w:tc>
        <w:tc>
          <w:tcPr>
            <w:tcW w:w="2000" w:type="dxa"/>
            <w:vAlign w:val="bottom"/>
            <w:vMerge w:val="restart"/>
            <w:shd w:val="clear" w:color="auto" w:fill="CCEEFF"/>
          </w:tcPr>
          <w:p>
            <w:pPr>
              <w:jc w:val="right"/>
              <w:ind w:right="463"/>
              <w:spacing w:after="0"/>
              <w:rPr>
                <w:sz w:val="20"/>
                <w:szCs w:val="20"/>
                <w:color w:val="auto"/>
              </w:rPr>
            </w:pPr>
            <w:r>
              <w:rPr>
                <w:rFonts w:ascii="Times New Roman" w:cs="Times New Roman" w:eastAsia="Times New Roman" w:hAnsi="Times New Roman"/>
                <w:sz w:val="17"/>
                <w:szCs w:val="17"/>
                <w:color w:val="auto"/>
              </w:rPr>
              <w:t>17.06 - 18.66</w:t>
            </w:r>
          </w:p>
        </w:tc>
        <w:tc>
          <w:tcPr>
            <w:tcW w:w="2540" w:type="dxa"/>
            <w:vAlign w:val="bottom"/>
            <w:vMerge w:val="restart"/>
            <w:shd w:val="clear" w:color="auto" w:fill="CCEEFF"/>
          </w:tcPr>
          <w:p>
            <w:pPr>
              <w:jc w:val="right"/>
              <w:ind w:right="866"/>
              <w:spacing w:after="0"/>
              <w:rPr>
                <w:sz w:val="20"/>
                <w:szCs w:val="20"/>
                <w:color w:val="auto"/>
              </w:rPr>
            </w:pPr>
            <w:r>
              <w:rPr>
                <w:rFonts w:ascii="Times New Roman" w:cs="Times New Roman" w:eastAsia="Times New Roman" w:hAnsi="Times New Roman"/>
                <w:sz w:val="17"/>
                <w:szCs w:val="17"/>
                <w:color w:val="auto"/>
              </w:rPr>
              <w:t>19.67 - 20.50</w:t>
            </w:r>
          </w:p>
        </w:tc>
        <w:tc>
          <w:tcPr>
            <w:tcW w:w="2080" w:type="dxa"/>
            <w:vAlign w:val="bottom"/>
            <w:vMerge w:val="restart"/>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rPr>
              <w:t>20.01 - 20.74</w:t>
            </w:r>
          </w:p>
        </w:tc>
        <w:tc>
          <w:tcPr>
            <w:tcW w:w="0" w:type="dxa"/>
            <w:vAlign w:val="bottom"/>
          </w:tcPr>
          <w:p>
            <w:pPr>
              <w:spacing w:after="0"/>
              <w:rPr>
                <w:sz w:val="1"/>
                <w:szCs w:val="1"/>
                <w:color w:val="auto"/>
              </w:rPr>
            </w:pPr>
          </w:p>
        </w:tc>
      </w:tr>
      <w:tr>
        <w:trPr>
          <w:trHeight w:val="125"/>
        </w:trPr>
        <w:tc>
          <w:tcPr>
            <w:tcW w:w="3860" w:type="dxa"/>
            <w:vAlign w:val="bottom"/>
            <w:shd w:val="clear" w:color="auto" w:fill="CCEEFF"/>
          </w:tcPr>
          <w:p>
            <w:pPr>
              <w:spacing w:after="0"/>
              <w:rPr>
                <w:sz w:val="10"/>
                <w:szCs w:val="10"/>
                <w:color w:val="auto"/>
              </w:rPr>
            </w:pPr>
          </w:p>
        </w:tc>
        <w:tc>
          <w:tcPr>
            <w:tcW w:w="2000" w:type="dxa"/>
            <w:vAlign w:val="bottom"/>
            <w:vMerge w:val="continue"/>
            <w:shd w:val="clear" w:color="auto" w:fill="CCEEFF"/>
          </w:tcPr>
          <w:p>
            <w:pPr>
              <w:spacing w:after="0"/>
              <w:rPr>
                <w:sz w:val="10"/>
                <w:szCs w:val="10"/>
                <w:color w:val="auto"/>
              </w:rPr>
            </w:pPr>
          </w:p>
        </w:tc>
        <w:tc>
          <w:tcPr>
            <w:tcW w:w="2540" w:type="dxa"/>
            <w:vAlign w:val="bottom"/>
            <w:vMerge w:val="continue"/>
            <w:shd w:val="clear" w:color="auto" w:fill="CCEEFF"/>
          </w:tcPr>
          <w:p>
            <w:pPr>
              <w:spacing w:after="0"/>
              <w:rPr>
                <w:sz w:val="10"/>
                <w:szCs w:val="10"/>
                <w:color w:val="auto"/>
              </w:rPr>
            </w:pPr>
          </w:p>
        </w:tc>
        <w:tc>
          <w:tcPr>
            <w:tcW w:w="20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8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effect of the translation of the Company’s investment, as well as the translation of Vasconia’s balance sheet, resulted in an increase of the investment of $2.0 million during the year ended December 31, 2023 and a decrease of the investment of $0.3 million during the year ended December 31, 2022. These translation effects are recorded in accumulated other comprehensive loss. The Company received cash dividends of $0.2 million, from Vasconia during the years ended December 31, 2021. There was no cash dividend received during the years ended December 31, 2023 and 2022.</w:t>
      </w:r>
    </w:p>
    <w:p>
      <w:pPr>
        <w:spacing w:after="0" w:line="17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Amounts due to and from Vasconia are recorded in the Company’s consolidated balance sheet within prepaid expenses, other current assets, accrued expenses and accounts payable. As of December 31, 2023 and 2022, these amounts were not material individually or in the aggregate.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Summarized income statement information for the years ended December 31, 2023, 2022 and 2021, as well as summarized balance sheet information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and 2022, for Vasconia, calculated in accordance with U.S. GAAP, in USD and MXN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3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color w:val="auto"/>
                <w:w w:val="97"/>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3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MXN</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USD</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MXN</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4"/>
                <w:szCs w:val="14"/>
                <w:color w:val="auto"/>
              </w:rPr>
              <w:t>MXN</w:t>
            </w:r>
          </w:p>
        </w:tc>
      </w:tr>
      <w:tr>
        <w:trPr>
          <w:trHeight w:val="199"/>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Statement</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3,069,162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240,910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4,871,845</w:t>
            </w:r>
          </w:p>
        </w:tc>
      </w:tr>
      <w:tr>
        <w:trPr>
          <w:trHeight w:val="219"/>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39,874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1,064,557</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313,156</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(416,505)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141,972</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5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5"/>
                <w:szCs w:val="15"/>
                <w:color w:val="auto"/>
              </w:rPr>
            </w:pPr>
          </w:p>
        </w:tc>
      </w:tr>
      <w:tr>
        <w:trPr>
          <w:trHeight w:val="184"/>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5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USD</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MXN</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USD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MXN</w:t>
            </w:r>
          </w:p>
        </w:tc>
      </w:tr>
      <w:tr>
        <w:trPr>
          <w:trHeight w:val="19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1,991,347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2,519,905</w:t>
            </w: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2,590,649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2,810,082</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3,157,716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1,812,546</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236,269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1,850,568</w:t>
            </w:r>
          </w:p>
        </w:tc>
      </w:tr>
    </w:tbl>
    <w:p>
      <w:pPr>
        <w:spacing w:after="0" w:line="27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fair value (based on Level 1 inputs using the quoted stock price) of the Company’s investment in Vasconia declined in 2023. As a result of the decline in the quoted stock price, the downgrade in Vasconia’s debt rating, and the continued decline in the operating results of Vasconia, the Company determined the decline in fair value was other than temporary. The Company reduced its investment by $6.8 million as of September 30, 2023 to its fair value, and recognized the non-cash impairment charge within Equity in (losses) earnings, net of taxes, in the consolidated statement of operations. As of December 31, 2023, the fair value of the Company’s investment in Vasconia was $4.3 million. The carrying value of the Company’s investment in Vasconia, after the recorded impairment, was</w:t>
      </w:r>
    </w:p>
    <w:p>
      <w:pPr>
        <w:spacing w:after="0" w:line="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$1.8 million. As of December 31, 2023, there is substantial doubt about Vasconia’s ability to continue as a going concern for twelve months beyond the date of the financial statements. In the event Vasconia does not continue, the Company would be required to reduce its investment in Vasconia and recognize a loss for amounts previously recognized 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GOODWILL AND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intangible assets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line="186" w:lineRule="exact"/>
              <w:rPr>
                <w:sz w:val="20"/>
                <w:szCs w:val="20"/>
                <w:color w:val="auto"/>
              </w:rPr>
            </w:pPr>
            <w:r>
              <w:rPr>
                <w:rFonts w:ascii="Times New Roman" w:cs="Times New Roman" w:eastAsia="Times New Roman" w:hAnsi="Times New Roman"/>
                <w:sz w:val="14"/>
                <w:szCs w:val="14"/>
                <w:b w:val="1"/>
                <w:bCs w:val="1"/>
                <w:color w:val="auto"/>
              </w:rPr>
              <w:t>Goodwill</w:t>
            </w:r>
            <w:r>
              <w:rPr>
                <w:rFonts w:ascii="Times New Roman" w:cs="Times New Roman" w:eastAsia="Times New Roman" w:hAnsi="Times New Roman"/>
                <w:sz w:val="17"/>
                <w:szCs w:val="17"/>
                <w:b w:val="1"/>
                <w:bCs w:val="1"/>
                <w:color w:val="auto"/>
                <w:vertAlign w:val="superscript"/>
              </w:rPr>
              <w:t>(1)</w:t>
            </w: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0" w:type="dxa"/>
            <w:vAlign w:val="bottom"/>
          </w:tcPr>
          <w:p>
            <w:pPr>
              <w:spacing w:after="0"/>
              <w:rPr>
                <w:sz w:val="1"/>
                <w:szCs w:val="1"/>
                <w:color w:val="auto"/>
              </w:rPr>
            </w:pPr>
          </w:p>
        </w:tc>
      </w:tr>
      <w:tr>
        <w:trPr>
          <w:trHeight w:val="19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Indefinite -lived intangible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320"/>
              <w:spacing w:after="0" w:line="194" w:lineRule="exact"/>
              <w:rPr>
                <w:sz w:val="20"/>
                <w:szCs w:val="20"/>
                <w:color w:val="auto"/>
              </w:rPr>
            </w:pPr>
            <w:r>
              <w:rPr>
                <w:rFonts w:ascii="Times New Roman" w:cs="Times New Roman" w:eastAsia="Times New Roman" w:hAnsi="Times New Roman"/>
                <w:sz w:val="14"/>
                <w:szCs w:val="14"/>
                <w:color w:val="auto"/>
              </w:rPr>
              <w:t>Trade names</w:t>
            </w:r>
            <w:r>
              <w:rPr>
                <w:rFonts w:ascii="Times New Roman" w:cs="Times New Roman" w:eastAsia="Times New Roman" w:hAnsi="Times New Roman"/>
                <w:sz w:val="17"/>
                <w:szCs w:val="17"/>
                <w:color w:val="auto"/>
                <w:vertAlign w:val="superscript"/>
              </w:rPr>
              <w:t>(1)(2)</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49,600</w:t>
            </w:r>
          </w:p>
        </w:tc>
        <w:tc>
          <w:tcPr>
            <w:tcW w:w="0" w:type="dxa"/>
            <w:vAlign w:val="bottom"/>
          </w:tcPr>
          <w:p>
            <w:pPr>
              <w:spacing w:after="0"/>
              <w:rPr>
                <w:sz w:val="1"/>
                <w:szCs w:val="1"/>
                <w:color w:val="auto"/>
              </w:rPr>
            </w:pPr>
          </w:p>
        </w:tc>
      </w:tr>
      <w:tr>
        <w:trPr>
          <w:trHeight w:val="19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Finite -lived intangible assets: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Licenses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xml:space="preserve">Trade names </w:t>
            </w:r>
            <w:r>
              <w:rPr>
                <w:rFonts w:ascii="Times New Roman" w:cs="Times New Roman" w:eastAsia="Times New Roman" w:hAnsi="Times New Roman"/>
                <w:sz w:val="17"/>
                <w:szCs w:val="17"/>
                <w:color w:val="auto"/>
                <w:vertAlign w:val="superscript"/>
              </w:rPr>
              <w:t>(2)(3)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34,755</w:t>
            </w:r>
          </w:p>
        </w:tc>
        <w:tc>
          <w:tcPr>
            <w:tcW w:w="0" w:type="dxa"/>
            <w:vAlign w:val="bottom"/>
          </w:tcPr>
          <w:p>
            <w:pPr>
              <w:spacing w:after="0"/>
              <w:rPr>
                <w:sz w:val="1"/>
                <w:szCs w:val="1"/>
                <w:color w:val="auto"/>
              </w:rPr>
            </w:pPr>
          </w:p>
        </w:tc>
      </w:tr>
      <w:tr>
        <w:trPr>
          <w:trHeight w:val="193"/>
        </w:trPr>
        <w:tc>
          <w:tcPr>
            <w:tcW w:w="3740" w:type="dxa"/>
            <w:vAlign w:val="bottom"/>
          </w:tcPr>
          <w:p>
            <w:pPr>
              <w:ind w:left="320"/>
              <w:spacing w:after="0" w:line="194" w:lineRule="exact"/>
              <w:rPr>
                <w:sz w:val="20"/>
                <w:szCs w:val="20"/>
                <w:color w:val="auto"/>
              </w:rPr>
            </w:pPr>
            <w:r>
              <w:rPr>
                <w:rFonts w:ascii="Times New Roman" w:cs="Times New Roman" w:eastAsia="Times New Roman" w:hAnsi="Times New Roman"/>
                <w:sz w:val="14"/>
                <w:szCs w:val="14"/>
                <w:color w:val="auto"/>
              </w:rPr>
              <w:t xml:space="preserve">Customer relationships </w:t>
            </w:r>
            <w:r>
              <w:rPr>
                <w:rFonts w:ascii="Times New Roman" w:cs="Times New Roman" w:eastAsia="Times New Roman" w:hAnsi="Times New Roman"/>
                <w:sz w:val="17"/>
                <w:szCs w:val="17"/>
                <w:color w:val="auto"/>
                <w:vertAlign w:val="superscript"/>
              </w:rPr>
              <w:t>(3)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89,571</w:t>
            </w:r>
          </w:p>
        </w:tc>
        <w:tc>
          <w:tcPr>
            <w:tcW w:w="0" w:type="dxa"/>
            <w:vAlign w:val="bottom"/>
          </w:tcPr>
          <w:p>
            <w:pPr>
              <w:spacing w:after="0"/>
              <w:rPr>
                <w:sz w:val="1"/>
                <w:szCs w:val="1"/>
                <w:color w:val="auto"/>
              </w:rPr>
            </w:pPr>
          </w:p>
        </w:tc>
      </w:tr>
      <w:tr>
        <w:trPr>
          <w:trHeight w:val="193"/>
        </w:trPr>
        <w:tc>
          <w:tcPr>
            <w:tcW w:w="374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7"/>
                <w:szCs w:val="17"/>
                <w:color w:val="auto"/>
                <w:vertAlign w:val="superscript"/>
              </w:rPr>
              <w:t>(3)</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7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302,607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(103,474)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199,133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302,482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(88,595)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213,887</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40" w:hanging="137"/>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gross and net value at December 31, 2023 and 2022 reflect a reduction of $91.7 million impairment charges on goodwill and $1.0 million charges on indefinite-lived intangible assets.</w:t>
      </w:r>
    </w:p>
    <w:p>
      <w:pPr>
        <w:spacing w:after="0" w:line="13"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During 2023, in connection with an interim impairment test completed as of September 30, 2023, the Company determined that one trade name, that was previously estimated to contribute to cash flows indefinitely, has a definite life. Accordingly, the trade name was reclassified from indefinite-lived intangible asset to a finite-lived intangible asset as of October 1, 2023. The trade name is being amortized over an estimated useful life of 15 years.</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color w:val="auto"/>
        </w:rPr>
        <w:t>The gross value and accumulated amortization at December 31, 2023 and 2022 reflect a reduction of $44.1 million and $(29.3) million, respectively, for the net $14.8 million impairment charge on finite-lived intangible assets within the international segment during the period ended December 31, 2021 and a $6.5 million reduction in gross value for previous impairment charges on finite-lived intangible assets within the U.S. segment.</w:t>
      </w:r>
    </w:p>
    <w:p>
      <w:pPr>
        <w:spacing w:after="0" w:line="201"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A summary of the activities related to the Company’s intangible assets for the years ended December 31, 2023, 2022 and 2021 consists of the following (in thousands):</w:t>
      </w:r>
    </w:p>
    <w:tbl>
      <w:tblPr>
        <w:tblLayout w:type="fixed"/>
        <w:tblInd w:w="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Total Intangible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Assets and</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2020</w:t>
            </w:r>
          </w:p>
        </w:tc>
        <w:tc>
          <w:tcPr>
            <w:tcW w:w="2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of finite-lived intangible assets</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2021</w:t>
            </w:r>
          </w:p>
        </w:tc>
        <w:tc>
          <w:tcPr>
            <w:tcW w:w="2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of goodwill</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trade name</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2022</w:t>
            </w:r>
          </w:p>
        </w:tc>
        <w:tc>
          <w:tcPr>
            <w:tcW w:w="2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 December 31, 2023</w:t>
            </w:r>
          </w:p>
        </w:tc>
        <w:tc>
          <w:tcPr>
            <w:tcW w:w="26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99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weighted-average amortization periods for the Company’s finite-lived intangible assets as of December 31, 2023 are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Licenses</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706"/>
        </w:trPr>
        <w:tc>
          <w:tcPr>
            <w:tcW w:w="4620" w:type="dxa"/>
            <w:vAlign w:val="bottom"/>
          </w:tcPr>
          <w:p>
            <w:pPr>
              <w:spacing w:after="0"/>
              <w:rPr>
                <w:sz w:val="24"/>
                <w:szCs w:val="24"/>
                <w:color w:val="auto"/>
              </w:rPr>
            </w:pPr>
          </w:p>
        </w:tc>
        <w:tc>
          <w:tcPr>
            <w:tcW w:w="2860" w:type="dxa"/>
            <w:vAlign w:val="bottom"/>
            <w:gridSpan w:val="2"/>
          </w:tcPr>
          <w:p>
            <w:pPr>
              <w:jc w:val="right"/>
              <w:ind w:right="1614"/>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8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998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7"/>
        </w:trPr>
        <w:tc>
          <w:tcPr>
            <w:tcW w:w="9980" w:type="dxa"/>
            <w:vAlign w:val="bottom"/>
          </w:tcPr>
          <w:p>
            <w:pPr>
              <w:jc w:val="center"/>
              <w:ind w:left="119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825"/>
        </w:trPr>
        <w:tc>
          <w:tcPr>
            <w:tcW w:w="9980" w:type="dxa"/>
            <w:vAlign w:val="bottom"/>
          </w:tcPr>
          <w:p>
            <w:pPr>
              <w:spacing w:after="0"/>
              <w:rPr>
                <w:sz w:val="20"/>
                <w:szCs w:val="20"/>
                <w:color w:val="auto"/>
              </w:rPr>
            </w:pPr>
            <w:r>
              <w:rPr>
                <w:rFonts w:ascii="Times New Roman" w:cs="Times New Roman" w:eastAsia="Times New Roman" w:hAnsi="Times New Roman"/>
                <w:sz w:val="17"/>
                <w:szCs w:val="17"/>
                <w:color w:val="auto"/>
              </w:rPr>
              <w:t>Estimated amortization expense for each of the five succeeding fiscal years is as follows (in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6"/>
        </w:trPr>
        <w:tc>
          <w:tcPr>
            <w:tcW w:w="9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99"/>
              <w:spacing w:after="0" w:line="156" w:lineRule="exact"/>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87"/>
        </w:trPr>
        <w:tc>
          <w:tcPr>
            <w:tcW w:w="9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7"/>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14,888</w:t>
            </w:r>
          </w:p>
        </w:tc>
      </w:tr>
      <w:tr>
        <w:trPr>
          <w:trHeight w:val="219"/>
        </w:trPr>
        <w:tc>
          <w:tcPr>
            <w:tcW w:w="9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14,288</w:t>
            </w:r>
          </w:p>
        </w:tc>
      </w:tr>
      <w:tr>
        <w:trPr>
          <w:trHeight w:val="219"/>
        </w:trPr>
        <w:tc>
          <w:tcPr>
            <w:tcW w:w="9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13,578</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13,119</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impairment test</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1"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 Projected net sales for the related brands and royalty rates were determined to be significant assumptions because they are the primary drivers of the projected cash flows in the relief from royalty model. Cost of capital was also determined to be a significant assumption as it is the discount rate used to calculate the current fair value of those projected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Reporting Unit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goodwill for the International reporting unit was zero as of December 31, 2023 and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Reporting Unit</w:t>
      </w:r>
    </w:p>
    <w:p>
      <w:pPr>
        <w:spacing w:after="0" w:line="118"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The Company performed an interim impairment test of the goodwill in the U.S. reporting unit as of September 30, 2023, by comparing its fair value with its carrying value. The analysis was performed by using a discounted cash flow and market multiple method. Based upon the analysis performed, the Company determined that the fair value of the Company's U.S. reporting unit exceeded its carrying value, and therefore goodwill was not impaired. As of September 30, 2023, the fair value of the U.S. reporting unit exceeded the carrying value of goodwill by 4%.</w:t>
      </w:r>
    </w:p>
    <w:p>
      <w:pPr>
        <w:spacing w:after="0" w:line="17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performed its annual impairment assessment of its U.S. reporting unit as of October 1, 2023 by comparing the fair value of the reporting unit with its carrying value. The Company performed the analysis using a discounted cash flow and market multiple method. As of October 1, 2023, the fair value of the U.S. reporting unit exceeded the carrying value of goodwill by 4%.</w:t>
      </w:r>
    </w:p>
    <w:p>
      <w:pPr>
        <w:spacing w:after="0" w:line="16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including projected net sales, projected EBITDA and cost of capital could materially affect the expected cash flows, and such impacts could potentially result in a material non-cash impairment charge.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2023, the Company assessed the carrying value of goodwill and determined, based on qualitative factors, that no impairment indicators existed for 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indefinite-lived trade name impairment test</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Company values its indefinite-lived trade name using a relief-from-royalty approach, which assumes the value of the trade name is the discounted cash flows of the amount that would be paid by a hypothetical market participant had they not owned the trade name and instead licensed the trade name from another company.</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performed an interim quantitative impairment analysis as of September 30, 2023, of its indefinite-lived trade names by comparing the fair value of the indefinite-lived trade names to their respective carrying values. 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 The Company determined that the fair value of all its indefinite-lived trade names were above their respective carrying values, and therefore its indefinite-lived intangible assets were not impaired. In connection with the interim impairment analysis, the Company determined that one trade name, previously estimated to contribute to cash flows indefinitely, has a definite life. Accordingly, the trade name will be reclassified from indefinite-lived to finite-lived or amortizable intangible assets as of October 1, 2023. The trade name will be amortized over an estimated useful life of 15 years. As of September 30, 2023, the fair value of the Company’s indefinite-lived trade name exceeded the respective carrying value by 7%.</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bypassed the optional qualitative impairment analysis for its indefinite-lived trade name asset annual October 1, 2023 impairment test. The Company completed the quantitative impairment analysis by comparing the fair value of the indefinite-lived trade name to its carrying value using a relief from royalty method. As of October 1, 2023, the fair value of the Company’s indefinite-lived trade name exceeded its carrying value by 7%. While the indefinite-lived trade name was not determined to be impaired, if the indefinite-lived trade name does not perform as projected or if market factors utilized in the impairment analysis deteriorate, including an unfavorable change in the weighted average cost of capital, could materially affect the expected cash flows, and such impacts could potentially result in a material non-cash impairment charge.</w:t>
      </w:r>
    </w:p>
    <w:p>
      <w:pPr>
        <w:spacing w:after="0" w:line="173"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7"/>
          <w:szCs w:val="17"/>
          <w:color w:val="auto"/>
        </w:rPr>
        <w:t>As of December 31, 2023, the Company assessed the carrying value of its indefinite-lived trade name and determined based on qualitative factors that no impairment existed.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 impairment test</w:t>
      </w:r>
    </w:p>
    <w:p>
      <w:pPr>
        <w:spacing w:after="0" w:line="11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the fourth quarter of 2023, due to the lower than expected operating results for the International segment as a result of low consumer confidence in the region, impairment indicators were identified for the International asset group. The Company tested the recoverability of the asset group, concluding it was not recoverable and performed an analysis of the fair value of the international long-lived assets. The Company tested the International segment’s long-lived assets for impairment and concluded that the fair value exceeded the carrying value of the long-lived assets, concluding no impairment as of December 31, 2023.</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In the fourth quarter of 2022, the Company tested the International segment’s long-lived assets for impairment and concluded that the fair value exceeded the carrying value of the long-lived assets, concluding no impairment as of December 31, 2022.</w:t>
      </w:r>
    </w:p>
    <w:p>
      <w:pPr>
        <w:spacing w:after="0" w:line="1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the fourth quarter of 2021, due to lower than expected operating results for the International segment caused by continuing impacts of COVID-19 and the exit of the U.K. from the European Union, impairment indicators were identified for the International asset group. The Company tested the recoverability of the asset group, concluding it was not recoverable and performed an analysis of the fair value of the international long-lived assets. For the finite-lived intangible assets, the Company performed discounted cash flow analysis and recorded an impairment of $14.8 million within the International segment.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DEBT</w:t>
      </w:r>
    </w:p>
    <w:p>
      <w:pPr>
        <w:spacing w:after="0" w:line="1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August 26, 2022, the Company entered into Amendment No. 2 (the “Amendment”) to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will mature on August 26, 2027.</w:t>
      </w:r>
    </w:p>
    <w:p>
      <w:pPr>
        <w:spacing w:after="0" w:line="17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On November 14, 2023, the Company entered into Amendment No. 2 (the “Term Loan Amendment”) to amend the Loan Agreement, dated as of March 2, 2018, among the Company, as borrower, the other loan parties from time to time party thereto, the lenders from</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time to time party thereto, and JPMorgan Chase Bank, N.A., as Administrative Agent (as amended, the “Term Loan”). The Term Loan has a principal amount of $150.0 million, and matures on August 26, 2027.</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and 2022, the total availability under the ABL Agreement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60" w:type="dxa"/>
            <w:vAlign w:val="bottom"/>
          </w:tcPr>
          <w:p>
            <w:pPr>
              <w:spacing w:after="0"/>
              <w:rPr>
                <w:sz w:val="17"/>
                <w:szCs w:val="17"/>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189,411</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Outstanding borrowings under the ABL Agreement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118,630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176,222</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 that it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December 31, 2023, the availability under the ABL Agreement, limited by the Term Loan financial covenant, was $89.4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current and non-current portions of the Company’s Term Loan facility included in the consolidated balance sheets are presented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00" w:type="dxa"/>
            <w:vAlign w:val="bottom"/>
          </w:tcPr>
          <w:p>
            <w:pPr>
              <w:spacing w:after="0"/>
              <w:rPr>
                <w:sz w:val="17"/>
                <w:szCs w:val="17"/>
                <w:color w:val="auto"/>
              </w:rPr>
            </w:pPr>
          </w:p>
        </w:tc>
        <w:tc>
          <w:tcPr>
            <w:tcW w:w="1960" w:type="dxa"/>
            <w:vAlign w:val="bottom"/>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18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Term Loan facility:</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19"/>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Term Loan facility payment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portion of Term Loan facility</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2"/>
        </w:trPr>
        <w:tc>
          <w:tcPr>
            <w:tcW w:w="6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portion of Term Loan facility:</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2"/>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Term Loan facility, net of current portion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245,911</w:t>
            </w:r>
          </w:p>
        </w:tc>
      </w:tr>
      <w:tr>
        <w:trPr>
          <w:trHeight w:val="219"/>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Estimated unamortized debt issuance costs</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w:t>
            </w: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Non-current portion of Term Loan facility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242,857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there is no Excess Cash Flow Payment due for 2024.</w:t>
      </w:r>
    </w:p>
    <w:p>
      <w:pPr>
        <w:spacing w:after="0" w:line="217"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The Company’s Term Loan facility was reduced to $150.0 million at December 31, 2023 from $245.9 million at December 31, 2022 through the following transactions: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0" w:right="120" w:hanging="307"/>
        <w:spacing w:after="0" w:line="264"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was $1.5 million, net of fees and expenses.</w:t>
      </w:r>
    </w:p>
    <w:p>
      <w:pPr>
        <w:spacing w:after="0" w:line="171"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Term Loan Amendment, the Company reduced its outstanding principal by a net amount of $48.7 million through a voluntary prepayment of principal (in accordance with the terms of the original Term Loan Agreement), net of the issuance of new proceeds and an extension of a portion of existing Term Loan. In connection with the Term Loan Amendment that Company incurred fees of $9.1 million, which will be amortized over the life of the debt using the effective interest method. The Company recognized a loss of of $0.7 million of unamortized debt issuance costs on the partial extinguishment for the portion of the Term Loan that was repaid.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of December 31, 2023, the future principal payments of the Term Loan are as follows (in thousands):</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vMerge w:val="restart"/>
          </w:tcPr>
          <w:p>
            <w:pPr>
              <w:spacing w:after="0"/>
              <w:rPr>
                <w:sz w:val="20"/>
                <w:szCs w:val="20"/>
                <w:color w:val="auto"/>
              </w:rPr>
            </w:pPr>
          </w:p>
        </w:tc>
        <w:tc>
          <w:tcPr>
            <w:tcW w:w="9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 w:type="dxa"/>
            <w:vAlign w:val="bottom"/>
            <w:vMerge w:val="continue"/>
          </w:tcPr>
          <w:p>
            <w:pPr>
              <w:spacing w:after="0"/>
              <w:rPr>
                <w:sz w:val="19"/>
                <w:szCs w:val="19"/>
                <w:color w:val="auto"/>
              </w:rPr>
            </w:pPr>
          </w:p>
        </w:tc>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consists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spacing w:after="0" w:line="3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2023 was between 6.47% and 6.72%. In addition, the Company paid a commitment fee of 0.25% on the unused portion of the ABL Agreement during the year ended December 31, 2023.</w:t>
      </w:r>
    </w:p>
    <w:p>
      <w:pPr>
        <w:spacing w:after="0" w:line="17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Term Loan facility bears interest, at the Company’s option, at one of the following rates: (i) alternate base rate, defined, for any day, as the greater of (x) the prime rate, (y) a federal funds and overnight bank funding based rate plus 0.50%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December 31, 2023 was 11.0%.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was in compliance with the covenants of the Debt Agreements at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Credit Agreements</w:t>
      </w:r>
    </w:p>
    <w:p>
      <w:pPr>
        <w:spacing w:after="0" w:line="1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 subsidiary of the Company holds a credit facility (“HSBC Facility”) with HSBC Bank (China) Company Limited, Shanghai Branch (“HSBC”) for up to $10.0 million Chinese renminbi ($1.4 million). The HSBC Facility is subject to annual renewal and may be used to fund general working capital needs of the Company’s subsidiary, which is a trading company in China. Borrowings under the HSBC Facility were guaranteed by the Company and were granted at the sole discretion of HSBC. No borrowings were outstanding under the HSBC Facility at December 31, 2023 and 2022.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DERIVATIVES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Swap Agreements</w:t>
      </w:r>
    </w:p>
    <w:p>
      <w:pPr>
        <w:spacing w:after="0" w:line="1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Company’s net total outstanding notional value of interest rate swaps was $25.0 million at December 31, 2023. These non-designated interest rate swaps were entered into in June 2019 and serve as cash flow hedges of the Company’s exposure to the variability of the payment of interest on a portion of its Term Loan borrowings and expire in February 2025.</w:t>
      </w:r>
    </w:p>
    <w:p>
      <w:pPr>
        <w:spacing w:after="0" w:line="16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Company’s interest rate swaps that were designated as cash flow hedges of the Company’s exposure to the variability of the payment of interest on a portion of its Term Loan borrowings expired in March 2023. The Company has no designated interest rate swaps at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w:t>
      </w:r>
    </w:p>
    <w:p>
      <w:pPr>
        <w:spacing w:after="0" w:line="118"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56" w:lineRule="auto"/>
        <w:rPr>
          <w:sz w:val="20"/>
          <w:szCs w:val="20"/>
          <w:color w:val="auto"/>
        </w:rPr>
      </w:pPr>
      <w:r>
        <w:rPr>
          <w:rFonts w:ascii="Times New Roman" w:cs="Times New Roman" w:eastAsia="Times New Roman" w:hAnsi="Times New Roman"/>
          <w:sz w:val="17"/>
          <w:szCs w:val="17"/>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2023 and 2022 was $9.8 million and $6.3 million, respectively.</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2023, the Company does not have any foreign currency forward contract derivatives that are not designated as hedges. These foreign exchange contracts have been designated as hedges in to order to apply hedge accounting.</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of the Company’s derivative financial instruments included in the consolidated balance sheets are presented as follows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7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4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3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5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74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87"/>
        </w:trPr>
        <w:tc>
          <w:tcPr>
            <w:tcW w:w="37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24"/>
                <w:szCs w:val="24"/>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58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37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37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4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r>
    </w:tbl>
    <w:p>
      <w:pPr>
        <w:spacing w:after="0" w:line="26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51"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7"/>
          <w:szCs w:val="17"/>
          <w:color w:val="auto"/>
        </w:rPr>
        <w:t>The amounts of the (losses) and gains, realized and unrealized, net of taxes, related to the Company’s derivative financial instruments designated as hedging instruments are recognized in other comprehensive income (loss) as follows (in thousands):</w:t>
      </w: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0" w:type="dxa"/>
            <w:vAlign w:val="bottom"/>
          </w:tcPr>
          <w:p>
            <w:pPr>
              <w:spacing w:after="0"/>
              <w:rPr>
                <w:sz w:val="16"/>
                <w:szCs w:val="16"/>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r>
      <w:tr>
        <w:trPr>
          <w:trHeight w:val="219"/>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37"/>
        </w:trPr>
        <w:tc>
          <w:tcPr>
            <w:tcW w:w="7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Realized gains and losses on the interest rate swaps that are reported in other comprehensive income (loss) are reclassified into earnings as the interest expense on the debt is recognized. The Company’s interest rate swaps that were designated as hedging instruments had an aggregate notional value of $25.0 million and matured during the three months ended March 31, 2023.</w:t>
      </w:r>
    </w:p>
    <w:p>
      <w:pPr>
        <w:spacing w:after="0" w:line="16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Realized gains and losses on foreign exchange contracts that are reported in other comprehensive income (loss) are reclassified into cost of sales as the underlying inventory purchased is sold.</w:t>
      </w:r>
    </w:p>
    <w:p>
      <w:pPr>
        <w:spacing w:after="0" w:line="15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the Company reclassified $0.5 million of cash flow hedges in accumulated other comprehensive losses to earnings. This comprised of a gain of $0.1 million related to interest rate swaps recognized in interest expense and a gain of $0.4 million related to foreign exchange contracts recognized in cost of sales. At December 31, 2023, the estimated amount of existing net losses expected to be reclassified into earnings within the next 12 months was $0.2 million.</w:t>
      </w:r>
    </w:p>
    <w:p>
      <w:pPr>
        <w:spacing w:after="0" w:line="17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the Company reclassified $1.3 million of cash flow hedges in accumulated other comprehensive losses to earnings. This comprised of a charge of $0.3 million related to interest rate swaps recognized in interest expense and a gain of $1.6 million related to foreign exchange contracts recognized in cost of sales.</w:t>
      </w:r>
    </w:p>
    <w:p>
      <w:pPr>
        <w:spacing w:after="0" w:line="16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amounts of the gains and losses related to the Company’s derivative financial instruments not designated as hedging instruments are recognized in earnings as follows (in thousands):</w:t>
      </w: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Location of Gain or (Loss)</w:t>
            </w:r>
          </w:p>
        </w:tc>
        <w:tc>
          <w:tcPr>
            <w:tcW w:w="240" w:type="dxa"/>
            <w:vAlign w:val="bottom"/>
          </w:tcPr>
          <w:p>
            <w:pPr>
              <w:spacing w:after="0"/>
              <w:rPr>
                <w:sz w:val="16"/>
                <w:szCs w:val="16"/>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rate swaps</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Mark to market gain (loss) on interest rate derivatives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17"/>
                <w:szCs w:val="17"/>
                <w:color w:val="auto"/>
                <w:w w:val="97"/>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center"/>
              <w:ind w:left="321"/>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ind w:left="22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180" w:type="dxa"/>
            <w:vAlign w:val="bottom"/>
          </w:tcPr>
          <w:p>
            <w:pPr>
              <w:spacing w:after="0"/>
              <w:rPr>
                <w:sz w:val="24"/>
                <w:szCs w:val="24"/>
                <w:color w:val="auto"/>
              </w:rPr>
            </w:pPr>
          </w:p>
        </w:tc>
        <w:tc>
          <w:tcPr>
            <w:tcW w:w="4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8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CAPITAL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were declared in 2023 and 2022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9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Date of record</w:t>
            </w:r>
          </w:p>
        </w:tc>
        <w:tc>
          <w:tcPr>
            <w:tcW w:w="25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8, 2022</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 2022</w:t>
            </w:r>
          </w:p>
        </w:tc>
        <w:tc>
          <w:tcPr>
            <w:tcW w:w="360" w:type="dxa"/>
            <w:vAlign w:val="bottom"/>
            <w:shd w:val="clear" w:color="auto" w:fill="CCEEFF"/>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16, 2022</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23,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2022</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2022</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2022</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 2022</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2023</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8, 2023</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 2023</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2023</w:t>
            </w:r>
          </w:p>
        </w:tc>
      </w:tr>
      <w:tr>
        <w:trPr>
          <w:trHeight w:val="219"/>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22,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2023</w:t>
            </w: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 2023</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 2023</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15, 2023</w:t>
            </w: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$0.0425</w:t>
            </w:r>
          </w:p>
        </w:tc>
        <w:tc>
          <w:tcPr>
            <w:tcW w:w="340" w:type="dxa"/>
            <w:vAlign w:val="bottom"/>
          </w:tcPr>
          <w:p>
            <w:pPr>
              <w:spacing w:after="0"/>
              <w:rPr>
                <w:sz w:val="19"/>
                <w:szCs w:val="19"/>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7, 2023</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1, 2024</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15, 2024</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8, 2024, the Board of Directors declared a quarterly dividend of $0.0425 per share payable on May 15, 2024 to shareholders of record on May 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repurchase program</w:t>
      </w:r>
    </w:p>
    <w:p>
      <w:pPr>
        <w:spacing w:after="0" w:line="11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During the year ended December 31, 2023, the Company repurchased 320,204 shares for a total costs of $2.5 million, and thereafter retired the shares. During the year ended December 31, 2022, the Company repurchased 597,195 shares for a total costs of $6.3 million. No shares were repurchased during 2021. As of December 31, 2023, the remaining dollar amount available for repurchases under the Board authorized plan was $11.1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is authorized to issue 100 shares of Series A Preferred Stock and 2,000,000 shares of Series B Preferred Stock, none of which has been issued or is outstanding at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incentive plan</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Company’s Amended and Restated 2000 Long-Term Incentive Plan (the “Plan”) provides for the granting of awards of up to 8,217,500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As of December 31, 2023, there were 624,907 shares available for the grant of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stock option activity and related information for the three years ended December 31, 2023,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60" w:type="dxa"/>
            <w:vAlign w:val="bottom"/>
          </w:tcPr>
          <w:p>
            <w:pPr>
              <w:spacing w:after="0"/>
              <w:rPr>
                <w:sz w:val="13"/>
                <w:szCs w:val="13"/>
                <w:color w:val="auto"/>
              </w:rPr>
            </w:pPr>
          </w:p>
        </w:tc>
        <w:tc>
          <w:tcPr>
            <w:tcW w:w="1100" w:type="dxa"/>
            <w:vAlign w:val="bottom"/>
            <w:vMerge w:val="restart"/>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0"/>
        </w:trPr>
        <w:tc>
          <w:tcPr>
            <w:tcW w:w="5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1"/>
                <w:szCs w:val="11"/>
                <w:color w:val="auto"/>
              </w:rPr>
            </w:pPr>
          </w:p>
        </w:tc>
        <w:tc>
          <w:tcPr>
            <w:tcW w:w="1100" w:type="dxa"/>
            <w:vAlign w:val="bottom"/>
          </w:tcPr>
          <w:p>
            <w:pPr>
              <w:jc w:val="center"/>
              <w:ind w:right="86"/>
              <w:spacing w:after="0" w:line="12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2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3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16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6"/>
                <w:szCs w:val="16"/>
                <w:color w:val="auto"/>
              </w:rPr>
            </w:pPr>
          </w:p>
        </w:tc>
        <w:tc>
          <w:tcPr>
            <w:tcW w:w="11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1,286,900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Exercises</w:t>
            </w:r>
            <w:r>
              <w:rPr>
                <w:rFonts w:ascii="Times New Roman" w:cs="Times New Roman" w:eastAsia="Times New Roman" w:hAnsi="Times New Roman"/>
                <w:sz w:val="22"/>
                <w:szCs w:val="22"/>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Expirations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Options outstanding at December 31, 2023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Options exercisable at December 31,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883,875</w:t>
            </w:r>
          </w:p>
        </w:tc>
        <w:tc>
          <w:tcPr>
            <w:tcW w:w="3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40" w:hanging="137"/>
        <w:spacing w:after="0"/>
        <w:tabs>
          <w:tab w:leader="none" w:pos="14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exercise of 2,000 options settled in cash in accordance with the Company’s Amended and Restated 2000 Long-Term Incentive Plan (“the Plan”).</w:t>
      </w:r>
    </w:p>
    <w:p>
      <w:pPr>
        <w:spacing w:after="0" w:line="18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that would have been received by the option holders had all option holders exercised their exercisable in-the-money stock options on December 31, 2023. The intrinsic value is calculated for each in-the-money stock option as the difference between the closing price of the Company’s common stock on December 31, 2023 and the exercise price.</w:t>
      </w:r>
    </w:p>
    <w:p>
      <w:pPr>
        <w:spacing w:after="0" w:line="165"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No stock options were exercised in the year ended December 31, 2023. The total intrinsic values of those stock options that were exercised in the year ended December 31, 2022 was $0.1 million and in the year ended December 31, 2021 was $0.8 million. The intrinsic value of a stock option that is exercised is calculated at the date of exercise.</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Total unrecognized stock option compensation expense at December 31, 2023, before the effect of income taxes, was $0.4 million and is expected to be recognized over a weighted-average period of 1.6 years.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2023, 2022 and 2021, was $2.61, $5.44 and $6.31,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for these stock options were estimated at the dates of grant using the following weighted-average assumptions: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gridSpan w:val="2"/>
          </w:tcPr>
          <w:p>
            <w:pPr>
              <w:ind w:left="750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6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Historical volatility</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1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4.25 %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3.15 %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2.87 %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restricted stock activity and related information for the three years ended December 31, 2023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0"/>
        </w:trPr>
        <w:tc>
          <w:tcPr>
            <w:tcW w:w="8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30"/>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3"/>
              </w:rPr>
              <w:t>date</w:t>
            </w:r>
          </w:p>
        </w:tc>
        <w:tc>
          <w:tcPr>
            <w:tcW w:w="0" w:type="dxa"/>
            <w:vAlign w:val="bottom"/>
          </w:tcPr>
          <w:p>
            <w:pPr>
              <w:spacing w:after="0"/>
              <w:rPr>
                <w:sz w:val="1"/>
                <w:szCs w:val="1"/>
                <w:color w:val="auto"/>
              </w:rPr>
            </w:pPr>
          </w:p>
        </w:tc>
      </w:tr>
      <w:tr>
        <w:trPr>
          <w:trHeight w:val="187"/>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restricted shares, December 31, 2023</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597,528</w:t>
            </w: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40" w:type="dxa"/>
            <w:vAlign w:val="bottom"/>
            <w:vMerge w:val="continue"/>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3,375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fair value of restricted stock that vested during the year ended December 31, 2023 was $1.2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shares</w:t>
      </w:r>
    </w:p>
    <w:p>
      <w:pPr>
        <w:spacing w:after="0" w:line="118"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performance-based award activity and related information for the three years ended December 31, 2023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30"/>
        </w:trPr>
        <w:tc>
          <w:tcPr>
            <w:tcW w:w="8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78"/>
              <w:spacing w:after="0" w:line="13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7"/>
              <w:spacing w:after="0" w:line="141"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41"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Achieved performance over target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19"/>
        </w:trPr>
        <w:tc>
          <w:tcPr>
            <w:tcW w:w="84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0" w:type="dxa"/>
            <w:vAlign w:val="bottom"/>
          </w:tcPr>
          <w:p>
            <w:pPr>
              <w:spacing w:after="0"/>
              <w:rPr>
                <w:sz w:val="1"/>
                <w:szCs w:val="1"/>
                <w:color w:val="auto"/>
              </w:rPr>
            </w:pPr>
          </w:p>
        </w:tc>
      </w:tr>
      <w:tr>
        <w:trPr>
          <w:trHeight w:val="212"/>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400,302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19"/>
        </w:trPr>
        <w:tc>
          <w:tcPr>
            <w:tcW w:w="844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Achieved performance over target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performance-based awards, December 31, 2023</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486,972</w:t>
            </w:r>
          </w:p>
        </w:tc>
        <w:tc>
          <w:tcPr>
            <w:tcW w:w="3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r>
              <w:rPr>
                <w:rFonts w:ascii="Times New Roman" w:cs="Times New Roman" w:eastAsia="Times New Roman" w:hAnsi="Times New Roman"/>
                <w:sz w:val="22"/>
                <w:szCs w:val="22"/>
                <w:b w:val="1"/>
                <w:bCs w:val="1"/>
                <w:color w:val="auto"/>
                <w:vertAlign w:val="superscript"/>
              </w:rPr>
              <w:t>(4)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4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31, 2022.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Represents the target number of shares to be issued for each performance-based award.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Represents the number of shares earned over target for performance-based awards granted in 2019 based on performance goals attained. These awards vested in the three months ended March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Represents the number of shares earned over target for performance-based awards granted in 2020 based on performance goals attained. These awards vested in the three months ended March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performance metrics for the performance-based awards granted in 2022 are not probable of achievement. No compensation expense was recorded in 2022 or in 2023.</w:t>
      </w:r>
    </w:p>
    <w:p>
      <w:pPr>
        <w:spacing w:after="0" w:line="200" w:lineRule="exact"/>
        <w:rPr>
          <w:sz w:val="20"/>
          <w:szCs w:val="20"/>
          <w:color w:val="auto"/>
        </w:rPr>
      </w:pPr>
    </w:p>
    <w:p>
      <w:pPr>
        <w:sectPr>
          <w:pgSz w:w="11900" w:h="16838" w:orient="portrait"/>
          <w:cols w:equalWidth="0" w:num="2">
            <w:col w:w="520" w:space="80"/>
            <w:col w:w="10640"/>
          </w:cols>
          <w:pgMar w:left="320" w:top="119"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fair value of performance-based awards that vested during the year ended December 31, 2023 was $0.7 million.</w:t>
      </w:r>
    </w:p>
    <w:p>
      <w:pPr>
        <w:spacing w:after="0" w:line="21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On March 8, 2024, the Compensation Committee of the Board of Directors determined the performance goals set forth in the performance-based awards granted in 2021 were attained and 152,188 shares vested.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Cash-settled performance-based awards</w:t>
      </w:r>
    </w:p>
    <w:p>
      <w:pPr>
        <w:spacing w:after="0" w:line="1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cash-settled performance-based awards activity and related information for the year ended December 31, 2023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Cash-settled</w:t>
            </w: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55"/>
        </w:trPr>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center"/>
              <w:ind w:right="420"/>
              <w:spacing w:after="0" w:line="155" w:lineRule="exact"/>
              <w:rPr>
                <w:sz w:val="20"/>
                <w:szCs w:val="20"/>
                <w:color w:val="auto"/>
              </w:rPr>
            </w:pPr>
            <w:r>
              <w:rPr>
                <w:rFonts w:ascii="Times New Roman" w:cs="Times New Roman" w:eastAsia="Times New Roman" w:hAnsi="Times New Roman"/>
                <w:sz w:val="15"/>
                <w:szCs w:val="15"/>
                <w:b w:val="1"/>
                <w:bCs w:val="1"/>
                <w:color w:val="auto"/>
              </w:rPr>
              <w:t>performance-based</w:t>
            </w:r>
          </w:p>
        </w:tc>
        <w:tc>
          <w:tcPr>
            <w:tcW w:w="1180" w:type="dxa"/>
            <w:vAlign w:val="bottom"/>
          </w:tcPr>
          <w:p>
            <w:pPr>
              <w:jc w:val="center"/>
              <w:ind w:right="103"/>
              <w:spacing w:after="0" w:line="155" w:lineRule="exact"/>
              <w:rPr>
                <w:sz w:val="20"/>
                <w:szCs w:val="20"/>
                <w:color w:val="auto"/>
              </w:rPr>
            </w:pPr>
            <w:r>
              <w:rPr>
                <w:rFonts w:ascii="Times New Roman" w:cs="Times New Roman" w:eastAsia="Times New Roman" w:hAnsi="Times New Roman"/>
                <w:sz w:val="15"/>
                <w:szCs w:val="15"/>
                <w:b w:val="1"/>
                <w:bCs w:val="1"/>
                <w:color w:val="auto"/>
              </w:rPr>
              <w:t>average fair</w:t>
            </w:r>
          </w:p>
        </w:tc>
      </w:tr>
      <w:tr>
        <w:trPr>
          <w:trHeight w:val="206"/>
        </w:trPr>
        <w:tc>
          <w:tcPr>
            <w:tcW w:w="7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3"/>
              <w:spacing w:after="0" w:line="207" w:lineRule="exact"/>
              <w:rPr>
                <w:sz w:val="20"/>
                <w:szCs w:val="20"/>
                <w:color w:val="auto"/>
              </w:rPr>
            </w:pPr>
            <w:r>
              <w:rPr>
                <w:rFonts w:ascii="Times New Roman" w:cs="Times New Roman" w:eastAsia="Times New Roman" w:hAnsi="Times New Roman"/>
                <w:sz w:val="15"/>
                <w:szCs w:val="15"/>
                <w:b w:val="1"/>
                <w:bCs w:val="1"/>
                <w:color w:val="auto"/>
                <w:w w:val="96"/>
              </w:rPr>
              <w:t xml:space="preserve">awards </w:t>
            </w:r>
            <w:r>
              <w:rPr>
                <w:rFonts w:ascii="Times New Roman" w:cs="Times New Roman" w:eastAsia="Times New Roman" w:hAnsi="Times New Roman"/>
                <w:sz w:val="20"/>
                <w:szCs w:val="20"/>
                <w:b w:val="1"/>
                <w:bCs w:val="1"/>
                <w:color w:val="auto"/>
                <w:w w:val="96"/>
                <w:vertAlign w:val="superscript"/>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value</w:t>
            </w: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cash-settled performance-based awards, January 1, 2022</w:t>
            </w:r>
          </w:p>
        </w:tc>
        <w:tc>
          <w:tcPr>
            <w:tcW w:w="1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9"/>
        </w:trPr>
        <w:tc>
          <w:tcPr>
            <w:tcW w:w="7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w:t>
            </w:r>
          </w:p>
        </w:tc>
      </w:tr>
      <w:tr>
        <w:trPr>
          <w:trHeight w:val="219"/>
        </w:trPr>
        <w:tc>
          <w:tcPr>
            <w:tcW w:w="7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w:t>
            </w: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cash-settled performance-based awards, December 31, 2022</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7.59</w:t>
            </w:r>
          </w:p>
        </w:tc>
      </w:tr>
      <w:tr>
        <w:trPr>
          <w:trHeight w:val="219"/>
        </w:trPr>
        <w:tc>
          <w:tcPr>
            <w:tcW w:w="7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Cancellations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w:t>
            </w:r>
          </w:p>
        </w:tc>
      </w:tr>
      <w:tr>
        <w:trPr>
          <w:trHeight w:val="19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cash-settled performance-based awards, December 31, 2023</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83,611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98"/>
        </w:trPr>
        <w:tc>
          <w:tcPr>
            <w:tcW w:w="76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7"/>
                <w:szCs w:val="17"/>
                <w:b w:val="1"/>
                <w:bCs w:val="1"/>
                <w:color w:val="auto"/>
              </w:rPr>
              <w:t>Total unrecognized compensation expense remaining (in thousands)</w:t>
            </w:r>
            <w:r>
              <w:rPr>
                <w:rFonts w:ascii="Times New Roman" w:cs="Times New Roman" w:eastAsia="Times New Roman" w:hAnsi="Times New Roman"/>
                <w:sz w:val="22"/>
                <w:szCs w:val="22"/>
                <w:b w:val="1"/>
                <w:bCs w:val="1"/>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spacing w:after="0"/>
              <w:rPr>
                <w:sz w:val="17"/>
                <w:szCs w:val="17"/>
                <w:color w:val="auto"/>
              </w:rPr>
            </w:pPr>
          </w:p>
        </w:tc>
      </w:tr>
      <w:tr>
        <w:trPr>
          <w:trHeight w:val="227"/>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years expected to be recognized over</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96" w:lineRule="exact"/>
        <w:rPr>
          <w:sz w:val="20"/>
          <w:szCs w:val="20"/>
          <w:color w:val="auto"/>
        </w:rPr>
      </w:pPr>
    </w:p>
    <w:p>
      <w:pPr>
        <w:ind w:left="140" w:hanging="137"/>
        <w:spacing w:after="0"/>
        <w:tabs>
          <w:tab w:leader="none" w:pos="140"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target number of units to be settled in cash.</w:t>
      </w:r>
    </w:p>
    <w:p>
      <w:pPr>
        <w:spacing w:after="0" w:line="41" w:lineRule="exact"/>
        <w:rPr>
          <w:rFonts w:ascii="Times New Roman" w:cs="Times New Roman" w:eastAsia="Times New Roman" w:hAnsi="Times New Roman"/>
          <w:sz w:val="17"/>
          <w:szCs w:val="17"/>
          <w:color w:val="auto"/>
          <w:vertAlign w:val="superscript"/>
        </w:rPr>
      </w:pPr>
    </w:p>
    <w:p>
      <w:pPr>
        <w:ind w:left="160" w:hanging="157"/>
        <w:spacing w:after="0" w:line="180" w:lineRule="auto"/>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performance metric for the cash-settled performance-based awards granted in 2022 is not probable of achievement. No compensation expense was recorded in 2022 or in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stock compensation expense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
        </w:trPr>
        <w:tc>
          <w:tcPr>
            <w:tcW w:w="46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Compensation Expense Components</w:t>
            </w:r>
          </w:p>
        </w:tc>
        <w:tc>
          <w:tcPr>
            <w:tcW w:w="2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7"/>
                <w:szCs w:val="17"/>
                <w:color w:val="auto"/>
              </w:rPr>
            </w:pP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based stock option expense</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680" w:type="dxa"/>
            <w:vAlign w:val="bottom"/>
          </w:tcPr>
          <w:p>
            <w:pPr>
              <w:spacing w:after="0"/>
              <w:rPr>
                <w:sz w:val="17"/>
                <w:szCs w:val="17"/>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and performance-based stock awards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4,787</w:t>
            </w:r>
          </w:p>
        </w:tc>
        <w:tc>
          <w:tcPr>
            <w:tcW w:w="680" w:type="dxa"/>
            <w:vAlign w:val="bottom"/>
          </w:tcPr>
          <w:p>
            <w:pPr>
              <w:spacing w:after="0"/>
              <w:rPr>
                <w:sz w:val="19"/>
                <w:szCs w:val="19"/>
                <w:color w:val="auto"/>
              </w:rPr>
            </w:pP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 compensation expense for equity based awards</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3,861</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5,204</w:t>
            </w:r>
          </w:p>
        </w:tc>
        <w:tc>
          <w:tcPr>
            <w:tcW w:w="680" w:type="dxa"/>
            <w:vAlign w:val="bottom"/>
          </w:tcPr>
          <w:p>
            <w:pPr>
              <w:spacing w:after="0"/>
              <w:rPr>
                <w:sz w:val="17"/>
                <w:szCs w:val="17"/>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based stock option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680" w:type="dxa"/>
            <w:vAlign w:val="bottom"/>
          </w:tcPr>
          <w:p>
            <w:pPr>
              <w:spacing w:after="0"/>
              <w:rPr>
                <w:sz w:val="19"/>
                <w:szCs w:val="19"/>
                <w:color w:val="auto"/>
              </w:rPr>
            </w:pP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 Compensation Expense</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3,846</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68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701"/>
        </w:trPr>
        <w:tc>
          <w:tcPr>
            <w:tcW w:w="4680" w:type="dxa"/>
            <w:vAlign w:val="bottom"/>
          </w:tcPr>
          <w:p>
            <w:pPr>
              <w:spacing w:after="0"/>
              <w:rPr>
                <w:sz w:val="24"/>
                <w:szCs w:val="24"/>
                <w:color w:val="auto"/>
              </w:rPr>
            </w:pPr>
          </w:p>
        </w:tc>
        <w:tc>
          <w:tcPr>
            <w:tcW w:w="2380" w:type="dxa"/>
            <w:vAlign w:val="bottom"/>
            <w:gridSpan w:val="2"/>
          </w:tcPr>
          <w:p>
            <w:pPr>
              <w:jc w:val="right"/>
              <w:ind w:right="12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46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(LOSS) INCOME PER COMMON SHARE</w:t>
      </w:r>
    </w:p>
    <w:p>
      <w:pPr>
        <w:spacing w:after="0" w:line="1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Basic (loss) income per common share has been computed by dividing net (loss) income by the weighted-average number of shares of the Company’s common stock outstanding.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calculations of basic and diluted (loss) income per common share for the years ended December 31, 2023, 2022 and 2021,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(in thousands - except per share amounts)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income – Basic and Diluted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20,801</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 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21,397</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dilutive securities: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 and other stock awards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37"/>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 Diluted</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Basic (loss) income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26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(loss) income per common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Antidilutive shares </w:t>
            </w:r>
            <w:r>
              <w:rPr>
                <w:rFonts w:ascii="Times New Roman" w:cs="Times New Roman" w:eastAsia="Times New Roman" w:hAnsi="Times New Roman"/>
                <w:sz w:val="22"/>
                <w:szCs w:val="22"/>
                <w:b w:val="1"/>
                <w:bCs w:val="1"/>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20" w:hanging="117"/>
        <w:spacing w:after="0"/>
        <w:tabs>
          <w:tab w:leader="none" w:pos="120" w:val="left"/>
        </w:tabs>
        <w:numPr>
          <w:ilvl w:val="0"/>
          <w:numId w:val="3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Stock options and other stock awards that have been excluded from the denominator as their inclusion would have been anti-dilutive.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income before income taxes and equity in (losses) earnings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61,045</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(11,659)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(24,665)</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before income taxes and equity in earnings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provision for income taxes (before equity in (losses) earnings) consists of:</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6,890</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10,361</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State and local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0" w:type="dxa"/>
            <w:vAlign w:val="bottom"/>
          </w:tcPr>
          <w:p>
            <w:pPr>
              <w:spacing w:after="0"/>
              <w:rPr>
                <w:sz w:val="1"/>
                <w:szCs w:val="1"/>
                <w:color w:val="auto"/>
              </w:rPr>
            </w:pP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0" w:type="dxa"/>
            <w:vAlign w:val="bottom"/>
          </w:tcPr>
          <w:p>
            <w:pPr>
              <w:spacing w:after="0"/>
              <w:rPr>
                <w:sz w:val="1"/>
                <w:szCs w:val="1"/>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16,541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Tax Cuts and Jobs Act of 2017, research and development costs are no longer fully deductible and are required to be capitalized and amortized for U.S.</w:t>
      </w:r>
    </w:p>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tax purposes effective for tax years beginning after December 31, 2021. The mandatory capitalization requirement increases the Company’s deferred tax assets and income tax payable.</w:t>
      </w:r>
    </w:p>
    <w:p>
      <w:pPr>
        <w:spacing w:after="0" w:line="1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assets and (liabilities)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22,814</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options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3,134</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loss carryforwards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17,450</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allowances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Environmental remediation accrual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w:t>
            </w: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research and experimental expenditures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r>
      <w:tr>
        <w:trPr>
          <w:trHeight w:val="212"/>
        </w:trPr>
        <w:tc>
          <w:tcPr>
            <w:tcW w:w="86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57,236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53,553</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8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Deferred income tax liabilities: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(18,872)</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Fixed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w:t>
            </w: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Intangibles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(26,230)</w:t>
            </w:r>
          </w:p>
        </w:tc>
      </w:tr>
      <w:tr>
        <w:trPr>
          <w:trHeight w:val="212"/>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(46,837)</w:t>
            </w: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6,716</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(16,323)</w:t>
            </w: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(9,607)</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has capital loss carryforwards of $7.2 million in foreign jurisdictions and $0.9 million in the U.S. federal jurisdiction at December 31, 2023 that are offset entirely by a valuation allowance.</w:t>
      </w:r>
    </w:p>
    <w:p>
      <w:pPr>
        <w:spacing w:after="0" w:line="15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Company has net operating losses in foreign jurisdictions of $75.9 million and $12.1 million in state jurisdictions at December 31, 2023 that are offset entirely by a valuation allowance. The foreign net operating losses can be carried forward indefinitely. The state net operating losses begin to expire in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(before equity in (losses) earnings) differs from the amounts computed by applying the applicable federal statutory rates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50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4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top w:val="single" w:sz="8" w:color="auto"/>
            </w:tcBorders>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18"/>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taxes at the statutory rate</w:t>
            </w:r>
          </w:p>
        </w:tc>
        <w:tc>
          <w:tcPr>
            <w:tcW w:w="19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20" w:type="dxa"/>
            <w:vAlign w:val="bottom"/>
          </w:tcPr>
          <w:p>
            <w:pPr>
              <w:spacing w:after="0"/>
              <w:rPr>
                <w:sz w:val="18"/>
                <w:szCs w:val="18"/>
                <w:color w:val="auto"/>
              </w:rPr>
            </w:pP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(decreases):</w:t>
            </w:r>
          </w:p>
        </w:tc>
        <w:tc>
          <w:tcPr>
            <w:tcW w:w="1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State and local income taxes, net of Federal income tax benefit</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w:t>
            </w:r>
          </w:p>
        </w:tc>
        <w:tc>
          <w:tcPr>
            <w:tcW w:w="1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9"/>
                <w:szCs w:val="19"/>
                <w:color w:val="auto"/>
              </w:rPr>
            </w:pPr>
          </w:p>
        </w:tc>
      </w:tr>
      <w:tr>
        <w:trPr>
          <w:trHeight w:val="219"/>
        </w:trPr>
        <w:tc>
          <w:tcPr>
            <w:tcW w:w="5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rate differences</w:t>
            </w:r>
          </w:p>
        </w:tc>
        <w:tc>
          <w:tcPr>
            <w:tcW w:w="3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(19.7)</w:t>
            </w:r>
          </w:p>
        </w:tc>
        <w:tc>
          <w:tcPr>
            <w:tcW w:w="14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19"/>
                <w:szCs w:val="19"/>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withholding tax</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w:t>
            </w:r>
          </w:p>
        </w:tc>
        <w:tc>
          <w:tcPr>
            <w:tcW w:w="1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9"/>
                <w:szCs w:val="19"/>
                <w:color w:val="auto"/>
              </w:rPr>
            </w:pPr>
          </w:p>
        </w:tc>
      </w:tr>
      <w:tr>
        <w:trPr>
          <w:trHeight w:val="219"/>
        </w:trPr>
        <w:tc>
          <w:tcPr>
            <w:tcW w:w="5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Non-deductible expenses</w:t>
            </w:r>
          </w:p>
        </w:tc>
        <w:tc>
          <w:tcPr>
            <w:tcW w:w="3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7.9</w:t>
            </w:r>
          </w:p>
        </w:tc>
        <w:tc>
          <w:tcPr>
            <w:tcW w:w="14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9"/>
                <w:szCs w:val="19"/>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Uncertain tax positions</w:t>
            </w:r>
          </w:p>
        </w:tc>
        <w:tc>
          <w:tcPr>
            <w:tcW w:w="3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(0.9)</w:t>
            </w:r>
          </w:p>
        </w:tc>
        <w:tc>
          <w:tcPr>
            <w:tcW w:w="1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tcPr>
          <w:p>
            <w:pPr>
              <w:spacing w:after="0"/>
              <w:rPr>
                <w:sz w:val="19"/>
                <w:szCs w:val="19"/>
                <w:color w:val="auto"/>
              </w:rPr>
            </w:pPr>
          </w:p>
        </w:tc>
      </w:tr>
      <w:tr>
        <w:trPr>
          <w:trHeight w:val="219"/>
        </w:trPr>
        <w:tc>
          <w:tcPr>
            <w:tcW w:w="5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3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14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9"/>
                <w:szCs w:val="19"/>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Federal return to provision</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0.7</w:t>
            </w:r>
          </w:p>
        </w:tc>
        <w:tc>
          <w:tcPr>
            <w:tcW w:w="14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9"/>
                <w:szCs w:val="19"/>
                <w:color w:val="auto"/>
              </w:rPr>
            </w:pPr>
          </w:p>
        </w:tc>
      </w:tr>
      <w:tr>
        <w:trPr>
          <w:trHeight w:val="219"/>
        </w:trPr>
        <w:tc>
          <w:tcPr>
            <w:tcW w:w="50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3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w:t>
            </w:r>
          </w:p>
        </w:tc>
        <w:tc>
          <w:tcPr>
            <w:tcW w:w="14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(0.6)</w:t>
            </w:r>
          </w:p>
        </w:tc>
        <w:tc>
          <w:tcPr>
            <w:tcW w:w="20" w:type="dxa"/>
            <w:vAlign w:val="bottom"/>
          </w:tcPr>
          <w:p>
            <w:pPr>
              <w:spacing w:after="0"/>
              <w:rPr>
                <w:sz w:val="19"/>
                <w:szCs w:val="19"/>
                <w:color w:val="auto"/>
              </w:rPr>
            </w:pPr>
          </w:p>
        </w:tc>
      </w:tr>
      <w:tr>
        <w:trPr>
          <w:trHeight w:val="219"/>
        </w:trPr>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Valuation Allowance</w:t>
            </w:r>
          </w:p>
        </w:tc>
        <w:tc>
          <w:tcPr>
            <w:tcW w:w="3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37.2</w:t>
            </w:r>
          </w:p>
        </w:tc>
        <w:tc>
          <w:tcPr>
            <w:tcW w:w="1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22.4</w:t>
            </w:r>
          </w:p>
        </w:tc>
        <w:tc>
          <w:tcPr>
            <w:tcW w:w="20" w:type="dxa"/>
            <w:vAlign w:val="bottom"/>
          </w:tcPr>
          <w:p>
            <w:pPr>
              <w:spacing w:after="0"/>
              <w:rPr>
                <w:sz w:val="19"/>
                <w:szCs w:val="19"/>
                <w:color w:val="auto"/>
              </w:rPr>
            </w:pP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9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45.5 %</w:t>
            </w: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8"/>
        </w:trPr>
        <w:tc>
          <w:tcPr>
            <w:tcW w:w="5060" w:type="dxa"/>
            <w:vAlign w:val="bottom"/>
          </w:tcPr>
          <w:p>
            <w:pPr>
              <w:spacing w:after="0"/>
              <w:rPr>
                <w:sz w:val="24"/>
                <w:szCs w:val="24"/>
                <w:color w:val="auto"/>
              </w:rPr>
            </w:pPr>
          </w:p>
        </w:tc>
        <w:tc>
          <w:tcPr>
            <w:tcW w:w="3240" w:type="dxa"/>
            <w:vAlign w:val="bottom"/>
            <w:gridSpan w:val="2"/>
          </w:tcPr>
          <w:p>
            <w:pPr>
              <w:jc w:val="right"/>
              <w:ind w:right="244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0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values of the Company’s gross uncertain tax positions at December 31, 2023, 2022 and 2021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w:t>
            </w: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Reductions for tax position of prior years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The Company had approximately $0.4 million, net of federal and state tax benefit, accrued at December 31, 2023 and 2022, for the payment of interest and penalties. The Company’s policy for recording interest and penalties is to record such items as a component of the provision for income taxes.</w:t>
      </w:r>
    </w:p>
    <w:p>
      <w:pPr>
        <w:spacing w:after="0" w:line="15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If the Company’s tax positions are ultimately sustained, the Company’s liability, including interest, would be reduced by $1.5 million, all of which would impact the Company’s tax provision. On a quarterly basis, the Company evaluates its tax positions and revises its estimates accordingly. The Company believes that it is reasonably possible that an immaterial amount of its tax positions will be resolved within the next 12 months.</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is no longer subject to U.S. Federal income tax examinations for the years prior to 2020, except for examination in tax year 2017 related to Transition Tax. The Company has identified the following jurisdictions as “major” tax jurisdictions: U.S. Federal, California, Massachusetts, New Jersey, New York, and the United Kingdom. At December 31, 2023, the periods subject to examination by the Company’s major state jurisdictions, except for New York State (which has been audited through 2019), are generally for the years ended 2019 through 2022. In certain jurisdictions, Filament may have additional periods subject to examination. As of December 31, 2023, there are no material assessments in any given year.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BUSINESS SEGMENTS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633,079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669,179</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770,633</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92,291</w:t>
            </w:r>
          </w:p>
        </w:tc>
        <w:tc>
          <w:tcPr>
            <w:tcW w:w="0" w:type="dxa"/>
            <w:vAlign w:val="bottom"/>
          </w:tcPr>
          <w:p>
            <w:pPr>
              <w:spacing w:after="0"/>
              <w:rPr>
                <w:sz w:val="1"/>
                <w:szCs w:val="1"/>
                <w:color w:val="auto"/>
              </w:rPr>
            </w:pPr>
          </w:p>
        </w:tc>
      </w:tr>
      <w:tr>
        <w:trPr>
          <w:trHeight w:val="212"/>
        </w:trPr>
        <w:tc>
          <w:tcPr>
            <w:tcW w:w="7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net sales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727,662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862,924</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U.S. </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61,479</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100,336</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(25,051)</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320"/>
              <w:spacing w:after="0" w:line="219" w:lineRule="exact"/>
              <w:rPr>
                <w:sz w:val="20"/>
                <w:szCs w:val="20"/>
                <w:color w:val="auto"/>
              </w:rPr>
            </w:pPr>
            <w:r>
              <w:rPr>
                <w:rFonts w:ascii="Times New Roman" w:cs="Times New Roman" w:eastAsia="Times New Roman" w:hAnsi="Times New Roman"/>
                <w:sz w:val="17"/>
                <w:szCs w:val="17"/>
                <w:color w:val="auto"/>
              </w:rPr>
              <w:t xml:space="preserve">Unallocated corporate expenses </w:t>
            </w:r>
            <w:r>
              <w:rPr>
                <w:rFonts w:ascii="Times New Roman" w:cs="Times New Roman" w:eastAsia="Times New Roman" w:hAnsi="Times New Roman"/>
                <w:sz w:val="22"/>
                <w:szCs w:val="22"/>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18,504</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80" w:hanging="457"/>
        <w:spacing w:after="0" w:line="217" w:lineRule="auto"/>
        <w:tabs>
          <w:tab w:leader="none" w:pos="448"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2022, income from operations includes restructuring expenses of $0.4 million for the U.S. segment and $0.4 million for the International segment, as described in NOTE 1 — SIGNIFICANT ACCOUNTING POLICIES.</w:t>
      </w:r>
    </w:p>
    <w:p>
      <w:pPr>
        <w:spacing w:after="0" w:line="41" w:lineRule="exact"/>
        <w:rPr>
          <w:rFonts w:ascii="Times New Roman" w:cs="Times New Roman" w:eastAsia="Times New Roman" w:hAnsi="Times New Roman"/>
          <w:sz w:val="18"/>
          <w:szCs w:val="18"/>
          <w:color w:val="auto"/>
          <w:vertAlign w:val="superscript"/>
        </w:rPr>
      </w:pPr>
    </w:p>
    <w:p>
      <w:pPr>
        <w:ind w:left="460" w:hanging="457"/>
        <w:spacing w:after="0"/>
        <w:tabs>
          <w:tab w:leader="none" w:pos="4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2021, the Company recognized non-cash impairment charges of $14.8 million related to the international segment as described in NOTE 7 — GOODWILL AND INTANGIBLE ASSETS.</w:t>
      </w:r>
    </w:p>
    <w:p>
      <w:pPr>
        <w:spacing w:after="0" w:line="58" w:lineRule="exact"/>
        <w:rPr>
          <w:rFonts w:ascii="Times New Roman" w:cs="Times New Roman" w:eastAsia="Times New Roman" w:hAnsi="Times New Roman"/>
          <w:sz w:val="9"/>
          <w:szCs w:val="9"/>
          <w:color w:val="auto"/>
        </w:rPr>
      </w:pPr>
    </w:p>
    <w:p>
      <w:pPr>
        <w:ind w:left="460" w:hanging="457"/>
        <w:spacing w:after="0" w:line="233" w:lineRule="auto"/>
        <w:tabs>
          <w:tab w:leader="none" w:pos="448"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recognized expenses of $5.1 million and $0.5 million in 2022 and 2021, respectively, for estimated remediation costs related to the Wallace EPA Matter, as described in NOTE 14 — COMMITMENTS AND CONTINGENCIES. In 2023 and 2022, the Company recognized $0.8 million and $0.6 million, respectively, of restructuring expenses within unallocated corporate expenses, as described in NOTE 1 — SIGNIFICANT ACCOUNTING POLICIES.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560,716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608,496</w:t>
            </w: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90,237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93,794</w:t>
            </w:r>
          </w:p>
        </w:tc>
      </w:tr>
      <w:tr>
        <w:trPr>
          <w:trHeight w:val="219"/>
        </w:trPr>
        <w:tc>
          <w:tcPr>
            <w:tcW w:w="8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Unallocated corporate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16,189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23,598</w:t>
            </w:r>
          </w:p>
        </w:tc>
      </w:tr>
      <w:tr>
        <w:trPr>
          <w:trHeight w:val="237"/>
        </w:trPr>
        <w:tc>
          <w:tcPr>
            <w:tcW w:w="8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667,142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725,888</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27940</wp:posOffset>
            </wp:positionV>
            <wp:extent cx="16535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5" w:lineRule="exact"/>
        <w:rPr>
          <w:sz w:val="20"/>
          <w:szCs w:val="20"/>
          <w:color w:val="auto"/>
        </w:rPr>
      </w:pPr>
    </w:p>
    <w:p>
      <w:pPr>
        <w:ind w:left="912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27940</wp:posOffset>
            </wp:positionV>
            <wp:extent cx="16535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Beginning balance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30,271</w:t>
            </w:r>
          </w:p>
        </w:tc>
        <w:tc>
          <w:tcPr>
            <w:tcW w:w="0" w:type="dxa"/>
            <w:vAlign w:val="bottom"/>
          </w:tcPr>
          <w:p>
            <w:pPr>
              <w:spacing w:after="0"/>
              <w:rPr>
                <w:sz w:val="1"/>
                <w:szCs w:val="1"/>
                <w:color w:val="auto"/>
              </w:rPr>
            </w:pPr>
          </w:p>
        </w:tc>
      </w:tr>
      <w:tr>
        <w:trPr>
          <w:trHeight w:val="219"/>
        </w:trPr>
        <w:tc>
          <w:tcPr>
            <w:tcW w:w="86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Acquisition activity</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0" w:type="dxa"/>
            <w:vAlign w:val="bottom"/>
          </w:tcPr>
          <w:p>
            <w:pPr>
              <w:spacing w:after="0"/>
              <w:rPr>
                <w:sz w:val="1"/>
                <w:szCs w:val="1"/>
                <w:color w:val="auto"/>
              </w:rPr>
            </w:pPr>
          </w:p>
        </w:tc>
      </w:tr>
      <w:tr>
        <w:trPr>
          <w:trHeight w:val="237"/>
        </w:trPr>
        <w:tc>
          <w:tcPr>
            <w:tcW w:w="86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goodwill</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Geographical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sets forth long-lived assets by the major geographic locations: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Long-lived assets, excluding intangible assets, at period-end: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66,341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75,308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Mexico</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0" w:type="dxa"/>
            <w:vAlign w:val="bottom"/>
          </w:tcPr>
          <w:p>
            <w:pPr>
              <w:spacing w:after="0"/>
              <w:rPr>
                <w:sz w:val="1"/>
                <w:szCs w:val="1"/>
                <w:color w:val="auto"/>
              </w:rPr>
            </w:pPr>
          </w:p>
        </w:tc>
      </w:tr>
      <w:tr>
        <w:trPr>
          <w:trHeight w:val="219"/>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United Kingdom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0" w:type="dxa"/>
            <w:vAlign w:val="bottom"/>
          </w:tcPr>
          <w:p>
            <w:pPr>
              <w:spacing w:after="0"/>
              <w:rPr>
                <w:sz w:val="1"/>
                <w:szCs w:val="1"/>
                <w:color w:val="auto"/>
              </w:rPr>
            </w:pPr>
          </w:p>
        </w:tc>
      </w:tr>
      <w:tr>
        <w:trPr>
          <w:trHeight w:val="212"/>
        </w:trPr>
        <w:tc>
          <w:tcPr>
            <w:tcW w:w="86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91,654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111,745</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Royalties</w:t>
      </w:r>
    </w:p>
    <w:p>
      <w:pPr>
        <w:spacing w:after="0" w:line="118" w:lineRule="exact"/>
        <w:rPr>
          <w:sz w:val="20"/>
          <w:szCs w:val="20"/>
          <w:color w:val="auto"/>
        </w:rPr>
      </w:pPr>
    </w:p>
    <w:p>
      <w:pPr>
        <w:ind w:right="520"/>
        <w:spacing w:after="0" w:line="272" w:lineRule="auto"/>
        <w:rPr>
          <w:sz w:val="20"/>
          <w:szCs w:val="20"/>
          <w:color w:val="auto"/>
        </w:rPr>
      </w:pPr>
      <w:r>
        <w:rPr>
          <w:rFonts w:ascii="Times New Roman" w:cs="Times New Roman" w:eastAsia="Times New Roman" w:hAnsi="Times New Roman"/>
          <w:sz w:val="17"/>
          <w:szCs w:val="17"/>
          <w:color w:val="auto"/>
        </w:rPr>
        <w:t>The Company has license agreements that require the payment of minimum royalties on sales of licensed products. The estimated future minimum royalties payable under the noncancellable term of these agreements are as follows (in thousands):</w:t>
      </w:r>
    </w:p>
    <w:tbl>
      <w:tblPr>
        <w:tblLayout w:type="fixed"/>
        <w:tblInd w:w="0" w:type="dxa"/>
        <w:tblCellMar>
          <w:top w:w="0" w:type="dxa"/>
          <w:left w:w="0" w:type="dxa"/>
          <w:bottom w:w="0" w:type="dxa"/>
          <w:right w:w="0" w:type="dxa"/>
        </w:tblCellMar>
      </w:tblPr>
      <w:tr>
        <w:trPr>
          <w:trHeight w:val="18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
        </w:trPr>
        <w:tc>
          <w:tcPr>
            <w:tcW w:w="10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8,116</w:t>
            </w:r>
          </w:p>
        </w:tc>
      </w:tr>
      <w:tr>
        <w:trPr>
          <w:trHeight w:val="219"/>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37"/>
        </w:trPr>
        <w:tc>
          <w:tcPr>
            <w:tcW w:w="10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8,266</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Wallace EPA Matter</w:t>
      </w:r>
    </w:p>
    <w:p>
      <w:pPr>
        <w:spacing w:after="0" w:line="11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contamination at and from the Site and to determine the nature of the remedial action needed to address the contamination. The EPA requested access to the property occupied by WSPR to install monitoring wells and to undertake groundwater sampling as part of this expanded investigation. WSPR consented to the EPA’s access request, provided that the EPA received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spacing w:after="0" w:line="17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(“Consent Decree”). On July 26, 2023, the U.S. Government filed a complaint in United States District Court for the District of Puerto Rico for the purpose of seeking judicial approval of the Consent Decree. As required by applicable regulations, the U.S. Government simultaneously lodged the Consent Decree for public comment. No comments were received during the public comment period. On September 6, 2023, at the conclusion of the public comment period, the U.S. Government filed a Motion to Enter the Consent Decree, which the court granted on December 1, 2023, thereby effectuating the Consent Decree.</w:t>
      </w:r>
    </w:p>
    <w:p>
      <w:pPr>
        <w:spacing w:after="0" w:line="17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Customs and Border Protection Matter</w:t>
      </w:r>
    </w:p>
    <w:p>
      <w:pPr>
        <w:spacing w:after="0" w:line="11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17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spacing w:after="0" w:line="37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Because the period of investigation covers a five-year period, the Company is compiling supporting documentation packages for all tableware collections imported during this period.</w:t>
      </w:r>
    </w:p>
    <w:p>
      <w:pPr>
        <w:spacing w:after="0" w:line="151" w:lineRule="exact"/>
        <w:rPr>
          <w:sz w:val="20"/>
          <w:szCs w:val="20"/>
          <w:color w:val="auto"/>
        </w:rPr>
      </w:pPr>
    </w:p>
    <w:p>
      <w:pPr>
        <w:ind w:right="2000"/>
        <w:spacing w:after="0" w:line="263" w:lineRule="auto"/>
        <w:rPr>
          <w:sz w:val="20"/>
          <w:szCs w:val="20"/>
          <w:color w:val="auto"/>
        </w:rPr>
      </w:pPr>
      <w:r>
        <w:rPr>
          <w:rFonts w:ascii="Times New Roman" w:cs="Times New Roman" w:eastAsia="Times New Roman" w:hAnsi="Times New Roman"/>
          <w:sz w:val="17"/>
          <w:szCs w:val="17"/>
          <w:color w:val="auto"/>
        </w:rPr>
        <w:t>In the event CBP accepts the evidence presented, then no additional duties or penalties will be owed. If CBP rejects the Company’s position, then the estimated amount of duties that could be owed is $0.5 million. In such event, it is reasonably possible that additional</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penalties could be assessed, depending upon the level of culpability found, of up to $0.9 million for negligence and up to $1.8 million for gross negligence. In the event penalties are assessed, the Company will have the opportunity to further contest CBP’s findings and seek cancellation or mitigation of such assessments.</w:t>
      </w:r>
    </w:p>
    <w:p>
      <w:pPr>
        <w:spacing w:after="0" w:line="37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w:t>
      </w:r>
    </w:p>
    <w:p>
      <w:pPr>
        <w:spacing w:after="0" w:line="11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RETIREMENT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plan and other defined contribution plans</w:t>
      </w:r>
    </w:p>
    <w:p>
      <w:pPr>
        <w:spacing w:after="0" w:line="118"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The Company maintains a defined contribution retirement plan for eligible employees under Section 401(k) of the Internal Revenue Code. Participants can make voluntary contributions up to the Internal Revenue Service limit of $22,500 ($30,000 for employees 50 years old or over) for 2023. The Company suspended its matching contribution in 2009 as an expense savings measure. The Company’s United Kingdom-based subsidiary, Lifetime Brands Europe Limited, maintains a defined contribution pension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benefit obligations</w:t>
      </w:r>
    </w:p>
    <w:p>
      <w:pPr>
        <w:spacing w:after="0" w:line="118"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The Company assumed retirement benefit obligations, which are paid to certain former executives of a business acquired in 2006. The obligations under the agreements with these former executives are unfunded and amounted to $5.6 million at December 31, 2023 and $5.7 million at December 31, 2022.</w:t>
      </w:r>
    </w:p>
    <w:p>
      <w:pPr>
        <w:spacing w:after="0" w:line="15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discount rate used to calculate the retirement benefit obligations was 4.66% at December 31, 2023 and 4.89% at December 31, 2022. The retirement benefit obligations are included in accrued expenses and other long-term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expects to recognize $0.1 million of actuarial losses included in accumulated other comprehensive loss in net periodic benefit cost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jc w:val="center"/>
              <w:ind w:left="2534"/>
              <w:spacing w:after="0"/>
              <w:rPr>
                <w:sz w:val="20"/>
                <w:szCs w:val="20"/>
                <w:color w:val="auto"/>
              </w:rPr>
            </w:pPr>
            <w:r>
              <w:rPr>
                <w:rFonts w:ascii="Times New Roman" w:cs="Times New Roman" w:eastAsia="Times New Roman" w:hAnsi="Times New Roman"/>
                <w:sz w:val="17"/>
                <w:szCs w:val="17"/>
                <w:b w:val="1"/>
                <w:bCs w:val="1"/>
                <w:color w:val="auto"/>
              </w:rPr>
              <w:t>LIFETIME BRANDS, INC.</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40" w:type="dxa"/>
            <w:vAlign w:val="bottom"/>
          </w:tcPr>
          <w:p>
            <w:pPr>
              <w:jc w:val="center"/>
              <w:ind w:left="2534"/>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40" w:type="dxa"/>
            <w:vAlign w:val="bottom"/>
          </w:tcPr>
          <w:p>
            <w:pPr>
              <w:jc w:val="center"/>
              <w:ind w:left="253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5"/>
        </w:trPr>
        <w:tc>
          <w:tcPr>
            <w:tcW w:w="104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Expected benefit payments for each of the next five fiscal years and in the aggregate for the five fiscal years thereafter are as follows (in thousands):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through 2033</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0" w:type="dxa"/>
            <w:vAlign w:val="bottom"/>
          </w:tcPr>
          <w:p>
            <w:pPr>
              <w:spacing w:after="0"/>
              <w:rPr>
                <w:sz w:val="1"/>
                <w:szCs w:val="1"/>
                <w:color w:val="auto"/>
              </w:rPr>
            </w:pPr>
          </w:p>
        </w:tc>
      </w:tr>
      <w:tr>
        <w:trPr>
          <w:trHeight w:val="602"/>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16 — OTHER</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Inventory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inventory are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213,450</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188,647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222,209</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(including finance leases) consist of: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furniture and equipment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77,948</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38,120</w:t>
            </w: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156,015</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(142,169)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(137,993)</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of property and equipment for the years ended December 31, 2023, 2022 and 2021 was $4.7 million, $5.0 million and $6.0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allowances and rebates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29,162</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invoices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Freight</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Wallace facility remediation</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Royalties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Commissions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non-income tax liabilities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78,356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86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liabilities consist of:</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Retirement benefit obligations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facility remediation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non-income tax liabilities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tc>
        <w:tc>
          <w:tcPr>
            <w:tcW w:w="24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86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gridSpan w:val="9"/>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2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18,626</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15,421</w:t>
            </w:r>
          </w:p>
        </w:tc>
        <w:tc>
          <w:tcPr>
            <w:tcW w:w="40" w:type="dxa"/>
            <w:vAlign w:val="bottom"/>
          </w:tcPr>
          <w:p>
            <w:pPr>
              <w:spacing w:after="0"/>
              <w:rPr>
                <w:sz w:val="19"/>
                <w:szCs w:val="19"/>
                <w:color w:val="auto"/>
              </w:rPr>
            </w:pPr>
          </w:p>
        </w:tc>
        <w:tc>
          <w:tcPr>
            <w:tcW w:w="500" w:type="dxa"/>
            <w:vAlign w:val="bottom"/>
            <w:gridSpan w:val="3"/>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taxes, net of refunds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loss recognized on change in Vasconia ownership</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gain on dilution of Vasconia ownership</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6"/>
        </w:trPr>
        <w:tc>
          <w:tcPr>
            <w:tcW w:w="4860" w:type="dxa"/>
            <w:vAlign w:val="bottom"/>
          </w:tcPr>
          <w:p>
            <w:pPr>
              <w:spacing w:after="0"/>
              <w:rPr>
                <w:sz w:val="24"/>
                <w:szCs w:val="24"/>
                <w:color w:val="auto"/>
              </w:rPr>
            </w:pPr>
          </w:p>
        </w:tc>
        <w:tc>
          <w:tcPr>
            <w:tcW w:w="2700" w:type="dxa"/>
            <w:vAlign w:val="bottom"/>
            <w:gridSpan w:val="2"/>
          </w:tcPr>
          <w:p>
            <w:pPr>
              <w:jc w:val="right"/>
              <w:ind w:right="178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-41</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6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accumulated other comprehensive loss,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Accumulated translation adjustment: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Translation adjustment during period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7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Amount reclassified from accumulated other comprehensive loss </w:t>
            </w:r>
            <w:r>
              <w:rPr>
                <w:rFonts w:ascii="Times New Roman" w:cs="Times New Roman" w:eastAsia="Times New Roman" w:hAnsi="Times New Roman"/>
                <w:sz w:val="10"/>
                <w:szCs w:val="10"/>
                <w:color w:val="auto"/>
              </w:rPr>
              <w:t>(1)</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(36,072)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6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i w:val="1"/>
                <w:iCs w:val="1"/>
                <w:color w:val="auto"/>
              </w:rPr>
              <w:t>Accumulated deferred (losses) gains on cash flow hedges: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Change in unrealized (losses) gains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Amounts reclassified from accumulated other comprehensive loss: </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Settlement of cash flow hedges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change in cash flow hedges, net of taxes of $(30), $(190) and $(246)</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Accumulated effect of retirement benefit obligations: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 arising from retirement benefit obligations, net of tax of $31, $(359) and $(64)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Amount reclassified from accumulated other comprehensive loss: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Borders>
              <w:bottom w:val="single" w:sz="8" w:color="CCEEFF"/>
            </w:tcBorders>
          </w:tcPr>
          <w:p>
            <w:pPr>
              <w:spacing w:after="0"/>
              <w:rPr>
                <w:sz w:val="19"/>
                <w:szCs w:val="19"/>
                <w:color w:val="auto"/>
              </w:rPr>
            </w:pPr>
          </w:p>
        </w:tc>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Amortization of loss, net of tax of $(16), $(39) and $(45)</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effects of retirement benefit obligations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accumulated other comprehensive loss at end of period</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9"/>
                <w:szCs w:val="9"/>
                <w:color w:val="auto"/>
              </w:rPr>
              <w:t>(1)</w:t>
            </w:r>
          </w:p>
        </w:tc>
        <w:tc>
          <w:tcPr>
            <w:tcW w:w="710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Amount is recorded in equity in (losses) earnings on the consolidated statements of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vMerge w:val="continue"/>
          </w:tcPr>
          <w:p>
            <w:pPr>
              <w:spacing w:after="0"/>
              <w:rPr>
                <w:sz w:val="17"/>
                <w:szCs w:val="17"/>
                <w:color w:val="auto"/>
              </w:rPr>
            </w:pPr>
          </w:p>
        </w:tc>
        <w:tc>
          <w:tcPr>
            <w:tcW w:w="7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71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(2)</w:t>
            </w:r>
          </w:p>
        </w:tc>
        <w:tc>
          <w:tcPr>
            <w:tcW w:w="7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Amounts are recorded in interest expense and cost of goods sold on the consolidated statements of operations.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(3)</w:t>
            </w:r>
          </w:p>
        </w:tc>
        <w:tc>
          <w:tcPr>
            <w:tcW w:w="7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Amount is recorded in selling, general and administrative expenses on the consolidated statements of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160" w:type="dxa"/>
            <w:vAlign w:val="bottom"/>
          </w:tcPr>
          <w:p>
            <w:pPr>
              <w:spacing w:after="0"/>
              <w:rPr>
                <w:sz w:val="24"/>
                <w:szCs w:val="24"/>
                <w:color w:val="auto"/>
              </w:rPr>
            </w:pPr>
          </w:p>
        </w:tc>
        <w:tc>
          <w:tcPr>
            <w:tcW w:w="7100" w:type="dxa"/>
            <w:vAlign w:val="bottom"/>
          </w:tcPr>
          <w:p>
            <w:pPr>
              <w:ind w:left="5300"/>
              <w:spacing w:after="0"/>
              <w:rPr>
                <w:sz w:val="20"/>
                <w:szCs w:val="20"/>
                <w:color w:val="auto"/>
              </w:rPr>
            </w:pPr>
            <w:r>
              <w:rPr>
                <w:rFonts w:ascii="Times New Roman" w:cs="Times New Roman" w:eastAsia="Times New Roman" w:hAnsi="Times New Roman"/>
                <w:sz w:val="17"/>
                <w:szCs w:val="17"/>
                <w:color w:val="444444"/>
              </w:rPr>
              <w:t>F</w:t>
            </w:r>
            <w:r>
              <w:rPr>
                <w:rFonts w:ascii="Times New Roman" w:cs="Times New Roman" w:eastAsia="Times New Roman" w:hAnsi="Times New Roman"/>
                <w:sz w:val="17"/>
                <w:szCs w:val="17"/>
                <w:color w:val="000000"/>
              </w:rPr>
              <w:t>-42</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Item 15(a)</w:t>
      </w:r>
    </w:p>
    <w:p>
      <w:pPr>
        <w:spacing w:after="0" w:line="21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LIFETIME BRANDS, INC.</w:t>
      </w:r>
    </w:p>
    <w:p>
      <w:pPr>
        <w:spacing w:after="0" w:line="3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1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color w:val="auto"/>
        </w:rPr>
        <w:t>(in thousands)</w:t>
      </w:r>
    </w:p>
    <w:p>
      <w:pPr>
        <w:spacing w:after="0" w:line="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COL. A</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COL. B</w:t>
            </w:r>
          </w:p>
        </w:tc>
        <w:tc>
          <w:tcPr>
            <w:tcW w:w="200" w:type="dxa"/>
            <w:vAlign w:val="bottom"/>
          </w:tcPr>
          <w:p>
            <w:pPr>
              <w:spacing w:after="0"/>
              <w:rPr>
                <w:sz w:val="13"/>
                <w:szCs w:val="13"/>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COL. C</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COL. 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COL. 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200" w:type="dxa"/>
            <w:vAlign w:val="bottom"/>
          </w:tcPr>
          <w:p>
            <w:pPr>
              <w:spacing w:after="0"/>
              <w:rPr>
                <w:sz w:val="10"/>
                <w:szCs w:val="10"/>
                <w:color w:val="auto"/>
              </w:rPr>
            </w:pPr>
          </w:p>
        </w:tc>
        <w:tc>
          <w:tcPr>
            <w:tcW w:w="1060" w:type="dxa"/>
            <w:vAlign w:val="bottom"/>
          </w:tcPr>
          <w:p>
            <w:pPr>
              <w:jc w:val="center"/>
              <w:ind w:right="119"/>
              <w:spacing w:after="0" w:line="123" w:lineRule="exact"/>
              <w:rPr>
                <w:sz w:val="20"/>
                <w:szCs w:val="20"/>
                <w:color w:val="auto"/>
              </w:rPr>
            </w:pPr>
            <w:r>
              <w:rPr>
                <w:rFonts w:ascii="Times New Roman" w:cs="Times New Roman" w:eastAsia="Times New Roman" w:hAnsi="Times New Roman"/>
                <w:sz w:val="14"/>
                <w:szCs w:val="14"/>
                <w:b w:val="1"/>
                <w:bCs w:val="1"/>
                <w:color w:val="auto"/>
                <w:w w:val="98"/>
              </w:rPr>
              <w:t>Charged to</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39"/>
              <w:spacing w:after="0" w:line="123"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0"/>
        </w:trPr>
        <w:tc>
          <w:tcPr>
            <w:tcW w:w="3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beginning</w:t>
            </w:r>
          </w:p>
        </w:tc>
        <w:tc>
          <w:tcPr>
            <w:tcW w:w="200" w:type="dxa"/>
            <w:vAlign w:val="bottom"/>
          </w:tcPr>
          <w:p>
            <w:pPr>
              <w:spacing w:after="0"/>
              <w:rPr>
                <w:sz w:val="12"/>
                <w:szCs w:val="12"/>
                <w:color w:val="auto"/>
              </w:rPr>
            </w:pPr>
          </w:p>
        </w:tc>
        <w:tc>
          <w:tcPr>
            <w:tcW w:w="1060" w:type="dxa"/>
            <w:vAlign w:val="bottom"/>
          </w:tcPr>
          <w:p>
            <w:pPr>
              <w:jc w:val="center"/>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costs and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42"/>
        </w:trPr>
        <w:tc>
          <w:tcPr>
            <w:tcW w:w="39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of period</w:t>
            </w:r>
          </w:p>
        </w:tc>
        <w:tc>
          <w:tcPr>
            <w:tcW w:w="200" w:type="dxa"/>
            <w:vAlign w:val="bottom"/>
          </w:tcPr>
          <w:p>
            <w:pPr>
              <w:spacing w:after="0"/>
              <w:rPr>
                <w:sz w:val="12"/>
                <w:szCs w:val="12"/>
                <w:color w:val="auto"/>
              </w:rPr>
            </w:pPr>
          </w:p>
        </w:tc>
        <w:tc>
          <w:tcPr>
            <w:tcW w:w="106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expenses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220" w:type="dxa"/>
            <w:vAlign w:val="bottom"/>
            <w:tcBorders>
              <w:top w:val="single" w:sz="8" w:color="auto"/>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Deducted from asset accounts: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5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Reserve for sales returns and allowances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6,900</w:t>
            </w:r>
          </w:p>
        </w:tc>
        <w:tc>
          <w:tcPr>
            <w:tcW w:w="560" w:type="dxa"/>
            <w:vAlign w:val="bottom"/>
            <w:gridSpan w:val="2"/>
          </w:tcPr>
          <w:p>
            <w:pPr>
              <w:jc w:val="right"/>
              <w:ind w:right="334"/>
              <w:spacing w:after="0"/>
              <w:rPr>
                <w:sz w:val="20"/>
                <w:szCs w:val="20"/>
                <w:color w:val="auto"/>
              </w:rPr>
            </w:pPr>
            <w:r>
              <w:rPr>
                <w:rFonts w:ascii="Times New Roman" w:cs="Times New Roman" w:eastAsia="Times New Roman" w:hAnsi="Times New Roman"/>
                <w:sz w:val="11"/>
                <w:szCs w:val="11"/>
                <w:color w:val="auto"/>
                <w:w w:val="97"/>
              </w:rPr>
              <w:t>(c)</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(7,670)</w:t>
            </w: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Deducted from asset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5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Reserve for sales returns and allowances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5,961</w:t>
            </w:r>
          </w:p>
        </w:tc>
        <w:tc>
          <w:tcPr>
            <w:tcW w:w="56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1"/>
                <w:szCs w:val="11"/>
                <w:color w:val="auto"/>
                <w:w w:val="97"/>
              </w:rPr>
              <w:t>(c)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(8,438)</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6,623</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(8,561)</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20" w:type="dxa"/>
            <w:vAlign w:val="bottom"/>
            <w:gridSpan w:val="4"/>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Deducted from asset accounts: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5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Reserve for sales returns and allowances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8,716</w:t>
            </w:r>
          </w:p>
        </w:tc>
        <w:tc>
          <w:tcPr>
            <w:tcW w:w="560" w:type="dxa"/>
            <w:vAlign w:val="bottom"/>
            <w:gridSpan w:val="2"/>
          </w:tcPr>
          <w:p>
            <w:pPr>
              <w:jc w:val="right"/>
              <w:ind w:right="334"/>
              <w:spacing w:after="0"/>
              <w:rPr>
                <w:sz w:val="20"/>
                <w:szCs w:val="20"/>
                <w:color w:val="auto"/>
              </w:rPr>
            </w:pPr>
            <w:r>
              <w:rPr>
                <w:rFonts w:ascii="Times New Roman" w:cs="Times New Roman" w:eastAsia="Times New Roman" w:hAnsi="Times New Roman"/>
                <w:sz w:val="11"/>
                <w:szCs w:val="11"/>
                <w:color w:val="auto"/>
                <w:w w:val="97"/>
              </w:rPr>
              <w:t>(c)</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9,083</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(9,552)</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7"/>
        <w:spacing w:after="0"/>
        <w:tabs>
          <w:tab w:leader="none" w:pos="46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Uncollectible accounts written off, net of recoveries.</w:t>
      </w:r>
    </w:p>
    <w:p>
      <w:pPr>
        <w:spacing w:after="0" w:line="41" w:lineRule="exact"/>
        <w:rPr>
          <w:rFonts w:ascii="Times New Roman" w:cs="Times New Roman" w:eastAsia="Times New Roman" w:hAnsi="Times New Roman"/>
          <w:sz w:val="18"/>
          <w:szCs w:val="18"/>
          <w:color w:val="auto"/>
          <w:vertAlign w:val="superscript"/>
        </w:rPr>
      </w:pPr>
    </w:p>
    <w:p>
      <w:pPr>
        <w:ind w:left="460" w:hanging="457"/>
        <w:spacing w:after="0"/>
        <w:tabs>
          <w:tab w:leader="none" w:pos="4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Allowances granted.</w:t>
      </w:r>
    </w:p>
    <w:p>
      <w:pPr>
        <w:spacing w:after="0" w:line="44" w:lineRule="exact"/>
        <w:rPr>
          <w:rFonts w:ascii="Times New Roman" w:cs="Times New Roman" w:eastAsia="Times New Roman" w:hAnsi="Times New Roman"/>
          <w:sz w:val="9"/>
          <w:szCs w:val="9"/>
          <w:color w:val="auto"/>
        </w:rPr>
      </w:pPr>
    </w:p>
    <w:p>
      <w:pPr>
        <w:ind w:left="460" w:hanging="457"/>
        <w:spacing w:after="0"/>
        <w:tabs>
          <w:tab w:leader="none" w:pos="4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Charged to net sales.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0540"/>
          </w:cols>
          <w:pgMar w:left="320" w:top="1047" w:right="1039" w:bottom="1440" w:gutter="0" w:footer="0" w:header="0"/>
        </w:sectPr>
      </w:pPr>
    </w:p>
    <w:bookmarkStart w:id="98" w:name="page99"/>
    <w:bookmarkEnd w:id="98"/>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sz w:val="1"/>
          <w:szCs w:val="1"/>
          <w:color w:val="auto"/>
        </w:rPr>
        <w:drawing>
          <wp:inline distT="0" distB="0" distL="0" distR="0">
            <wp:extent cx="1621155" cy="28638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1621155" cy="286385"/>
                    </a:xfrm>
                    <a:prstGeom prst="rect">
                      <a:avLst/>
                    </a:prstGeom>
                    <a:noFill/>
                    <a:ln>
                      <a:noFill/>
                    </a:ln>
                  </pic:spPr>
                </pic:pic>
              </a:graphicData>
            </a:graphic>
          </wp:inline>
        </w:drawing>
      </w:r>
      <w:r>
        <w:rPr>
          <w:rFonts w:ascii="Times New Roman" w:cs="Times New Roman" w:eastAsia="Times New Roman" w:hAnsi="Times New Roman"/>
          <w:sz w:val="19"/>
          <w:szCs w:val="19"/>
          <w:b w:val="1"/>
          <w:bCs w:val="1"/>
          <w:u w:val="single" w:color="auto"/>
          <w:color w:val="auto"/>
        </w:rPr>
        <w:t>AMENDMENT TO RECEIVABLES PURCHASE AGREEMENT</w:t>
      </w:r>
    </w:p>
    <w:p>
      <w:pPr>
        <w:spacing w:after="0" w:line="157" w:lineRule="exact"/>
        <w:rPr>
          <w:sz w:val="20"/>
          <w:szCs w:val="20"/>
          <w:color w:val="auto"/>
        </w:rPr>
      </w:pPr>
    </w:p>
    <w:p>
      <w:pPr>
        <w:jc w:val="both"/>
        <w:ind w:firstLine="421"/>
        <w:spacing w:after="0" w:line="235" w:lineRule="auto"/>
        <w:rPr>
          <w:sz w:val="20"/>
          <w:szCs w:val="20"/>
          <w:color w:val="auto"/>
        </w:rPr>
      </w:pPr>
      <w:r>
        <w:rPr>
          <w:rFonts w:ascii="Times New Roman" w:cs="Times New Roman" w:eastAsia="Times New Roman" w:hAnsi="Times New Roman"/>
          <w:sz w:val="18"/>
          <w:szCs w:val="18"/>
          <w:color w:val="auto"/>
        </w:rPr>
        <w:t>THIS AMENDMENT TO RECEIVABLES PURCHASE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December 21, 2023, by and between LIFETIME BRANDS, INC., a California corporation, in its capacity as seller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in its capacity as initial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HSBC</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b w:val="1"/>
          <w:bCs w:val="1"/>
          <w:color w:val="auto"/>
        </w:rPr>
        <w:t>BANK USA, NATIONAL ASSOCIATION</w:t>
      </w:r>
      <w:r>
        <w:rPr>
          <w:rFonts w:ascii="Times New Roman" w:cs="Times New Roman" w:eastAsia="Times New Roman" w:hAnsi="Times New Roman"/>
          <w:sz w:val="19"/>
          <w:szCs w:val="19"/>
          <w:color w:val="auto"/>
        </w:rPr>
        <w:t>, a national banking association with an office at 452 Fifth Avenue, New York, New York 10018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Purchaser</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3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Seller and the Purchaser are party to that certain Receivables Purchase Agreement, dated as of September 30, 2016 (as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same may be amended, modified, supplemented, restated from time to time, the “</w:t>
      </w:r>
      <w:r>
        <w:rPr>
          <w:rFonts w:ascii="Times New Roman" w:cs="Times New Roman" w:eastAsia="Times New Roman" w:hAnsi="Times New Roman"/>
          <w:sz w:val="19"/>
          <w:szCs w:val="19"/>
          <w:u w:val="single" w:color="auto"/>
          <w:color w:val="auto"/>
        </w:rPr>
        <w:t>RPA</w:t>
      </w:r>
      <w:r>
        <w:rPr>
          <w:rFonts w:ascii="Times New Roman" w:cs="Times New Roman" w:eastAsia="Times New Roman" w:hAnsi="Times New Roman"/>
          <w:sz w:val="19"/>
          <w:szCs w:val="19"/>
          <w:color w:val="auto"/>
        </w:rPr>
        <w:t>”),</w:t>
      </w:r>
    </w:p>
    <w:p>
      <w:pPr>
        <w:spacing w:after="0" w:line="101"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in connection with the transition from LIBOR, the Seller and the Purchaser wish, on the terms and subject to the conditions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hereinafter set forth, to modify the RPA as set forth below.</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3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NOW, THEREFORE, </w:t>
      </w:r>
      <w:r>
        <w:rPr>
          <w:rFonts w:ascii="Times New Roman" w:cs="Times New Roman" w:eastAsia="Times New Roman" w:hAnsi="Times New Roman"/>
          <w:sz w:val="19"/>
          <w:szCs w:val="19"/>
          <w:color w:val="auto"/>
        </w:rPr>
        <w:t>in consideration of the foregoing and for other good and valuable consideration, the receipt and adequacy of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hereby acknowledged, the parties hereto hereby covenant and agree to be bound as follows:</w:t>
      </w:r>
    </w:p>
    <w:p>
      <w:pPr>
        <w:spacing w:after="0" w:line="83" w:lineRule="exact"/>
        <w:rPr>
          <w:sz w:val="20"/>
          <w:szCs w:val="20"/>
          <w:color w:val="auto"/>
        </w:rPr>
      </w:pPr>
    </w:p>
    <w:p>
      <w:pPr>
        <w:jc w:val="both"/>
        <w:ind w:firstLine="42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Section 1. </w:t>
      </w:r>
      <w:r>
        <w:rPr>
          <w:rFonts w:ascii="Times New Roman" w:cs="Times New Roman" w:eastAsia="Times New Roman" w:hAnsi="Times New Roman"/>
          <w:sz w:val="19"/>
          <w:szCs w:val="19"/>
          <w:b w:val="1"/>
          <w:bCs w:val="1"/>
          <w:u w:val="single" w:color="auto"/>
          <w:color w:val="auto"/>
        </w:rPr>
        <w:t>Capitalized Terms</w:t>
      </w:r>
      <w:r>
        <w:rPr>
          <w:rFonts w:ascii="Times New Roman" w:cs="Times New Roman" w:eastAsia="Times New Roman" w:hAnsi="Times New Roman"/>
          <w:sz w:val="19"/>
          <w:szCs w:val="19"/>
          <w:color w:val="auto"/>
        </w:rPr>
        <w:t>. Capitalized terms used and not otherwise defined herein shall have the meanings assigned to them in the RPA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unless the context otherwise requires.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auto"/>
        </w:rPr>
        <w:t xml:space="preserve">Section 2. </w:t>
      </w:r>
      <w:r>
        <w:rPr>
          <w:rFonts w:ascii="Times New Roman" w:cs="Times New Roman" w:eastAsia="Times New Roman" w:hAnsi="Times New Roman"/>
          <w:sz w:val="19"/>
          <w:szCs w:val="19"/>
          <w:b w:val="1"/>
          <w:bCs w:val="1"/>
          <w:u w:val="single" w:color="auto"/>
          <w:color w:val="auto"/>
        </w:rPr>
        <w:t>Amendments</w:t>
      </w:r>
      <w:r>
        <w:rPr>
          <w:rFonts w:ascii="Times New Roman" w:cs="Times New Roman" w:eastAsia="Times New Roman" w:hAnsi="Times New Roman"/>
          <w:sz w:val="19"/>
          <w:szCs w:val="19"/>
          <w:color w:val="auto"/>
        </w:rPr>
        <w:t>. On the Amendment Effective Date (as defined below), the RPA shall be amended as follows: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The definition of Discount Rate in Exhibit A of the RPA is amended and restated in its entirety as follows:</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Discount Rate</w:t>
      </w:r>
      <w:r>
        <w:rPr>
          <w:rFonts w:ascii="Times New Roman" w:cs="Times New Roman" w:eastAsia="Times New Roman" w:hAnsi="Times New Roman"/>
          <w:sz w:val="19"/>
          <w:szCs w:val="19"/>
          <w:color w:val="auto"/>
        </w:rPr>
        <w:t>”: A rate equal to Term SOFR plus 1.60% per annum.</w:t>
      </w:r>
    </w:p>
    <w:p>
      <w:pPr>
        <w:spacing w:after="0" w:line="113" w:lineRule="exact"/>
        <w:rPr>
          <w:sz w:val="20"/>
          <w:szCs w:val="20"/>
          <w:color w:val="auto"/>
        </w:rPr>
      </w:pPr>
    </w:p>
    <w:p>
      <w:pPr>
        <w:jc w:val="both"/>
        <w:ind w:firstLine="421"/>
        <w:spacing w:after="0" w:line="232" w:lineRule="auto"/>
        <w:rPr>
          <w:sz w:val="20"/>
          <w:szCs w:val="20"/>
          <w:color w:val="auto"/>
        </w:rPr>
      </w:pPr>
      <w:r>
        <w:rPr>
          <w:rFonts w:ascii="Times New Roman" w:cs="Times New Roman" w:eastAsia="Times New Roman" w:hAnsi="Times New Roman"/>
          <w:sz w:val="19"/>
          <w:szCs w:val="19"/>
          <w:b w:val="1"/>
          <w:bCs w:val="1"/>
          <w:color w:val="auto"/>
        </w:rPr>
        <w:t xml:space="preserve">Section 3. </w:t>
      </w:r>
      <w:r>
        <w:rPr>
          <w:rFonts w:ascii="Times New Roman" w:cs="Times New Roman" w:eastAsia="Times New Roman" w:hAnsi="Times New Roman"/>
          <w:sz w:val="19"/>
          <w:szCs w:val="19"/>
          <w:b w:val="1"/>
          <w:bCs w:val="1"/>
          <w:u w:val="single" w:color="auto"/>
          <w:color w:val="auto"/>
        </w:rPr>
        <w:t>Effectiveness of This Amendment</w:t>
      </w:r>
      <w:r>
        <w:rPr>
          <w:rFonts w:ascii="Times New Roman" w:cs="Times New Roman" w:eastAsia="Times New Roman" w:hAnsi="Times New Roman"/>
          <w:sz w:val="19"/>
          <w:szCs w:val="19"/>
          <w:color w:val="auto"/>
        </w:rPr>
        <w:t>. This Amendment shall not be effective until the Purchaser receives (i) a counterpart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executed by the Seller, Servicer and the Purchaser and (ii) any such other documents as the Purchaser may reasonably request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auto"/>
        </w:rPr>
        <w:t xml:space="preserve">Section 4. </w:t>
      </w:r>
      <w:r>
        <w:rPr>
          <w:rFonts w:ascii="Times New Roman" w:cs="Times New Roman" w:eastAsia="Times New Roman" w:hAnsi="Times New Roman"/>
          <w:sz w:val="19"/>
          <w:szCs w:val="19"/>
          <w:b w:val="1"/>
          <w:bCs w:val="1"/>
          <w:u w:val="single" w:color="auto"/>
          <w:color w:val="auto"/>
        </w:rPr>
        <w:t>Seller Representations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Seller represents and warrants to the Purchaser as follows:</w:t>
      </w:r>
    </w:p>
    <w:p>
      <w:pPr>
        <w:spacing w:after="0" w:line="134" w:lineRule="exact"/>
        <w:rPr>
          <w:sz w:val="20"/>
          <w:szCs w:val="20"/>
          <w:color w:val="auto"/>
        </w:rPr>
      </w:pPr>
    </w:p>
    <w:p>
      <w:pPr>
        <w:jc w:val="both"/>
        <w:ind w:firstLine="622"/>
        <w:spacing w:after="0" w:line="226" w:lineRule="auto"/>
        <w:tabs>
          <w:tab w:leader="none" w:pos="88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representation and warranty made or deemed made by the Seller in the RPA is true and correct as of the date hereof, except to the extent that a representation or warranty expressly relates solely to an earlier date (in which case such representation or warranty was true and accurate on and as of such earlier date);</w:t>
      </w:r>
    </w:p>
    <w:p>
      <w:pPr>
        <w:spacing w:after="0" w:line="104" w:lineRule="exact"/>
        <w:rPr>
          <w:rFonts w:ascii="Times New Roman" w:cs="Times New Roman" w:eastAsia="Times New Roman" w:hAnsi="Times New Roman"/>
          <w:sz w:val="19"/>
          <w:szCs w:val="19"/>
          <w:color w:val="auto"/>
        </w:rPr>
      </w:pPr>
    </w:p>
    <w:p>
      <w:pPr>
        <w:ind w:left="880" w:hanging="258"/>
        <w:spacing w:after="0"/>
        <w:tabs>
          <w:tab w:leader="none" w:pos="8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of Repurchase or Event of Default has occurred and is continuing as of the date hereof;</w:t>
      </w:r>
    </w:p>
    <w:p>
      <w:pPr>
        <w:spacing w:after="0" w:line="129" w:lineRule="exact"/>
        <w:rPr>
          <w:rFonts w:ascii="Times New Roman" w:cs="Times New Roman" w:eastAsia="Times New Roman" w:hAnsi="Times New Roman"/>
          <w:sz w:val="19"/>
          <w:szCs w:val="19"/>
          <w:color w:val="auto"/>
        </w:rPr>
      </w:pPr>
    </w:p>
    <w:p>
      <w:pPr>
        <w:jc w:val="both"/>
        <w:ind w:firstLine="622"/>
        <w:spacing w:after="0" w:line="226" w:lineRule="auto"/>
        <w:tabs>
          <w:tab w:leader="none" w:pos="88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by the Seller of this Amendment and the RPA, as amended hereby, (i) are within the Seller’s corporate or other organizational powers, (ii) have been duly authorized by all necessary corporate or other organizational action; (iii) do not contravene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Seller’s Organizational Documents, (B) any law, rule or regulation applicable to the Seller, (C) any contractual restriction binding on or affecting the Seller or its property, or (D) any order, writ, judgment, award, injunction or decree binding on or affecting the Seller or its property.</w:t>
      </w:r>
    </w:p>
    <w:p>
      <w:pPr>
        <w:spacing w:after="0" w:line="105" w:lineRule="exact"/>
        <w:rPr>
          <w:sz w:val="20"/>
          <w:szCs w:val="20"/>
          <w:color w:val="auto"/>
        </w:rPr>
      </w:pPr>
    </w:p>
    <w:p>
      <w:pPr>
        <w:jc w:val="both"/>
        <w:ind w:firstLine="622"/>
        <w:spacing w:after="0" w:line="222" w:lineRule="auto"/>
        <w:tabs>
          <w:tab w:leader="none" w:pos="89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Amendment and the RPA are legal, valid and binding obligations of the Seller and so long as the Seller acts as Servicer, enforceable against the Seller and the Servicer, as applicable, in accordance with their terms, except as limited by bankruptcy, insolvency, moratorium, fraudulent conveyance or other laws relating to the enforcement of creditors’ rights generally and general principles of equity (regardless of whether enforcement is sought at equity or law).</w:t>
      </w:r>
    </w:p>
    <w:p>
      <w:pPr>
        <w:spacing w:after="0" w:line="90" w:lineRule="exact"/>
        <w:rPr>
          <w:sz w:val="20"/>
          <w:szCs w:val="20"/>
          <w:color w:val="auto"/>
        </w:rPr>
      </w:pPr>
    </w:p>
    <w:p>
      <w:pPr>
        <w:ind w:firstLine="421"/>
        <w:spacing w:after="0" w:line="225" w:lineRule="auto"/>
        <w:rPr>
          <w:sz w:val="20"/>
          <w:szCs w:val="20"/>
          <w:color w:val="auto"/>
        </w:rPr>
      </w:pPr>
      <w:r>
        <w:rPr>
          <w:rFonts w:ascii="Times New Roman" w:cs="Times New Roman" w:eastAsia="Times New Roman" w:hAnsi="Times New Roman"/>
          <w:sz w:val="19"/>
          <w:szCs w:val="19"/>
          <w:b w:val="1"/>
          <w:bCs w:val="1"/>
          <w:color w:val="auto"/>
        </w:rPr>
        <w:t xml:space="preserve">Section 5. </w:t>
      </w:r>
      <w:r>
        <w:rPr>
          <w:rFonts w:ascii="Times New Roman" w:cs="Times New Roman" w:eastAsia="Times New Roman" w:hAnsi="Times New Roman"/>
          <w:sz w:val="19"/>
          <w:szCs w:val="19"/>
          <w:b w:val="1"/>
          <w:bCs w:val="1"/>
          <w:u w:val="single" w:color="auto"/>
          <w:color w:val="auto"/>
        </w:rPr>
        <w:t>Reaffirmation; Effect of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Seller and the Servicer each acknowledges and reaffirms that the RPA, as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amended, is hereby ratified and confirmed in all respects and all terms, conditions, and provisions of the RPA, except as amended by this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9"/>
          <w:szCs w:val="19"/>
          <w:color w:val="auto"/>
        </w:rPr>
        <w:t>Amendment, shall remain unmodified and in full force and effect. All references in any document or instrument to the RPA are hereby amended to refer to the RPA as amended by this Amendment. If any part of this Amendment is for any reason found to be unenforceable, all other portions of it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shall nevertheless remain enforceable. The RPA and any and all other documents heretofore, now or hereafter executed and delivered pursuant to the terms of the RPA are hereby amended so that any reference to the RPA shall mean a reference to the RPA amended by this Amendment.</w:t>
      </w:r>
    </w:p>
    <w:p>
      <w:pPr>
        <w:spacing w:after="0" w:line="88" w:lineRule="exact"/>
        <w:rPr>
          <w:sz w:val="20"/>
          <w:szCs w:val="20"/>
          <w:color w:val="auto"/>
        </w:rPr>
      </w:pPr>
    </w:p>
    <w:p>
      <w:pPr>
        <w:ind w:firstLine="42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Section 6. </w:t>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Amendment shall be governed by and construed in accordance with the laws of the State of New York,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regard to conflict of laws principles.</w:t>
      </w:r>
    </w:p>
    <w:p>
      <w:pPr>
        <w:spacing w:after="0" w:line="95" w:lineRule="exact"/>
        <w:rPr>
          <w:sz w:val="20"/>
          <w:szCs w:val="20"/>
          <w:color w:val="auto"/>
        </w:rPr>
      </w:pPr>
    </w:p>
    <w:p>
      <w:pPr>
        <w:ind w:firstLine="421"/>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Section 7. </w:t>
      </w:r>
      <w:r>
        <w:rPr>
          <w:rFonts w:ascii="Times New Roman" w:cs="Times New Roman" w:eastAsia="Times New Roman" w:hAnsi="Times New Roman"/>
          <w:sz w:val="19"/>
          <w:szCs w:val="19"/>
          <w:b w:val="1"/>
          <w:bCs w:val="1"/>
          <w:u w:val="single" w:color="auto"/>
          <w:color w:val="auto"/>
        </w:rPr>
        <w:t>Headings.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headings in this Amendment are included herein for convenience of reference only and shall not constitute a part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this Amendment for any other purpose.</w:t>
      </w:r>
    </w:p>
    <w:p>
      <w:pPr>
        <w:spacing w:after="0" w:line="101" w:lineRule="exact"/>
        <w:rPr>
          <w:sz w:val="20"/>
          <w:szCs w:val="20"/>
          <w:color w:val="auto"/>
        </w:rPr>
      </w:pPr>
    </w:p>
    <w:p>
      <w:pPr>
        <w:ind w:firstLine="421"/>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the parties hereto in separate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when so executed and delivered shall be deemed to be an original and all of which taken together shall constitute one and the same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instrument. Delivery of an executed counterpart of a signature page to this Amendment by fax or by email shall be effective as delivery of a manually executed counterpart of this Amendment.</w:t>
      </w:r>
    </w:p>
    <w:p>
      <w:pPr>
        <w:spacing w:after="0" w:line="88" w:lineRule="exact"/>
        <w:rPr>
          <w:sz w:val="20"/>
          <w:szCs w:val="20"/>
          <w:color w:val="auto"/>
        </w:rPr>
      </w:pPr>
    </w:p>
    <w:p>
      <w:pPr>
        <w:jc w:val="both"/>
        <w:ind w:firstLine="421"/>
        <w:spacing w:after="0" w:line="225" w:lineRule="auto"/>
        <w:rPr>
          <w:sz w:val="20"/>
          <w:szCs w:val="20"/>
          <w:color w:val="auto"/>
        </w:rPr>
      </w:pPr>
      <w:r>
        <w:rPr>
          <w:rFonts w:ascii="Times New Roman" w:cs="Times New Roman" w:eastAsia="Times New Roman" w:hAnsi="Times New Roman"/>
          <w:sz w:val="19"/>
          <w:szCs w:val="19"/>
          <w:b w:val="1"/>
          <w:bCs w:val="1"/>
          <w:color w:val="auto"/>
        </w:rPr>
        <w:t xml:space="preserve">Section 9. </w:t>
      </w:r>
      <w:r>
        <w:rPr>
          <w:rFonts w:ascii="Times New Roman" w:cs="Times New Roman" w:eastAsia="Times New Roman" w:hAnsi="Times New Roman"/>
          <w:sz w:val="19"/>
          <w:szCs w:val="19"/>
          <w:b w:val="1"/>
          <w:bCs w:val="1"/>
          <w:u w:val="single" w:color="auto"/>
          <w:color w:val="auto"/>
        </w:rPr>
        <w:t>ENTIRETY</w:t>
      </w:r>
      <w:r>
        <w:rPr>
          <w:rFonts w:ascii="Times New Roman" w:cs="Times New Roman" w:eastAsia="Times New Roman" w:hAnsi="Times New Roman"/>
          <w:sz w:val="19"/>
          <w:szCs w:val="19"/>
          <w:b w:val="1"/>
          <w:bCs w:val="1"/>
          <w:color w:val="auto"/>
        </w:rPr>
        <w:t>. THIS AMENDMENT, THE RPA, AND ANY OTHER RELATED DOCUMENTS EMBODY THE ENTIRE AGREEMENT BETWEEN THE PARTIES AND SUPERSEDE ALL PRIOR AGREEMENTS AND UNDERSTANDINGS, IF ANY,</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b w:val="1"/>
          <w:bCs w:val="1"/>
          <w:color w:val="auto"/>
        </w:rPr>
        <w:t>RELATING TO THE SUBJECT MATTER HEREOF. THESE DOCUMENTS REPRESENT THE FINAL AGREEMENT BETWEEN THE PARTIES AND MAY NOT BE CONTRADICTED BY EVIDENCE OF PRIOR, CONTEMPORANEOUS OR SUBSEQUENT ORAL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AGREEMENTS OF THE PARTIES.</w:t>
      </w:r>
    </w:p>
    <w:p>
      <w:pPr>
        <w:spacing w:after="0" w:line="131" w:lineRule="exact"/>
        <w:rPr>
          <w:sz w:val="20"/>
          <w:szCs w:val="20"/>
          <w:color w:val="auto"/>
        </w:rPr>
      </w:pPr>
    </w:p>
    <w:p>
      <w:pPr>
        <w:ind w:right="280" w:firstLine="42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Section 10. </w:t>
      </w: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binds and inures to the benefit of the parties hereto and their respective successors and permitted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assigns.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as of the date first above written.</w:t>
      </w:r>
    </w:p>
    <w:p>
      <w:pPr>
        <w:sectPr>
          <w:pgSz w:w="11900" w:h="16838" w:orient="portrait"/>
          <w:cols w:equalWidth="0" w:num="1">
            <w:col w:w="10800"/>
          </w:cols>
          <w:pgMar w:left="32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LIFETIME BRANDS, INC.</w:t>
      </w:r>
    </w:p>
    <w:p>
      <w:pPr>
        <w:spacing w:after="0" w:line="2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as Seller and initial Servicer</w:t>
      </w:r>
    </w:p>
    <w:p>
      <w:pPr>
        <w:spacing w:after="0" w:line="200" w:lineRule="exact"/>
        <w:rPr>
          <w:sz w:val="20"/>
          <w:szCs w:val="20"/>
          <w:color w:val="auto"/>
        </w:rPr>
      </w:pPr>
    </w:p>
    <w:p>
      <w:pPr>
        <w:spacing w:after="0" w:line="351" w:lineRule="exact"/>
        <w:rPr>
          <w:sz w:val="20"/>
          <w:szCs w:val="20"/>
          <w:color w:val="auto"/>
        </w:rPr>
      </w:pPr>
    </w:p>
    <w:tbl>
      <w:tblPr>
        <w:tblLayout w:type="fixed"/>
        <w:tblInd w:w="3100" w:type="dxa"/>
        <w:tblCellMar>
          <w:top w:w="0" w:type="dxa"/>
          <w:left w:w="0" w:type="dxa"/>
          <w:bottom w:w="0" w:type="dxa"/>
          <w:right w:w="0" w:type="dxa"/>
        </w:tblCellMar>
      </w:tblPr>
      <w:tr>
        <w:trPr>
          <w:trHeight w:val="218"/>
        </w:trPr>
        <w:tc>
          <w:tcPr>
            <w:tcW w:w="49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By /s/ Laurence Winoker</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900" w:type="dxa"/>
            <w:vAlign w:val="bottom"/>
            <w:gridSpan w:val="4"/>
          </w:tcPr>
          <w:p>
            <w:pPr>
              <w:spacing w:after="0" w:line="165" w:lineRule="exact"/>
              <w:rPr>
                <w:sz w:val="20"/>
                <w:szCs w:val="20"/>
                <w:color w:val="auto"/>
              </w:rPr>
            </w:pPr>
            <w:r>
              <w:rPr>
                <w:rFonts w:ascii="Times New Roman" w:cs="Times New Roman" w:eastAsia="Times New Roman" w:hAnsi="Times New Roman"/>
                <w:sz w:val="19"/>
                <w:szCs w:val="19"/>
                <w:color w:val="auto"/>
                <w:w w:val="95"/>
              </w:rPr>
              <w:t>Name: Laurence Winoker</w:t>
            </w:r>
          </w:p>
        </w:tc>
        <w:tc>
          <w:tcPr>
            <w:tcW w:w="3000" w:type="dxa"/>
            <w:vAlign w:val="bottom"/>
          </w:tcPr>
          <w:p>
            <w:pPr>
              <w:spacing w:after="0"/>
              <w:rPr>
                <w:sz w:val="14"/>
                <w:szCs w:val="14"/>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w w:val="94"/>
              </w:rPr>
              <w:t>Officer</w:t>
            </w:r>
          </w:p>
        </w:tc>
        <w:tc>
          <w:tcPr>
            <w:tcW w:w="0" w:type="dxa"/>
            <w:vAlign w:val="bottom"/>
          </w:tcPr>
          <w:p>
            <w:pPr>
              <w:spacing w:after="0"/>
              <w:rPr>
                <w:sz w:val="1"/>
                <w:szCs w:val="1"/>
                <w:color w:val="auto"/>
              </w:rPr>
            </w:pPr>
          </w:p>
        </w:tc>
      </w:tr>
      <w:tr>
        <w:trPr>
          <w:trHeight w:val="244"/>
        </w:trPr>
        <w:tc>
          <w:tcPr>
            <w:tcW w:w="49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Title: Executive Vice President, Treasurer and Chief Financial</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06"/>
        </w:trPr>
        <w:tc>
          <w:tcPr>
            <w:tcW w:w="490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r>
              <w:rPr>
                <w:rFonts w:ascii="Times New Roman" w:cs="Times New Roman" w:eastAsia="Times New Roman" w:hAnsi="Times New Roman"/>
                <w:sz w:val="19"/>
                <w:szCs w:val="19"/>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9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as Purchaser</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3"/>
        </w:trPr>
        <w:tc>
          <w:tcPr>
            <w:tcW w:w="49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By __/s/ Yahaira Soto_____________</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60" w:type="dxa"/>
            <w:vAlign w:val="bottom"/>
            <w:gridSpan w:val="2"/>
          </w:tcPr>
          <w:p>
            <w:pPr>
              <w:spacing w:after="0" w:line="165" w:lineRule="exact"/>
              <w:rPr>
                <w:sz w:val="20"/>
                <w:szCs w:val="20"/>
                <w:color w:val="auto"/>
              </w:rPr>
            </w:pPr>
            <w:r>
              <w:rPr>
                <w:rFonts w:ascii="Times New Roman" w:cs="Times New Roman" w:eastAsia="Times New Roman" w:hAnsi="Times New Roman"/>
                <w:sz w:val="19"/>
                <w:szCs w:val="19"/>
                <w:color w:val="auto"/>
                <w:w w:val="86"/>
              </w:rPr>
              <w:t>Name:</w:t>
            </w:r>
          </w:p>
        </w:tc>
        <w:tc>
          <w:tcPr>
            <w:tcW w:w="1200" w:type="dxa"/>
            <w:vAlign w:val="bottom"/>
            <w:tcBorders>
              <w:top w:val="single" w:sz="8" w:color="auto"/>
            </w:tcBorders>
          </w:tcPr>
          <w:p>
            <w:pPr>
              <w:ind w:left="80"/>
              <w:spacing w:after="0" w:line="165" w:lineRule="exact"/>
              <w:rPr>
                <w:sz w:val="20"/>
                <w:szCs w:val="20"/>
                <w:color w:val="auto"/>
              </w:rPr>
            </w:pPr>
            <w:r>
              <w:rPr>
                <w:rFonts w:ascii="Times New Roman" w:cs="Times New Roman" w:eastAsia="Times New Roman" w:hAnsi="Times New Roman"/>
                <w:sz w:val="19"/>
                <w:szCs w:val="19"/>
                <w:color w:val="auto"/>
              </w:rPr>
              <w:t>Yahaira Soto</w:t>
            </w:r>
          </w:p>
        </w:tc>
        <w:tc>
          <w:tcPr>
            <w:tcW w:w="32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9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Title: GTRF, US Head of Implementation</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0800"/>
          </w:cols>
          <w:pgMar w:left="320" w:top="1440" w:right="77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AMENDMENT 4 TO RECEIVABLES PURCHASE AGREEMENT</w:t>
      </w:r>
    </w:p>
    <w:p>
      <w:pPr>
        <w:spacing w:after="0" w:line="247" w:lineRule="exact"/>
        <w:rPr>
          <w:sz w:val="20"/>
          <w:szCs w:val="20"/>
          <w:color w:val="auto"/>
        </w:rPr>
      </w:pPr>
    </w:p>
    <w:p>
      <w:pPr>
        <w:jc w:val="both"/>
        <w:ind w:firstLine="420"/>
        <w:spacing w:after="0" w:line="238" w:lineRule="auto"/>
        <w:rPr>
          <w:sz w:val="20"/>
          <w:szCs w:val="20"/>
          <w:color w:val="auto"/>
        </w:rPr>
      </w:pPr>
      <w:r>
        <w:rPr>
          <w:rFonts w:ascii="Times New Roman" w:cs="Times New Roman" w:eastAsia="Times New Roman" w:hAnsi="Times New Roman"/>
          <w:sz w:val="17"/>
          <w:szCs w:val="17"/>
          <w:color w:val="auto"/>
        </w:rPr>
        <w:t>THIS AMENDMENT 4 TO RECEIVABLES PURCHASE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 February 23, 2024 by and between LIFETIME BRANDS, INC., a Delaware corporation (“LBI”), in its capacity as the administrative agent for the Sellers (in such capacity, the “Seller Agent”), as a “Seller” (a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and in its capacity as initial “</w:t>
      </w:r>
      <w:r>
        <w:rPr>
          <w:rFonts w:ascii="Times New Roman" w:cs="Times New Roman" w:eastAsia="Times New Roman" w:hAnsi="Times New Roman"/>
          <w:sz w:val="17"/>
          <w:szCs w:val="17"/>
          <w:u w:val="single" w:color="auto"/>
          <w:color w:val="auto"/>
        </w:rPr>
        <w:t>Servicer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HSBC BANK USA, NATIONAL ASSOCIATION</w:t>
      </w:r>
      <w:r>
        <w:rPr>
          <w:rFonts w:ascii="Times New Roman" w:cs="Times New Roman" w:eastAsia="Times New Roman" w:hAnsi="Times New Roman"/>
          <w:sz w:val="17"/>
          <w:szCs w:val="17"/>
          <w:color w:val="auto"/>
        </w:rPr>
        <w:t>, a national banking association with an office at 452 Fifth Avenue, New York, New York 10018 (the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05"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LBI and the Purchaser are party to that certain Receivables Purchase Agreement, dated as of September 30, 2016, as amended by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certain Amendment 1 to the Receivables Purchase Agreement, dated October 9, 2020, that certain Amendment to Receivables Purchase Agreement (SOFR Transition), dated as of January 6, 2023, and that certain Amendment to Receivables Purchase Agreement, dated as of December 21, 2023 (as the same may be amended, modified, supplemented, restated from time to time, the “</w:t>
      </w:r>
      <w:r>
        <w:rPr>
          <w:rFonts w:ascii="Times New Roman" w:cs="Times New Roman" w:eastAsia="Times New Roman" w:hAnsi="Times New Roman"/>
          <w:sz w:val="17"/>
          <w:szCs w:val="17"/>
          <w:u w:val="single" w:color="auto"/>
          <w:color w:val="auto"/>
        </w:rPr>
        <w:t>RPA</w:t>
      </w:r>
      <w:r>
        <w:rPr>
          <w:rFonts w:ascii="Times New Roman" w:cs="Times New Roman" w:eastAsia="Times New Roman" w:hAnsi="Times New Roman"/>
          <w:sz w:val="17"/>
          <w:szCs w:val="17"/>
          <w:color w:val="auto"/>
        </w:rPr>
        <w:t>”), between LBI, as Seller Agent, Seller and initial Servicer as therein provided, and Purchaser.</w:t>
      </w:r>
    </w:p>
    <w:p>
      <w:pPr>
        <w:spacing w:after="0" w:line="317" w:lineRule="exact"/>
        <w:rPr>
          <w:sz w:val="20"/>
          <w:szCs w:val="20"/>
          <w:color w:val="auto"/>
        </w:rPr>
      </w:pPr>
    </w:p>
    <w:p>
      <w:pPr>
        <w:jc w:val="both"/>
        <w:ind w:firstLine="620"/>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Seller Agent, Seller, Servicer and the Purchaser wish, on the terms and subject to the conditions hereinafter set forth, to modify the RPA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set forth below.</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27" w:lineRule="exact"/>
        <w:rPr>
          <w:sz w:val="20"/>
          <w:szCs w:val="20"/>
          <w:color w:val="auto"/>
        </w:rPr>
      </w:pPr>
    </w:p>
    <w:p>
      <w:pPr>
        <w:jc w:val="both"/>
        <w:ind w:firstLine="617"/>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and for other good and valuable consideration, the receipt and adequacy of which are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acknowledged, the parties hereto hereby covenant and agree to be bound as follows:</w:t>
      </w:r>
    </w:p>
    <w:p>
      <w:pPr>
        <w:spacing w:after="0" w:line="118" w:lineRule="exact"/>
        <w:rPr>
          <w:sz w:val="20"/>
          <w:szCs w:val="20"/>
          <w:color w:val="auto"/>
        </w:rPr>
      </w:pPr>
    </w:p>
    <w:p>
      <w:pPr>
        <w:jc w:val="both"/>
        <w:ind w:firstLine="424"/>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Section 1. </w:t>
      </w:r>
      <w:r>
        <w:rPr>
          <w:rFonts w:ascii="Times New Roman" w:cs="Times New Roman" w:eastAsia="Times New Roman" w:hAnsi="Times New Roman"/>
          <w:sz w:val="17"/>
          <w:szCs w:val="17"/>
          <w:b w:val="1"/>
          <w:bCs w:val="1"/>
          <w:u w:val="single" w:color="auto"/>
          <w:color w:val="auto"/>
        </w:rPr>
        <w:t>Capitalized Terms</w:t>
      </w:r>
      <w:r>
        <w:rPr>
          <w:rFonts w:ascii="Times New Roman" w:cs="Times New Roman" w:eastAsia="Times New Roman" w:hAnsi="Times New Roman"/>
          <w:sz w:val="17"/>
          <w:szCs w:val="17"/>
          <w:color w:val="auto"/>
        </w:rPr>
        <w:t>. Capitalized terms used and not otherwise defined herein shall have the meanings assigned to them in the RPA unless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context otherwise requires.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color w:val="auto"/>
        </w:rPr>
        <w:t>. On the Amendment Effective Date (as defined below), the RPA shall be amended as follows:</w:t>
      </w:r>
    </w:p>
    <w:p>
      <w:pPr>
        <w:spacing w:after="0" w:line="157" w:lineRule="exact"/>
        <w:rPr>
          <w:sz w:val="20"/>
          <w:szCs w:val="20"/>
          <w:color w:val="auto"/>
        </w:rPr>
      </w:pPr>
    </w:p>
    <w:p>
      <w:pPr>
        <w:ind w:left="1240" w:right="2440" w:hanging="618"/>
        <w:spacing w:after="0" w:line="419" w:lineRule="auto"/>
        <w:tabs>
          <w:tab w:leader="none" w:pos="98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“Discount Rate” in Exhibit A to the RPA is deleted in its entirety and replaced by the following: “</w:t>
      </w:r>
      <w:r>
        <w:rPr>
          <w:rFonts w:ascii="Times New Roman" w:cs="Times New Roman" w:eastAsia="Times New Roman" w:hAnsi="Times New Roman"/>
          <w:sz w:val="17"/>
          <w:szCs w:val="17"/>
          <w:u w:val="single" w:color="auto"/>
          <w:color w:val="auto"/>
        </w:rPr>
        <w:t>Discount Rate</w:t>
      </w:r>
      <w:r>
        <w:rPr>
          <w:rFonts w:ascii="Times New Roman" w:cs="Times New Roman" w:eastAsia="Times New Roman" w:hAnsi="Times New Roman"/>
          <w:sz w:val="17"/>
          <w:szCs w:val="17"/>
          <w:color w:val="auto"/>
        </w:rPr>
        <w:t>”: A rate equal to Term SOFR plus 1.15% per annum.</w:t>
      </w:r>
    </w:p>
    <w:p>
      <w:pPr>
        <w:ind w:left="800" w:hanging="375"/>
        <w:spacing w:after="0"/>
        <w:tabs>
          <w:tab w:leader="none" w:pos="8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definition of “Repurchase Rate” in Exhibit A to the RPA is deleted in its entirety and replaced by the following:</w:t>
      </w:r>
    </w:p>
    <w:p>
      <w:pPr>
        <w:spacing w:after="0" w:line="1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“Repurchase Rate”: A rate equal to Term SOFR plus 1.15% per annum.</w:t>
      </w:r>
    </w:p>
    <w:p>
      <w:pPr>
        <w:spacing w:after="0" w:line="123" w:lineRule="exact"/>
        <w:rPr>
          <w:sz w:val="20"/>
          <w:szCs w:val="20"/>
          <w:color w:val="auto"/>
        </w:rPr>
      </w:pPr>
    </w:p>
    <w:p>
      <w:pPr>
        <w:ind w:firstLine="424"/>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b w:val="1"/>
          <w:bCs w:val="1"/>
          <w:u w:val="single" w:color="auto"/>
          <w:color w:val="auto"/>
        </w:rPr>
        <w:t>Effectiveness of This Amendment</w:t>
      </w:r>
      <w:r>
        <w:rPr>
          <w:rFonts w:ascii="Times New Roman" w:cs="Times New Roman" w:eastAsia="Times New Roman" w:hAnsi="Times New Roman"/>
          <w:sz w:val="17"/>
          <w:szCs w:val="17"/>
          <w:color w:val="auto"/>
        </w:rPr>
        <w:t>. This Amendment shall not be effective until the Purchaser receives (i) a counterpart of this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by the Seller, Servicer and the Purchaser and (ii) any such other documents as the Purchaser may reasonably request (the “</w:t>
      </w:r>
      <w:r>
        <w:rPr>
          <w:rFonts w:ascii="Times New Roman" w:cs="Times New Roman" w:eastAsia="Times New Roman" w:hAnsi="Times New Roman"/>
          <w:sz w:val="17"/>
          <w:szCs w:val="17"/>
          <w:u w:val="single" w:color="auto"/>
          <w:color w:val="auto"/>
        </w:rPr>
        <w:t>Amendment Effective Date</w:t>
      </w:r>
      <w:r>
        <w:rPr>
          <w:rFonts w:ascii="Times New Roman" w:cs="Times New Roman" w:eastAsia="Times New Roman" w:hAnsi="Times New Roman"/>
          <w:sz w:val="17"/>
          <w:szCs w:val="17"/>
          <w:color w:val="auto"/>
        </w:rPr>
        <w:t>”).</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 xml:space="preserve">Section 4. </w:t>
      </w:r>
      <w:r>
        <w:rPr>
          <w:rFonts w:ascii="Times New Roman" w:cs="Times New Roman" w:eastAsia="Times New Roman" w:hAnsi="Times New Roman"/>
          <w:sz w:val="17"/>
          <w:szCs w:val="17"/>
          <w:b w:val="1"/>
          <w:bCs w:val="1"/>
          <w:u w:val="single" w:color="auto"/>
          <w:color w:val="auto"/>
        </w:rPr>
        <w:t>Seller Representations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Seller represents and warrants to the Purchaser as follows:</w:t>
      </w:r>
    </w:p>
    <w:p>
      <w:pPr>
        <w:jc w:val="both"/>
        <w:ind w:firstLine="3"/>
        <w:spacing w:after="0" w:line="226" w:lineRule="auto"/>
        <w:tabs>
          <w:tab w:leader="none" w:pos="30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representation and warranty made or deemed made by the Seller in the RPA is true and correct as of the date hereof, except to the extent that a representation or warranty expressly relates solely to an earlier date (in which case such representation or warranty was true and accurate on and as of such earlier date);</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Repurchase or Event of Default has occurred and is continuing as of the date hereof;</w:t>
      </w:r>
    </w:p>
    <w:p>
      <w:pPr>
        <w:sectPr>
          <w:pgSz w:w="11900" w:h="16838" w:orient="portrait"/>
          <w:cols w:equalWidth="0" w:num="1">
            <w:col w:w="11240"/>
          </w:cols>
          <w:pgMar w:left="320" w:top="1344" w:right="339" w:bottom="1440" w:gutter="0" w:footer="0" w:header="0"/>
        </w:sectPr>
      </w:pPr>
    </w:p>
    <w:bookmarkStart w:id="102" w:name="page103"/>
    <w:bookmarkEnd w:id="102"/>
    <w:p>
      <w:pPr>
        <w:spacing w:after="0" w:line="140" w:lineRule="exact"/>
        <w:rPr>
          <w:sz w:val="20"/>
          <w:szCs w:val="20"/>
          <w:color w:val="auto"/>
        </w:rPr>
      </w:pPr>
    </w:p>
    <w:p>
      <w:pPr>
        <w:jc w:val="both"/>
        <w:ind w:firstLine="3"/>
        <w:spacing w:after="0" w:line="226" w:lineRule="auto"/>
        <w:tabs>
          <w:tab w:leader="none" w:pos="30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Seller of this Amendment and the RPA, as amended hereby, (i) are within the Seller’s corporate or other organizational powers, (ii) have been duly authorized by all necessary corporate or other organizational action; (iii) do not contravene (A) the Seller’s Organizational Documents, (B) any law, rule or regulation applicable to the Seller, (C) any contractual restriction binding on or affecting the Seller or its property, or (D) any order, writ, judgment, award, injunction or decree binding on or affecting the Seller or its property;</w:t>
      </w:r>
    </w:p>
    <w:p>
      <w:pPr>
        <w:spacing w:after="0" w:line="179" w:lineRule="exact"/>
        <w:rPr>
          <w:rFonts w:ascii="Times New Roman" w:cs="Times New Roman" w:eastAsia="Times New Roman" w:hAnsi="Times New Roman"/>
          <w:sz w:val="17"/>
          <w:szCs w:val="17"/>
          <w:color w:val="auto"/>
        </w:rPr>
      </w:pPr>
    </w:p>
    <w:p>
      <w:pPr>
        <w:jc w:val="both"/>
        <w:ind w:firstLine="3"/>
        <w:spacing w:after="0" w:line="233" w:lineRule="auto"/>
        <w:tabs>
          <w:tab w:leader="none" w:pos="30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and the RPA are legal, valid and binding obligations of the Seller and so long as the Seller acts as Servicer, enforceable against the Seller and the Servicer, as applicable, in accordance with their terms, except as limited by bankruptcy, insolvency, moratorium, fraudulent conveyance or other laws relating to the enforcement of creditors’ rights generally and general principles of equity (regardless of whether enforcement is sought at equity or law).</w:t>
      </w:r>
    </w:p>
    <w:p>
      <w:pPr>
        <w:spacing w:after="0" w:line="110" w:lineRule="exact"/>
        <w:rPr>
          <w:sz w:val="20"/>
          <w:szCs w:val="20"/>
          <w:color w:val="auto"/>
        </w:rPr>
      </w:pPr>
    </w:p>
    <w:p>
      <w:pPr>
        <w:jc w:val="both"/>
        <w:ind w:firstLine="426"/>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5. </w:t>
      </w:r>
      <w:r>
        <w:rPr>
          <w:rFonts w:ascii="Times New Roman" w:cs="Times New Roman" w:eastAsia="Times New Roman" w:hAnsi="Times New Roman"/>
          <w:sz w:val="17"/>
          <w:szCs w:val="17"/>
          <w:b w:val="1"/>
          <w:bCs w:val="1"/>
          <w:u w:val="single" w:color="auto"/>
          <w:color w:val="auto"/>
        </w:rPr>
        <w:t>Reaffirmation; Effect of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Seller and the Servicer each acknowledges and reaffirms that the RPA, as hereby amended, is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ratified and confirmed in all respects and all terms, conditions, and provisions of the RPA, except as amended by this Amendment, shall remain unmodified and in full force and effect. All references in any document or instrument to the RPA are hereby amended to refer to the RPA as amended by this Amendment. If any part of this Amendment is for any reason found to be unenforceable, all other portions of it shall nevertheless remain enforceable. The RPA and any and all other documents heretofore, now or hereafter executed and delivered pursuant to the terms of the RPA are hereby amended so that any reference to the RPA shall mean a reference to the RPA amended by this Amendment.</w:t>
      </w:r>
    </w:p>
    <w:p>
      <w:pPr>
        <w:spacing w:after="0" w:line="119" w:lineRule="exact"/>
        <w:rPr>
          <w:sz w:val="20"/>
          <w:szCs w:val="20"/>
          <w:color w:val="auto"/>
        </w:rPr>
      </w:pPr>
    </w:p>
    <w:p>
      <w:pPr>
        <w:jc w:val="both"/>
        <w:ind w:firstLine="424"/>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Section 6.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Amendment shall be governed by and construed in accordance with the laws of the State of New York, without regard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conflict of laws principles.</w:t>
      </w:r>
    </w:p>
    <w:p>
      <w:pPr>
        <w:spacing w:after="0" w:line="105" w:lineRule="exact"/>
        <w:rPr>
          <w:sz w:val="20"/>
          <w:szCs w:val="20"/>
          <w:color w:val="auto"/>
        </w:rPr>
      </w:pPr>
    </w:p>
    <w:p>
      <w:pPr>
        <w:jc w:val="both"/>
        <w:ind w:firstLine="426"/>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Section 7. </w:t>
      </w:r>
      <w:r>
        <w:rPr>
          <w:rFonts w:ascii="Times New Roman" w:cs="Times New Roman" w:eastAsia="Times New Roman" w:hAnsi="Times New Roman"/>
          <w:sz w:val="17"/>
          <w:szCs w:val="17"/>
          <w:b w:val="1"/>
          <w:bCs w:val="1"/>
          <w:u w:val="single" w:color="auto"/>
          <w:color w:val="auto"/>
        </w:rPr>
        <w:t>Headings.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headings in this Amendment are included herein for convenience of reference only and shall not constitute a part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for any other purpose.</w:t>
      </w:r>
    </w:p>
    <w:p>
      <w:pPr>
        <w:spacing w:after="0" w:line="92" w:lineRule="exact"/>
        <w:rPr>
          <w:sz w:val="20"/>
          <w:szCs w:val="20"/>
          <w:color w:val="auto"/>
        </w:rPr>
      </w:pPr>
    </w:p>
    <w:p>
      <w:pPr>
        <w:jc w:val="both"/>
        <w:ind w:firstLine="426"/>
        <w:spacing w:after="0"/>
        <w:rPr>
          <w:sz w:val="20"/>
          <w:szCs w:val="20"/>
          <w:color w:val="auto"/>
        </w:rPr>
      </w:pPr>
      <w:r>
        <w:rPr>
          <w:rFonts w:ascii="Times New Roman" w:cs="Times New Roman" w:eastAsia="Times New Roman" w:hAnsi="Times New Roman"/>
          <w:sz w:val="17"/>
          <w:szCs w:val="17"/>
          <w:b w:val="1"/>
          <w:bCs w:val="1"/>
          <w:color w:val="auto"/>
        </w:rPr>
        <w:t xml:space="preserve">Section 8.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Amendment may be executed in any number of counterparts and by the parties hereto in separate counterparts, each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when so executed and delivered shall be deemed to be an original and all of which taken together shall constitute one and the same instrument. Delivery of an executed counterpart of a signature page to this Amendment by fax or by email shall be effective as delivery of a manually executed counterpart of this Amendment. Each party agrees that any electronic signature, whether digital or encrypted, of the parties included in this Amendment is intended to authenticate this writing and to have the same force and effect as a manual signature. The term “Electronic Signature” means any electronic sound, symbol, or process attached to or logically associated with a record and executed and adopted by a party with the intent to sign such record, including facsimile or email electronic signatures pursuant to the New York Electronic Signatures and Records Act (N.Y. State Tech. §§ 301-309) as amended from time to time. Any signature delivered by Transmission shall constitute and be deemed an original signature hereto.</w:t>
      </w:r>
    </w:p>
    <w:p>
      <w:pPr>
        <w:spacing w:after="0" w:line="125" w:lineRule="exact"/>
        <w:rPr>
          <w:sz w:val="20"/>
          <w:szCs w:val="20"/>
          <w:color w:val="auto"/>
        </w:rPr>
      </w:pPr>
    </w:p>
    <w:p>
      <w:pPr>
        <w:jc w:val="both"/>
        <w:ind w:firstLine="425"/>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Section 9. </w:t>
      </w:r>
      <w:r>
        <w:rPr>
          <w:rFonts w:ascii="Times New Roman" w:cs="Times New Roman" w:eastAsia="Times New Roman" w:hAnsi="Times New Roman"/>
          <w:sz w:val="17"/>
          <w:szCs w:val="17"/>
          <w:b w:val="1"/>
          <w:bCs w:val="1"/>
          <w:u w:val="single" w:color="auto"/>
          <w:color w:val="auto"/>
        </w:rPr>
        <w:t>ENTIRETY</w:t>
      </w:r>
      <w:r>
        <w:rPr>
          <w:rFonts w:ascii="Times New Roman" w:cs="Times New Roman" w:eastAsia="Times New Roman" w:hAnsi="Times New Roman"/>
          <w:sz w:val="17"/>
          <w:szCs w:val="17"/>
          <w:b w:val="1"/>
          <w:bCs w:val="1"/>
          <w:color w:val="auto"/>
        </w:rPr>
        <w:t>. THIS AMENDMENT, THE RPA, AND ANY OTHER RELATED DOCUMENTS EMBODY THE ENTIRE AGREEMENT BETWEEN THE PARTIES AND SUPERSEDE ALL PRIOR AGREEMENTS AND UNDERSTANDINGS, IF ANY, RELATING TO THE SUBJECT MATTER HEREOF. THESE DOCUMENTS REPRESENT THE FINAL AGREEMENT BETWEEN THE PARTIES AND MAY NOT BE CONTRADICTED BY EVIDENCE OF PRIOR, CONTEMPORANEOUS OR SUBSEQUENT ORAL AGREEMENTS OF THE PARTIES.</w:t>
      </w:r>
    </w:p>
    <w:p>
      <w:pPr>
        <w:spacing w:after="0" w:line="1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 xml:space="preserve">Section 10. </w:t>
      </w:r>
      <w:r>
        <w:rPr>
          <w:rFonts w:ascii="Times New Roman" w:cs="Times New Roman" w:eastAsia="Times New Roman" w:hAnsi="Times New Roman"/>
          <w:sz w:val="17"/>
          <w:szCs w:val="17"/>
          <w:b w:val="1"/>
          <w:bCs w:val="1"/>
          <w:u w:val="single" w:color="auto"/>
          <w:color w:val="auto"/>
        </w:rPr>
        <w:t>Successors.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Amendment binds and inures to the benefit of the parties hereto and their respective successors and permitted assigns.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as of the date first above written.</w:t>
      </w:r>
    </w:p>
    <w:p>
      <w:pPr>
        <w:sectPr>
          <w:pgSz w:w="11900" w:h="16838" w:orient="portrait"/>
          <w:cols w:equalWidth="0" w:num="1">
            <w:col w:w="10780"/>
          </w:cols>
          <w:pgMar w:left="520" w:top="1440" w:right="59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9"/>
          <w:szCs w:val="19"/>
          <w:b w:val="1"/>
          <w:bCs w:val="1"/>
          <w:color w:val="auto"/>
        </w:rPr>
        <w:t>LIFETIME BRANDS, INC.</w:t>
      </w:r>
    </w:p>
    <w:tbl>
      <w:tblPr>
        <w:tblLayout w:type="fixed"/>
        <w:tblInd w:w="2900" w:type="dxa"/>
        <w:tblCellMar>
          <w:top w:w="0" w:type="dxa"/>
          <w:left w:w="0" w:type="dxa"/>
          <w:bottom w:w="0" w:type="dxa"/>
          <w:right w:w="0" w:type="dxa"/>
        </w:tblCellMar>
      </w:tblP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19"/>
                <w:szCs w:val="19"/>
                <w:color w:val="auto"/>
              </w:rPr>
              <w:t>as Seller Agent, a Seller and initial Servicer</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49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Laurence Winoker</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Name: Laurence Winoker</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w w:val="94"/>
              </w:rPr>
              <w:t>Officer</w:t>
            </w:r>
          </w:p>
        </w:tc>
        <w:tc>
          <w:tcPr>
            <w:tcW w:w="0" w:type="dxa"/>
            <w:vAlign w:val="bottom"/>
          </w:tcPr>
          <w:p>
            <w:pPr>
              <w:spacing w:after="0"/>
              <w:rPr>
                <w:sz w:val="1"/>
                <w:szCs w:val="1"/>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19"/>
                <w:szCs w:val="19"/>
                <w:color w:val="auto"/>
              </w:rPr>
              <w:t>Title: Executive Vice President, Treasurer and Chief Financial</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r>
        <w:rPr>
          <w:rFonts w:ascii="Times New Roman" w:cs="Times New Roman" w:eastAsia="Times New Roman" w:hAnsi="Times New Roman"/>
          <w:sz w:val="19"/>
          <w:szCs w:val="19"/>
          <w:color w:val="auto"/>
        </w:rPr>
        <w:t>,</w:t>
      </w:r>
    </w:p>
    <w:p>
      <w:pPr>
        <w:ind w:left="2900"/>
        <w:spacing w:after="0"/>
        <w:rPr>
          <w:sz w:val="20"/>
          <w:szCs w:val="20"/>
          <w:color w:val="auto"/>
        </w:rPr>
      </w:pPr>
      <w:r>
        <w:rPr>
          <w:rFonts w:ascii="Times New Roman" w:cs="Times New Roman" w:eastAsia="Times New Roman" w:hAnsi="Times New Roman"/>
          <w:sz w:val="19"/>
          <w:szCs w:val="19"/>
          <w:color w:val="auto"/>
        </w:rPr>
        <w:t>as Purchaser</w:t>
      </w:r>
    </w:p>
    <w:p>
      <w:pPr>
        <w:spacing w:after="0" w:line="20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Yahaira Soto</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color w:val="auto"/>
        </w:rPr>
        <w:t>Name: Yahaira Soto</w:t>
      </w:r>
    </w:p>
    <w:p>
      <w:pPr>
        <w:ind w:left="2900"/>
        <w:spacing w:after="0"/>
        <w:rPr>
          <w:sz w:val="20"/>
          <w:szCs w:val="20"/>
          <w:color w:val="auto"/>
        </w:rPr>
      </w:pPr>
      <w:r>
        <w:rPr>
          <w:rFonts w:ascii="Times New Roman" w:cs="Times New Roman" w:eastAsia="Times New Roman" w:hAnsi="Times New Roman"/>
          <w:sz w:val="19"/>
          <w:szCs w:val="19"/>
          <w:color w:val="auto"/>
        </w:rPr>
        <w:t>Title: GTRF, US Head of Implementation</w:t>
      </w:r>
    </w:p>
    <w:p>
      <w:pPr>
        <w:sectPr>
          <w:pgSz w:w="11900" w:h="16838" w:orient="portrait"/>
          <w:cols w:equalWidth="0" w:num="1">
            <w:col w:w="10780"/>
          </w:cols>
          <w:pgMar w:left="520" w:top="1440" w:right="599" w:bottom="1440" w:gutter="0" w:footer="0" w:header="0"/>
          <w:type w:val="continuous"/>
        </w:sectPr>
      </w:pPr>
    </w:p>
    <w:bookmarkStart w:id="104" w:name="page105"/>
    <w:bookmarkEnd w:id="10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Subsidiaries of the Registrant</w:t>
            </w:r>
          </w:p>
        </w:tc>
        <w:tc>
          <w:tcPr>
            <w:tcW w:w="3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tc>
        <w:tc>
          <w:tcPr>
            <w:tcW w:w="0" w:type="dxa"/>
            <w:vAlign w:val="bottom"/>
          </w:tcPr>
          <w:p>
            <w:pPr>
              <w:spacing w:after="0"/>
              <w:rPr>
                <w:sz w:val="1"/>
                <w:szCs w:val="1"/>
                <w:color w:val="auto"/>
              </w:rPr>
            </w:pPr>
          </w:p>
        </w:tc>
      </w:tr>
      <w:tr>
        <w:trPr>
          <w:trHeight w:val="232"/>
        </w:trPr>
        <w:tc>
          <w:tcPr>
            <w:tcW w:w="608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80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State/Country of Incorporation</w:t>
            </w: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2"/>
        </w:trPr>
        <w:tc>
          <w:tcPr>
            <w:tcW w:w="60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Creative Tops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Europe B.V.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Netherlands</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Venture Enterprises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 Cafetiere (UK)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(Jersey)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Jersey, Channel Islands</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Europe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Global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Inc. (HK)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Global Trading (Shanghai) Company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China</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International Shanghai</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China</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Holdings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UK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Goal Development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Hong Kong</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Pfaltzgraff Factory Stores, Inc.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Chef’n Corporation</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Washington</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Plant (Birmingham) Holdings Limited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Wallace Silversmiths de Puerto Rico Ltd.</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Cayman Islands</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Exacture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Maquila Factory Imports I,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Maquila Factory Imports II, LLC</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Delaware</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Lifetime Brands Maquila México, S. de R.L. de C.V.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Mexico</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LTB de México, S.A. de C.V.</w:t>
            </w:r>
          </w:p>
        </w:tc>
        <w:tc>
          <w:tcPr>
            <w:tcW w:w="38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Mexico</w:t>
            </w:r>
          </w:p>
        </w:tc>
        <w:tc>
          <w:tcPr>
            <w:tcW w:w="13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5" w:name="page106"/>
    <w:bookmarkEnd w:id="105"/>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(Form S-8 Nos. 333-265931, 333-105382, 333-146017, 333-162734, 333-186208, 333-208961, 333-221613, 333-226666, 333-239539) pertaining to the Amended and Restated 2000 Long-Term Incentive Plan of Lifetime Brands, Inc. of our reports dated March 12, 2024, with respect to the consolidated financial statements and schedule of Lifetime Brands, Inc., and the effectiveness of internal control over financial reporting of Lifetime Brands, Inc. included in this Annual Report (Form 10-K) for the year ended December 31, 2023.</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Jericho, New York</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12, 2024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Board of Directors and Stockholders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Grupo Vasconia, S.A.B.</w:t>
      </w:r>
    </w:p>
    <w:p>
      <w:pPr>
        <w:spacing w:after="0"/>
        <w:rPr>
          <w:sz w:val="20"/>
          <w:szCs w:val="20"/>
          <w:color w:val="auto"/>
        </w:rPr>
      </w:pPr>
      <w:r>
        <w:rPr>
          <w:rFonts w:ascii="Times New Roman" w:cs="Times New Roman" w:eastAsia="Times New Roman" w:hAnsi="Times New Roman"/>
          <w:sz w:val="17"/>
          <w:szCs w:val="17"/>
          <w:b w:val="1"/>
          <w:bCs w:val="1"/>
          <w:color w:val="auto"/>
        </w:rPr>
        <w:t>Avenida 16 de septiembre #346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Colonia El Partidor</w:t>
      </w:r>
    </w:p>
    <w:p>
      <w:pPr>
        <w:spacing w:after="0" w:line="237" w:lineRule="auto"/>
        <w:rPr>
          <w:sz w:val="20"/>
          <w:szCs w:val="20"/>
          <w:color w:val="auto"/>
        </w:rPr>
      </w:pPr>
      <w:r>
        <w:rPr>
          <w:rFonts w:ascii="Times New Roman" w:cs="Times New Roman" w:eastAsia="Times New Roman" w:hAnsi="Times New Roman"/>
          <w:sz w:val="17"/>
          <w:szCs w:val="17"/>
          <w:b w:val="1"/>
          <w:bCs w:val="1"/>
          <w:color w:val="auto"/>
        </w:rPr>
        <w:t>Cuautitlán, Estado de México,</w:t>
      </w:r>
    </w:p>
    <w:p>
      <w:pPr>
        <w:spacing w:after="0"/>
        <w:rPr>
          <w:sz w:val="20"/>
          <w:szCs w:val="20"/>
          <w:color w:val="auto"/>
        </w:rPr>
      </w:pPr>
      <w:r>
        <w:rPr>
          <w:rFonts w:ascii="Times New Roman" w:cs="Times New Roman" w:eastAsia="Times New Roman" w:hAnsi="Times New Roman"/>
          <w:sz w:val="17"/>
          <w:szCs w:val="17"/>
          <w:b w:val="1"/>
          <w:bCs w:val="1"/>
          <w:color w:val="auto"/>
        </w:rPr>
        <w:t>C.P. 54879</w:t>
      </w:r>
    </w:p>
    <w:p>
      <w:pPr>
        <w:spacing w:after="0" w:line="212"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(Nos. 333-265931, 333-105382, 333-146017, 333-162734, 333-186208, 333-208961, 333-221613, 333-226666, 333-239539) of Lifetime Brands, Inc. of our report dated March 12, 2024 relating to the consolidated financial statements (not presented separately herein) of Grupo Vasconia, S.A.B. and subsidiaries (the “Company”) included in the December 31, 2023 annual report on Form 10-K of Lifetime Brands, Inc. Our report contains an explanatory paragraph regarding the Company’s ability to continue as a going concern.</w:t>
      </w:r>
    </w:p>
    <w:p>
      <w:pPr>
        <w:spacing w:after="0" w:line="214"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7"/>
          <w:szCs w:val="17"/>
          <w:color w:val="auto"/>
        </w:rPr>
        <w:t>Our report dated March 12, 2024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23 to the consolidated financial statements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Castillo Miranda y Compañía, S.C. (BDO Mexico)</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C.P.C. Carlos Enrique Charraga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32912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C.P.C. Carlos Enrique Charraga Sanchez</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Partner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Mexico City, Mexico</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12, 2024</w:t>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 Kay, certify that:</w:t>
      </w:r>
    </w:p>
    <w:p>
      <w:pPr>
        <w:spacing w:after="0" w:line="114" w:lineRule="exact"/>
        <w:rPr>
          <w:sz w:val="20"/>
          <w:szCs w:val="20"/>
          <w:color w:val="auto"/>
        </w:rPr>
      </w:pPr>
    </w:p>
    <w:p>
      <w:pPr>
        <w:ind w:left="560" w:hanging="170"/>
        <w:spacing w:after="0"/>
        <w:tabs>
          <w:tab w:leader="none" w:pos="5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Lifetime Brands, Inc. (“the registrant”);</w:t>
      </w:r>
    </w:p>
    <w:p>
      <w:pPr>
        <w:spacing w:after="0" w:line="113"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Times New Roman" w:cs="Times New Roman" w:eastAsia="Times New Roman" w:hAnsi="Times New Roman"/>
          <w:sz w:val="17"/>
          <w:szCs w:val="17"/>
          <w:color w:val="auto"/>
        </w:rPr>
      </w:pPr>
    </w:p>
    <w:p>
      <w:pPr>
        <w:ind w:left="380" w:right="40" w:firstLine="10"/>
        <w:spacing w:after="0" w:line="287" w:lineRule="auto"/>
        <w:tabs>
          <w:tab w:leader="none" w:pos="55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780" w:right="100" w:hanging="3"/>
        <w:spacing w:after="0" w:line="270" w:lineRule="auto"/>
        <w:tabs>
          <w:tab w:leader="none" w:pos="94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2" w:lineRule="exact"/>
        <w:rPr>
          <w:rFonts w:ascii="Times New Roman" w:cs="Times New Roman" w:eastAsia="Times New Roman" w:hAnsi="Times New Roman"/>
          <w:sz w:val="17"/>
          <w:szCs w:val="17"/>
          <w:color w:val="auto"/>
        </w:rPr>
      </w:pPr>
    </w:p>
    <w:p>
      <w:pPr>
        <w:ind w:left="780" w:right="80" w:hanging="3"/>
        <w:spacing w:after="0" w:line="270" w:lineRule="auto"/>
        <w:tabs>
          <w:tab w:leader="none" w:pos="95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780" w:right="140" w:hanging="3"/>
        <w:spacing w:after="0" w:line="287" w:lineRule="auto"/>
        <w:tabs>
          <w:tab w:leader="none" w:pos="94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780" w:hanging="3"/>
        <w:spacing w:after="0" w:line="287" w:lineRule="auto"/>
        <w:tabs>
          <w:tab w:leader="none" w:pos="95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left="380" w:right="500" w:firstLine="10"/>
        <w:spacing w:after="0" w:line="287" w:lineRule="auto"/>
        <w:tabs>
          <w:tab w:leader="none" w:pos="55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80" w:right="80" w:hanging="3"/>
        <w:spacing w:after="0" w:line="287" w:lineRule="auto"/>
        <w:tabs>
          <w:tab w:leader="none" w:pos="94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80" w:right="100" w:hanging="3"/>
        <w:spacing w:after="0" w:line="287" w:lineRule="auto"/>
        <w:tabs>
          <w:tab w:leader="none" w:pos="95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Date: March 12, 2024</w:t>
      </w:r>
    </w:p>
    <w:p>
      <w:pPr>
        <w:spacing w:after="0" w:line="2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17145</wp:posOffset>
            </wp:positionV>
            <wp:extent cx="25869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Robert B. Kay</w:t>
      </w:r>
    </w:p>
    <w:p>
      <w:pPr>
        <w:ind w:left="780"/>
        <w:spacing w:after="0" w:line="197" w:lineRule="auto"/>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Chief Executive Officer and Director</w:t>
      </w:r>
    </w:p>
    <w:p>
      <w:pPr>
        <w:sectPr>
          <w:pgSz w:w="11900" w:h="16838" w:orient="portrait"/>
          <w:cols w:equalWidth="0" w:num="1">
            <w:col w:w="11240"/>
          </w:cols>
          <w:pgMar w:left="320" w:top="85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Laurence Winoker, certify that:</w:t>
      </w:r>
    </w:p>
    <w:p>
      <w:pPr>
        <w:spacing w:after="0" w:line="114" w:lineRule="exact"/>
        <w:rPr>
          <w:sz w:val="20"/>
          <w:szCs w:val="20"/>
          <w:color w:val="auto"/>
        </w:rPr>
      </w:pPr>
    </w:p>
    <w:p>
      <w:pPr>
        <w:ind w:left="560" w:hanging="170"/>
        <w:spacing w:after="0"/>
        <w:tabs>
          <w:tab w:leader="none" w:pos="5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Lifetime Brands, Inc. (“the registrant”);</w:t>
      </w:r>
    </w:p>
    <w:p>
      <w:pPr>
        <w:spacing w:after="0" w:line="113"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Times New Roman" w:cs="Times New Roman" w:eastAsia="Times New Roman" w:hAnsi="Times New Roman"/>
          <w:sz w:val="17"/>
          <w:szCs w:val="17"/>
          <w:color w:val="auto"/>
        </w:rPr>
      </w:pPr>
    </w:p>
    <w:p>
      <w:pPr>
        <w:ind w:left="380" w:right="40" w:firstLine="10"/>
        <w:spacing w:after="0" w:line="287" w:lineRule="auto"/>
        <w:tabs>
          <w:tab w:leader="none" w:pos="55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Times New Roman" w:cs="Times New Roman" w:eastAsia="Times New Roman" w:hAnsi="Times New Roman"/>
          <w:sz w:val="17"/>
          <w:szCs w:val="17"/>
          <w:color w:val="auto"/>
        </w:rPr>
      </w:pPr>
    </w:p>
    <w:p>
      <w:pPr>
        <w:ind w:left="380" w:right="80" w:firstLine="10"/>
        <w:spacing w:after="0" w:line="270" w:lineRule="auto"/>
        <w:tabs>
          <w:tab w:leader="none" w:pos="55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780" w:right="100" w:hanging="3"/>
        <w:spacing w:after="0" w:line="270" w:lineRule="auto"/>
        <w:tabs>
          <w:tab w:leader="none" w:pos="94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2" w:lineRule="exact"/>
        <w:rPr>
          <w:rFonts w:ascii="Times New Roman" w:cs="Times New Roman" w:eastAsia="Times New Roman" w:hAnsi="Times New Roman"/>
          <w:sz w:val="17"/>
          <w:szCs w:val="17"/>
          <w:color w:val="auto"/>
        </w:rPr>
      </w:pPr>
    </w:p>
    <w:p>
      <w:pPr>
        <w:ind w:left="780" w:right="80" w:hanging="3"/>
        <w:spacing w:after="0" w:line="270" w:lineRule="auto"/>
        <w:tabs>
          <w:tab w:leader="none" w:pos="95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780" w:right="140" w:hanging="3"/>
        <w:spacing w:after="0" w:line="287" w:lineRule="auto"/>
        <w:tabs>
          <w:tab w:leader="none" w:pos="94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780" w:hanging="3"/>
        <w:spacing w:after="0" w:line="287" w:lineRule="auto"/>
        <w:tabs>
          <w:tab w:leader="none" w:pos="95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left="380" w:right="500" w:firstLine="10"/>
        <w:spacing w:after="0" w:line="287" w:lineRule="auto"/>
        <w:tabs>
          <w:tab w:leader="none" w:pos="55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80" w:right="80" w:hanging="3"/>
        <w:spacing w:after="0" w:line="287" w:lineRule="auto"/>
        <w:tabs>
          <w:tab w:leader="none" w:pos="94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2120" w:right="100" w:hanging="1343"/>
        <w:spacing w:after="0" w:line="334" w:lineRule="auto"/>
        <w:tabs>
          <w:tab w:leader="none" w:pos="95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Date: March 12, 2024</w:t>
      </w:r>
    </w:p>
    <w:p>
      <w:pPr>
        <w:spacing w:after="0" w:line="1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17145</wp:posOffset>
            </wp:positionV>
            <wp:extent cx="46501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4650105" cy="8255"/>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color w:val="auto"/>
        </w:rPr>
        <w:t>Laurence Winoker</w:t>
      </w:r>
    </w:p>
    <w:p>
      <w:pPr>
        <w:ind w:left="780"/>
        <w:spacing w:after="0" w:line="197" w:lineRule="auto"/>
        <w:rPr>
          <w:sz w:val="20"/>
          <w:szCs w:val="20"/>
          <w:color w:val="auto"/>
        </w:rPr>
      </w:pPr>
      <w:r>
        <w:rPr>
          <w:rFonts w:ascii="Times New Roman" w:cs="Times New Roman" w:eastAsia="Times New Roman" w:hAnsi="Times New Roman"/>
          <w:sz w:val="34"/>
          <w:szCs w:val="34"/>
          <w:color w:val="auto"/>
          <w:vertAlign w:val="subscript"/>
        </w:rPr>
        <w:t>financial reporting.</w:t>
      </w:r>
      <w:r>
        <w:rPr>
          <w:rFonts w:ascii="Times New Roman" w:cs="Times New Roman" w:eastAsia="Times New Roman" w:hAnsi="Times New Roman"/>
          <w:sz w:val="17"/>
          <w:szCs w:val="17"/>
          <w:color w:val="auto"/>
        </w:rPr>
        <w:t>Executive Vice President - Treasurer and Chief Financial Officer</w:t>
      </w:r>
    </w:p>
    <w:p>
      <w:pPr>
        <w:sectPr>
          <w:pgSz w:w="11900" w:h="16838" w:orient="portrait"/>
          <w:cols w:equalWidth="0" w:num="1">
            <w:col w:w="11240"/>
          </w:cols>
          <w:pgMar w:left="320" w:top="85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Certification by Robert B. Kay, Chief Executive Officer and Director, and Laurence Winoker, Executive Vice President - Finance, Treasurer and Chief Financial Officer, Pursuant to 18 U.S.C. Section 1350, as Adopted Pursuant to Section 906 of the Sarbanes-Oxley Act of 2002.</w:t>
      </w:r>
    </w:p>
    <w:p>
      <w:pPr>
        <w:spacing w:after="0" w:line="15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I, Robert B. Kay, Chief Executive Officer, and I, Laurence Winoker, Executive Vice President - Finance, Treasurer and Chief Financial Officer, of Lifetime Brands, Inc., a Delaware corporation (the “Company”), each hereby certifies that:</w:t>
      </w:r>
    </w:p>
    <w:p>
      <w:pPr>
        <w:spacing w:after="0" w:line="48" w:lineRule="exact"/>
        <w:rPr>
          <w:sz w:val="20"/>
          <w:szCs w:val="20"/>
          <w:color w:val="auto"/>
        </w:rPr>
      </w:pPr>
    </w:p>
    <w:p>
      <w:pPr>
        <w:ind w:left="620" w:right="680" w:hanging="307"/>
        <w:spacing w:after="0" w:line="287" w:lineRule="auto"/>
        <w:tabs>
          <w:tab w:leader="none" w:pos="61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2023 (the “Form 10-K”) fully complies with the requirements of Section 13(a) or 15(d) of the Securities Exchange Act of 1934, as amended;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4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Robert B. Kay</w:t>
            </w: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Laurence Winoker</w:t>
            </w:r>
          </w:p>
        </w:tc>
      </w:tr>
      <w:tr>
        <w:trPr>
          <w:trHeight w:val="160"/>
        </w:trPr>
        <w:tc>
          <w:tcPr>
            <w:tcW w:w="52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Robert B. Kay</w:t>
            </w:r>
          </w:p>
        </w:tc>
        <w:tc>
          <w:tcPr>
            <w:tcW w:w="120" w:type="dxa"/>
            <w:vAlign w:val="bottom"/>
          </w:tcPr>
          <w:p>
            <w:pPr>
              <w:spacing w:after="0"/>
              <w:rPr>
                <w:sz w:val="13"/>
                <w:szCs w:val="13"/>
                <w:color w:val="auto"/>
              </w:rPr>
            </w:pPr>
          </w:p>
        </w:tc>
        <w:tc>
          <w:tcPr>
            <w:tcW w:w="52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Laurence Winoker</w:t>
            </w:r>
          </w:p>
        </w:tc>
      </w:tr>
      <w:tr>
        <w:trPr>
          <w:trHeight w:val="177"/>
        </w:trPr>
        <w:tc>
          <w:tcPr>
            <w:tcW w:w="53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Chief Executive Officer and Director</w:t>
            </w:r>
          </w:p>
        </w:tc>
        <w:tc>
          <w:tcPr>
            <w:tcW w:w="52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Executive Vice President- Treasurer</w:t>
            </w: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Chief Financial Officer</w:t>
            </w:r>
          </w:p>
        </w:tc>
      </w:tr>
      <w:tr>
        <w:trPr>
          <w:trHeight w:val="47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 March 12, 2024</w:t>
            </w:r>
          </w:p>
        </w:tc>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 March 12, 2024</w:t>
            </w: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signed original of this certification required by 18 U.S.C. Section 1350 has been provided to Lifetime Brands, Inc. and will be retained by Lifetime Brands,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furnished to the SEC or its staff upon request.</w:t>
      </w:r>
    </w:p>
    <w:p>
      <w:pPr>
        <w:spacing w:after="0" w:line="2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240"/>
          </w:cols>
          <w:pgMar w:left="320" w:top="108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3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4"/>
          <w:szCs w:val="34"/>
          <w:b w:val="1"/>
          <w:bCs w:val="1"/>
          <w:color w:val="auto"/>
        </w:rPr>
        <w:t>Compensation Recoupment Policy of</w:t>
      </w:r>
    </w:p>
    <w:p>
      <w:pPr>
        <w:spacing w:after="0" w:line="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Lifetime Brands, Inc.</w:t>
      </w:r>
    </w:p>
    <w:p>
      <w:pPr>
        <w:spacing w:after="0" w:line="3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Dated August 2, 2023</w:t>
      </w:r>
    </w:p>
    <w:p>
      <w:pPr>
        <w:sectPr>
          <w:pgSz w:w="11900" w:h="16838" w:orient="portrait"/>
          <w:cols w:equalWidth="0" w:num="1">
            <w:col w:w="10120"/>
          </w:cols>
          <w:pgMar w:left="1440" w:top="1357" w:right="339" w:bottom="1440" w:gutter="0" w:footer="0" w:header="0"/>
        </w:sectPr>
      </w:pPr>
    </w:p>
    <w:bookmarkStart w:id="111" w:name="page112"/>
    <w:bookmarkEnd w:id="111"/>
    <w:p>
      <w:pPr>
        <w:spacing w:after="0" w:line="1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left="620"/>
        <w:spacing w:after="0" w:line="227" w:lineRule="auto"/>
        <w:rPr>
          <w:sz w:val="20"/>
          <w:szCs w:val="20"/>
          <w:color w:val="auto"/>
        </w:rPr>
      </w:pPr>
      <w:r>
        <w:rPr>
          <w:rFonts w:ascii="Times New Roman" w:cs="Times New Roman" w:eastAsia="Times New Roman" w:hAnsi="Times New Roman"/>
          <w:sz w:val="21"/>
          <w:szCs w:val="21"/>
          <w:color w:val="auto"/>
        </w:rPr>
        <w:t>Lifetime Brands,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this Compensation Recoupment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to implement a mandatory clawback policy in the event of a Restatement in compliance with the applicable rules of the Nasdaq Stock Market (“</w:t>
      </w:r>
      <w:r>
        <w:rPr>
          <w:rFonts w:ascii="Times New Roman" w:cs="Times New Roman" w:eastAsia="Times New Roman" w:hAnsi="Times New Roman"/>
          <w:sz w:val="21"/>
          <w:szCs w:val="21"/>
          <w:b w:val="1"/>
          <w:bCs w:val="1"/>
          <w:i w:val="1"/>
          <w:iCs w:val="1"/>
          <w:color w:val="auto"/>
        </w:rPr>
        <w:t>Nasdaq</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Any capitalized terms used, but not immediately defined, in this Policy have the meanings set forth in Section 13.</w:t>
      </w:r>
    </w:p>
    <w:p>
      <w:pPr>
        <w:spacing w:after="0" w:line="29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p>
    <w:p>
      <w:pPr>
        <w:spacing w:after="0" w:line="155" w:lineRule="exact"/>
        <w:rPr>
          <w:sz w:val="20"/>
          <w:szCs w:val="20"/>
          <w:color w:val="auto"/>
        </w:rPr>
      </w:pPr>
    </w:p>
    <w:p>
      <w:pPr>
        <w:jc w:val="both"/>
        <w:ind w:left="620"/>
        <w:spacing w:after="0" w:line="217" w:lineRule="auto"/>
        <w:rPr>
          <w:sz w:val="20"/>
          <w:szCs w:val="20"/>
          <w:color w:val="auto"/>
        </w:rPr>
      </w:pPr>
      <w:r>
        <w:rPr>
          <w:rFonts w:ascii="Times New Roman" w:cs="Times New Roman" w:eastAsia="Times New Roman" w:hAnsi="Times New Roman"/>
          <w:sz w:val="21"/>
          <w:szCs w:val="21"/>
          <w:color w:val="auto"/>
        </w:rPr>
        <w:t>This Policy shall be administered in the sole discretion of the Committee. The Committee shall have the discretion to interpret the Policy and make all determinations with respect to this Policy, consistent with applicable law and this Policy. Without limiting the foregoing this Policy shall be interpreted in a manner that is consistent with the requirements of the Applicable Rules, and compliance with this Policy shall not be waived by the Committee, the Board or the Company in any respect. Any interpretations and determinations made by the Committee shall be final and binding on all affected individuals.</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This Policy is effective as of December 1, 2023. This Policy applies to Incentive-Based Compensation that is Received by any Executive Officer on or after October 2, 2023 as described in Section 7 below.</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The Board may amend this Policy from time to time in its discretion, subject to any limitations under applicable law or listing standards, including the Applicable Rules.</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0"/>
          <w:szCs w:val="20"/>
          <w:u w:val="single" w:color="auto"/>
          <w:color w:val="auto"/>
        </w:rPr>
        <w:t>No Substitution of Rights; Non-Exhaustive Rights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25" w:lineRule="auto"/>
        <w:rPr>
          <w:sz w:val="20"/>
          <w:szCs w:val="20"/>
          <w:color w:val="auto"/>
        </w:rPr>
      </w:pPr>
      <w:r>
        <w:rPr>
          <w:rFonts w:ascii="Times New Roman" w:cs="Times New Roman" w:eastAsia="Times New Roman" w:hAnsi="Times New Roman"/>
          <w:sz w:val="21"/>
          <w:szCs w:val="21"/>
          <w:color w:val="auto"/>
        </w:rPr>
        <w:t>Any right of recoupment under this Policy is in addition to, and not in lieu of, any other remedies or rights that may be available to the Company pursuant to any incentive compensation plan or provision in any employment agreement or other agreement, or any other legal remedies available to the Company under applicable law.</w:t>
      </w:r>
    </w:p>
    <w:p>
      <w:pPr>
        <w:spacing w:after="0" w:line="43"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In addition to recovery of compensation as provided for in this Policy, the Company may take any and all other actions as it deems necessary, appropriate and in the Company’s best interest in connection with the Committee determining that this Policy should apply, including termination of the employment of, or initiating legal action against, an Executive Officer, and nothing in this Policy limits the Company’s rights to take any such appropriate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6370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2" w:lineRule="exact"/>
        <w:rPr>
          <w:sz w:val="20"/>
          <w:szCs w:val="20"/>
          <w:color w:val="auto"/>
        </w:rPr>
      </w:pPr>
    </w:p>
    <w:p>
      <w:pPr>
        <w:ind w:right="140" w:firstLine="3"/>
        <w:spacing w:after="0" w:line="209" w:lineRule="auto"/>
        <w:tabs>
          <w:tab w:leader="none" w:pos="261"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executives subject to this Policy must sign an acknowledgement when this Policy is being rolled out. Any new executives must sign an acknowledgement once they become covered by this Policy. A form acknowledgement is attached as Exhibit A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6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6.</w:t>
      </w:r>
      <w:r>
        <w:rPr>
          <w:sz w:val="20"/>
          <w:szCs w:val="20"/>
          <w:color w:val="auto"/>
        </w:rPr>
        <w:tab/>
      </w:r>
      <w:r>
        <w:rPr>
          <w:rFonts w:ascii="Times New Roman" w:cs="Times New Roman" w:eastAsia="Times New Roman" w:hAnsi="Times New Roman"/>
          <w:sz w:val="20"/>
          <w:szCs w:val="20"/>
          <w:u w:val="single" w:color="auto"/>
          <w:color w:val="auto"/>
        </w:rPr>
        <w:t>Recovery on a Restatement</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13" w:lineRule="auto"/>
        <w:rPr>
          <w:sz w:val="20"/>
          <w:szCs w:val="20"/>
          <w:color w:val="auto"/>
        </w:rPr>
      </w:pPr>
      <w:r>
        <w:rPr>
          <w:rFonts w:ascii="Times New Roman" w:cs="Times New Roman" w:eastAsia="Times New Roman" w:hAnsi="Times New Roman"/>
          <w:sz w:val="21"/>
          <w:szCs w:val="21"/>
          <w:color w:val="auto"/>
        </w:rPr>
        <w:t>In the event the Company is required to prepare a Restatement, the Company shall reasonably promptly recover from an Executive Officer the amount of any erroneously awarded Incentive-Based Compensation that is Received by such Executive Officer during the Recovery Period. The amount of erroneously Received Incentive-Based Compensation will be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spacing w:after="0" w:line="47" w:lineRule="exact"/>
        <w:rPr>
          <w:sz w:val="20"/>
          <w:szCs w:val="20"/>
          <w:color w:val="auto"/>
        </w:rPr>
      </w:pPr>
    </w:p>
    <w:p>
      <w:pPr>
        <w:jc w:val="both"/>
        <w:ind w:left="620"/>
        <w:spacing w:after="0" w:line="210" w:lineRule="auto"/>
        <w:rPr>
          <w:sz w:val="20"/>
          <w:szCs w:val="20"/>
          <w:color w:val="auto"/>
        </w:rPr>
      </w:pPr>
      <w:r>
        <w:rPr>
          <w:rFonts w:ascii="Times New Roman" w:cs="Times New Roman" w:eastAsia="Times New Roman" w:hAnsi="Times New Roman"/>
          <w:sz w:val="21"/>
          <w:szCs w:val="21"/>
          <w:color w:val="auto"/>
        </w:rPr>
        <w:t>Without limiting the foregoing, for Incentive-Based Compensation based on the Company’s stock price or total shareholder return, where the amount of erroneously awarded compensation is not subject to mathematical recalculation directly from the information in the Restatement, (a) the amount shall be based on the Company’s reasonable estimate of the effect of the Restatement on the stock price or total shareholder return upon which the Incentive-Based Compensation was Received and</w:t>
      </w:r>
    </w:p>
    <w:p>
      <w:pPr>
        <w:spacing w:after="0" w:line="2" w:lineRule="exact"/>
        <w:rPr>
          <w:sz w:val="20"/>
          <w:szCs w:val="20"/>
          <w:color w:val="auto"/>
        </w:rPr>
      </w:pPr>
    </w:p>
    <w:p>
      <w:pPr>
        <w:ind w:left="620" w:firstLine="2"/>
        <w:spacing w:after="0" w:line="224" w:lineRule="auto"/>
        <w:tabs>
          <w:tab w:leader="none" w:pos="91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maintain documentation of the determination of that reasonable estimate and provide such estimate to the Regulators.</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7.</w:t>
      </w:r>
      <w:r>
        <w:rPr>
          <w:sz w:val="20"/>
          <w:szCs w:val="20"/>
          <w:color w:val="auto"/>
        </w:rPr>
        <w:tab/>
      </w:r>
      <w:r>
        <w:rPr>
          <w:rFonts w:ascii="Times New Roman" w:cs="Times New Roman" w:eastAsia="Times New Roman" w:hAnsi="Times New Roman"/>
          <w:sz w:val="20"/>
          <w:szCs w:val="20"/>
          <w:u w:val="single" w:color="auto"/>
          <w:color w:val="auto"/>
        </w:rPr>
        <w:t>Covered Executive Officers and Covered Incentive-Based Compensation</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17" w:lineRule="auto"/>
        <w:rPr>
          <w:sz w:val="20"/>
          <w:szCs w:val="20"/>
          <w:color w:val="auto"/>
        </w:rPr>
      </w:pPr>
      <w:r>
        <w:rPr>
          <w:rFonts w:ascii="Times New Roman" w:cs="Times New Roman" w:eastAsia="Times New Roman" w:hAnsi="Times New Roman"/>
          <w:sz w:val="21"/>
          <w:szCs w:val="21"/>
          <w:color w:val="auto"/>
        </w:rPr>
        <w:t>This Policy covers all persons who are Executive Officers at any time during the Recovery Period for which Incentive-Based Compensation is Received. Incentive-Based Compensation shall not be recovered under this Policy to the extent Received by any person before the date the person served as an Executive Officer. Subsequent changes in an Executive Officer’s employment status, including retirement or termination of employment, do not affect the Company’s right to recover Incentive-Based Compensation pursuant to this Policy.</w:t>
      </w:r>
    </w:p>
    <w:p>
      <w:pPr>
        <w:spacing w:after="0" w:line="43" w:lineRule="exact"/>
        <w:rPr>
          <w:sz w:val="20"/>
          <w:szCs w:val="20"/>
          <w:color w:val="auto"/>
        </w:rPr>
      </w:pPr>
    </w:p>
    <w:p>
      <w:pPr>
        <w:jc w:val="both"/>
        <w:ind w:left="620"/>
        <w:spacing w:after="0" w:line="225" w:lineRule="auto"/>
        <w:rPr>
          <w:sz w:val="20"/>
          <w:szCs w:val="20"/>
          <w:color w:val="auto"/>
        </w:rPr>
      </w:pPr>
      <w:r>
        <w:rPr>
          <w:rFonts w:ascii="Times New Roman" w:cs="Times New Roman" w:eastAsia="Times New Roman" w:hAnsi="Times New Roman"/>
          <w:sz w:val="21"/>
          <w:szCs w:val="21"/>
          <w:color w:val="auto"/>
        </w:rPr>
        <w:t>This Policy shall apply to Incentive-Based Compensation that is Received by any Executive Officer on or after October 2, 2023 and that results from attainment of a Financial Reporting Measure based on or derived from financial information for any fiscal period ending on or after October 2, 2023.</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8.</w:t>
      </w:r>
      <w:r>
        <w:rPr>
          <w:sz w:val="20"/>
          <w:szCs w:val="20"/>
          <w:color w:val="auto"/>
        </w:rPr>
        <w:tab/>
      </w:r>
      <w:r>
        <w:rPr>
          <w:rFonts w:ascii="Times New Roman" w:cs="Times New Roman" w:eastAsia="Times New Roman" w:hAnsi="Times New Roman"/>
          <w:sz w:val="20"/>
          <w:szCs w:val="20"/>
          <w:u w:val="single" w:color="auto"/>
          <w:color w:val="auto"/>
        </w:rPr>
        <w:t>Methods of Recovery; Limited Exceptions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The Committee shall determine, in its sole discretion, the method of recovering any Incentive-Based Compensation subject to this Policy, including those methods set forth in Section 10.</w:t>
      </w:r>
    </w:p>
    <w:p>
      <w:pPr>
        <w:spacing w:after="0" w:line="43"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No recovery shall be required if any of the following conditions are met and the Committee determines that, on such basis, recovery would be impracticable:</w:t>
      </w:r>
    </w:p>
    <w:p>
      <w:pPr>
        <w:spacing w:after="0" w:line="43" w:lineRule="exact"/>
        <w:rPr>
          <w:sz w:val="20"/>
          <w:szCs w:val="20"/>
          <w:color w:val="auto"/>
        </w:rPr>
      </w:pPr>
    </w:p>
    <w:p>
      <w:pPr>
        <w:jc w:val="both"/>
        <w:ind w:left="1080" w:hanging="458"/>
        <w:spacing w:after="0" w:line="217" w:lineRule="auto"/>
        <w:tabs>
          <w:tab w:leader="none" w:pos="107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direct expense paid to a third party to assist in enforcing this Policy would exceed the amount to be recovered;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prior to making a determination that it would be impracticable to recover any Incentive-Based Compensation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based on the expense of enforcement, the Company shall (i) have made a reasonable attempt to recover the Incentive-Based Compensation, (ii) have documented such reasonable attempt to recover, and (iii) provide the documentation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31" w:lineRule="exact"/>
        <w:rPr>
          <w:sz w:val="20"/>
          <w:szCs w:val="20"/>
          <w:color w:val="auto"/>
        </w:rPr>
      </w:pPr>
    </w:p>
    <w:p>
      <w:pPr>
        <w:jc w:val="both"/>
        <w:ind w:left="1080" w:hanging="458"/>
        <w:spacing w:after="0" w:line="221" w:lineRule="auto"/>
        <w:tabs>
          <w:tab w:leader="none" w:pos="107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recovery would violate home country law where that law was adopted prior to November 28, 2022;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prior to making a determination that it would be impracticable to recover any Incentive-Based Compensation based on a violation of home country law, the Company shall (i) have obtained an opinion of home country counsel, acceptable to Nasdaq, that recovery would result in such violation, and (ii) provide a copy of such opinion to Nasdaq; or</w:t>
      </w:r>
    </w:p>
    <w:p>
      <w:pPr>
        <w:spacing w:after="0" w:line="42" w:lineRule="exact"/>
        <w:rPr>
          <w:rFonts w:ascii="Times New Roman" w:cs="Times New Roman" w:eastAsia="Times New Roman" w:hAnsi="Times New Roman"/>
          <w:sz w:val="21"/>
          <w:szCs w:val="21"/>
          <w:color w:val="auto"/>
        </w:rPr>
      </w:pPr>
    </w:p>
    <w:p>
      <w:pPr>
        <w:jc w:val="both"/>
        <w:ind w:left="1100" w:hanging="478"/>
        <w:spacing w:after="0" w:line="225" w:lineRule="auto"/>
        <w:tabs>
          <w:tab w:leader="none" w:pos="109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to fail to meet the requirements of Section 401(a)(13) or Section 411(a)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and U.S. Treasury regulations promulgated thereunder.</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9.</w:t>
      </w:r>
      <w:r>
        <w:rPr>
          <w:sz w:val="20"/>
          <w:szCs w:val="20"/>
          <w:color w:val="auto"/>
        </w:rPr>
        <w:tab/>
      </w:r>
      <w:r>
        <w:rPr>
          <w:rFonts w:ascii="Times New Roman" w:cs="Times New Roman" w:eastAsia="Times New Roman" w:hAnsi="Times New Roman"/>
          <w:sz w:val="20"/>
          <w:szCs w:val="20"/>
          <w:u w:val="single" w:color="auto"/>
          <w:color w:val="auto"/>
        </w:rPr>
        <w:t>Reporting; Disclosure; Monitoring</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25" w:lineRule="auto"/>
        <w:rPr>
          <w:sz w:val="20"/>
          <w:szCs w:val="20"/>
          <w:color w:val="auto"/>
        </w:rPr>
      </w:pPr>
      <w:r>
        <w:rPr>
          <w:rFonts w:ascii="Times New Roman" w:cs="Times New Roman" w:eastAsia="Times New Roman" w:hAnsi="Times New Roman"/>
          <w:sz w:val="21"/>
          <w:szCs w:val="21"/>
          <w:color w:val="auto"/>
        </w:rPr>
        <w:t>The Company shall make all required disclosures and filings with the Regulators with respect to this Policy in accordance with the requirements of the Applicable Rules, and any other requirements applicable to the Company, including the disclosures required in connection with SEC filings.</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10.</w:t>
      </w:r>
      <w:r>
        <w:rPr>
          <w:sz w:val="20"/>
          <w:szCs w:val="20"/>
          <w:color w:val="auto"/>
        </w:rPr>
        <w:tab/>
      </w:r>
      <w:r>
        <w:rPr>
          <w:rFonts w:ascii="Times New Roman" w:cs="Times New Roman" w:eastAsia="Times New Roman" w:hAnsi="Times New Roman"/>
          <w:sz w:val="20"/>
          <w:szCs w:val="20"/>
          <w:u w:val="single" w:color="auto"/>
          <w:color w:val="auto"/>
        </w:rPr>
        <w:t>Methods of Recovery</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Subject to Section 8, in the event that the Committee determines that this Policy should apply, to the extent permitted by applicable law, the Company shall, as determined by the Committee in its sole discretion, take any such actions as it deems necessary or appropriate to recover Incentive-Based Compensation. The actions may include, without limitation (and as applicable):</w:t>
      </w:r>
    </w:p>
    <w:p>
      <w:pPr>
        <w:spacing w:after="0" w:line="43" w:lineRule="exact"/>
        <w:rPr>
          <w:sz w:val="20"/>
          <w:szCs w:val="20"/>
          <w:color w:val="auto"/>
        </w:rPr>
      </w:pPr>
    </w:p>
    <w:p>
      <w:pPr>
        <w:ind w:left="1100" w:hanging="478"/>
        <w:spacing w:after="0" w:line="235" w:lineRule="auto"/>
        <w:tabs>
          <w:tab w:leader="none" w:pos="109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forfeit, reduce or cancel any Incentive-Based Compensation (whether vested or unvested) that has not been distributed or otherwise settled;</w:t>
      </w:r>
    </w:p>
    <w:p>
      <w:pPr>
        <w:spacing w:after="0" w:line="42" w:lineRule="exact"/>
        <w:rPr>
          <w:rFonts w:ascii="Times New Roman" w:cs="Times New Roman" w:eastAsia="Times New Roman" w:hAnsi="Times New Roman"/>
          <w:sz w:val="21"/>
          <w:szCs w:val="21"/>
          <w:color w:val="auto"/>
        </w:rPr>
      </w:pPr>
    </w:p>
    <w:p>
      <w:pPr>
        <w:ind w:left="1080" w:hanging="458"/>
        <w:spacing w:after="0"/>
        <w:tabs>
          <w:tab w:leader="none" w:pos="10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 recovery of any Incentive-Based Compensation that was previously paid to the Executive Officer;</w:t>
      </w:r>
    </w:p>
    <w:p>
      <w:pPr>
        <w:spacing w:after="0" w:line="67" w:lineRule="exact"/>
        <w:rPr>
          <w:rFonts w:ascii="Times New Roman" w:cs="Times New Roman" w:eastAsia="Times New Roman" w:hAnsi="Times New Roman"/>
          <w:sz w:val="21"/>
          <w:szCs w:val="21"/>
          <w:color w:val="auto"/>
        </w:rPr>
      </w:pPr>
    </w:p>
    <w:p>
      <w:pPr>
        <w:ind w:left="1100" w:hanging="478"/>
        <w:spacing w:after="0" w:line="235" w:lineRule="auto"/>
        <w:tabs>
          <w:tab w:leader="none" w:pos="109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 recovery of any amounts realized on the vesting, exercise, settlement, sale, transfer, or other disposition of any equity-based Incentive-Based Compensation;</w:t>
      </w:r>
    </w:p>
    <w:p>
      <w:pPr>
        <w:spacing w:after="0" w:line="42" w:lineRule="exact"/>
        <w:rPr>
          <w:rFonts w:ascii="Times New Roman" w:cs="Times New Roman" w:eastAsia="Times New Roman" w:hAnsi="Times New Roman"/>
          <w:sz w:val="21"/>
          <w:szCs w:val="21"/>
          <w:color w:val="auto"/>
        </w:rPr>
      </w:pPr>
    </w:p>
    <w:p>
      <w:pPr>
        <w:jc w:val="both"/>
        <w:ind w:left="1100" w:hanging="478"/>
        <w:spacing w:after="0" w:line="220" w:lineRule="auto"/>
        <w:tabs>
          <w:tab w:leader="none" w:pos="109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recoup any amount in respect of Incentive-Based Compensation that was contributed or deferred to a plan that takes into account Incentive-Based Compensation (excluding certain tax-qualified plans, but including deferred compensation plans, and supplemental executive retirement plans, and insurance plans to the extent otherwise permitted by applicable law, including Section 409A of the Code) and any earnings accrued on such Incentive-Based Compensation;</w:t>
      </w:r>
    </w:p>
    <w:p>
      <w:pPr>
        <w:spacing w:after="0" w:line="42" w:lineRule="exact"/>
        <w:rPr>
          <w:rFonts w:ascii="Times New Roman" w:cs="Times New Roman" w:eastAsia="Times New Roman" w:hAnsi="Times New Roman"/>
          <w:sz w:val="21"/>
          <w:szCs w:val="21"/>
          <w:color w:val="auto"/>
        </w:rPr>
      </w:pPr>
    </w:p>
    <w:p>
      <w:pPr>
        <w:ind w:left="1100" w:hanging="478"/>
        <w:spacing w:after="0" w:line="235" w:lineRule="auto"/>
        <w:tabs>
          <w:tab w:leader="none" w:pos="109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 withhold, eliminate or cause to be forfeited any amount that could be paid or awarded to the Executive Officer after the date of determination;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35" w:lineRule="exact"/>
        <w:rPr>
          <w:sz w:val="20"/>
          <w:szCs w:val="20"/>
          <w:color w:val="auto"/>
        </w:rPr>
      </w:pPr>
    </w:p>
    <w:p>
      <w:pPr>
        <w:ind w:left="1080" w:hanging="458"/>
        <w:spacing w:after="0"/>
        <w:tabs>
          <w:tab w:leader="none" w:pos="10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remedial and recovery action permitted by law, as determined by the Committee.</w:t>
      </w:r>
    </w:p>
    <w:p>
      <w:pPr>
        <w:spacing w:after="0" w:line="68" w:lineRule="exact"/>
        <w:rPr>
          <w:sz w:val="20"/>
          <w:szCs w:val="20"/>
          <w:color w:val="auto"/>
        </w:rPr>
      </w:pPr>
    </w:p>
    <w:p>
      <w:pPr>
        <w:jc w:val="both"/>
        <w:ind w:left="620"/>
        <w:spacing w:after="0" w:line="235" w:lineRule="auto"/>
        <w:rPr>
          <w:sz w:val="20"/>
          <w:szCs w:val="20"/>
          <w:color w:val="auto"/>
        </w:rPr>
      </w:pPr>
      <w:r>
        <w:rPr>
          <w:rFonts w:ascii="Times New Roman" w:cs="Times New Roman" w:eastAsia="Times New Roman" w:hAnsi="Times New Roman"/>
          <w:sz w:val="21"/>
          <w:szCs w:val="21"/>
          <w:color w:val="auto"/>
        </w:rPr>
        <w:t>In addition, the Committee may authorize legal action for breach of fiduciary duty or other violation of law and take such other actions to enforce the obligations of the Executive Officer to the Company as the Committee deems appropriate.</w:t>
      </w:r>
    </w:p>
    <w:p>
      <w:pPr>
        <w:spacing w:after="0" w:line="27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b w:val="1"/>
          <w:bCs w:val="1"/>
          <w:color w:val="auto"/>
        </w:rPr>
        <w:t>Section 11.</w:t>
      </w:r>
      <w:r>
        <w:rPr>
          <w:sz w:val="20"/>
          <w:szCs w:val="20"/>
          <w:color w:val="auto"/>
        </w:rPr>
        <w:tab/>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 xml:space="preserve">Before the Company takes action to seek recovery of compensation pursuant to this Policy against an Executive Officer, the Company shall take commercially reasonable steps to provide such individual with advance written notice of such clawback;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this notice requirement shall not in any way delay the reasonably prompt recovery of any erroneously awarded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Incentive-Based Compensation.</w:t>
      </w:r>
    </w:p>
    <w:p>
      <w:pPr>
        <w:spacing w:after="0" w:line="27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12.</w:t>
      </w:r>
      <w:r>
        <w:rPr>
          <w:sz w:val="20"/>
          <w:szCs w:val="20"/>
          <w:color w:val="auto"/>
        </w:rPr>
        <w:tab/>
      </w:r>
      <w:r>
        <w:rPr>
          <w:rFonts w:ascii="Times New Roman" w:cs="Times New Roman" w:eastAsia="Times New Roman" w:hAnsi="Times New Roman"/>
          <w:sz w:val="20"/>
          <w:szCs w:val="20"/>
          <w:u w:val="single" w:color="auto"/>
          <w:color w:val="auto"/>
        </w:rPr>
        <w:t>No Indemnification</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620"/>
        <w:spacing w:after="0" w:line="225" w:lineRule="auto"/>
        <w:rPr>
          <w:sz w:val="20"/>
          <w:szCs w:val="20"/>
          <w:color w:val="auto"/>
        </w:rPr>
      </w:pPr>
      <w:r>
        <w:rPr>
          <w:rFonts w:ascii="Times New Roman" w:cs="Times New Roman" w:eastAsia="Times New Roman" w:hAnsi="Times New Roman"/>
          <w:sz w:val="21"/>
          <w:szCs w:val="21"/>
          <w:color w:val="auto"/>
        </w:rPr>
        <w:t>The Company shall not indemnify any current or former Executive Officer against the loss of erroneously awarded compensation, and shall not pay or reimburse any such person for premiums incurred or paid for any insurance policy to fund such person’s potential recovery obligations.</w:t>
      </w:r>
    </w:p>
    <w:p>
      <w:pPr>
        <w:spacing w:after="0" w:line="3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Section 13.</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following capitalized terms used in this Policy have the following meanings:</w:t>
      </w:r>
    </w:p>
    <w:p>
      <w:pPr>
        <w:spacing w:after="0" w:line="62" w:lineRule="exact"/>
        <w:rPr>
          <w:sz w:val="20"/>
          <w:szCs w:val="20"/>
          <w:color w:val="auto"/>
        </w:rPr>
      </w:pPr>
    </w:p>
    <w:p>
      <w:pPr>
        <w:ind w:left="1100" w:hanging="478"/>
        <w:spacing w:after="0" w:line="238" w:lineRule="auto"/>
        <w:tabs>
          <w:tab w:leader="none" w:pos="109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Rules</w:t>
      </w:r>
      <w:r>
        <w:rPr>
          <w:rFonts w:ascii="Times New Roman" w:cs="Times New Roman" w:eastAsia="Times New Roman" w:hAnsi="Times New Roman"/>
          <w:sz w:val="21"/>
          <w:szCs w:val="21"/>
          <w:color w:val="auto"/>
        </w:rPr>
        <w:t>” means Section 10D of the Exchange Act and Rule 10D-1 promulgated thereunder and Listing Rule 5608 of the Listing Rules of The Nasdaq Stock Market.</w:t>
      </w:r>
    </w:p>
    <w:p>
      <w:pPr>
        <w:spacing w:after="0" w:line="36" w:lineRule="exact"/>
        <w:rPr>
          <w:rFonts w:ascii="Times New Roman" w:cs="Times New Roman" w:eastAsia="Times New Roman" w:hAnsi="Times New Roman"/>
          <w:sz w:val="21"/>
          <w:szCs w:val="21"/>
          <w:color w:val="auto"/>
        </w:rPr>
      </w:pPr>
    </w:p>
    <w:p>
      <w:pPr>
        <w:ind w:left="1080" w:hanging="458"/>
        <w:spacing w:after="0"/>
        <w:tabs>
          <w:tab w:leader="none" w:pos="10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means the Board of Directors of the Company.</w:t>
      </w:r>
    </w:p>
    <w:p>
      <w:pPr>
        <w:spacing w:after="0" w:line="67" w:lineRule="exact"/>
        <w:rPr>
          <w:rFonts w:ascii="Times New Roman" w:cs="Times New Roman" w:eastAsia="Times New Roman" w:hAnsi="Times New Roman"/>
          <w:sz w:val="21"/>
          <w:szCs w:val="21"/>
          <w:color w:val="auto"/>
        </w:rPr>
      </w:pPr>
    </w:p>
    <w:p>
      <w:pPr>
        <w:ind w:left="1100" w:hanging="478"/>
        <w:spacing w:after="0" w:line="238" w:lineRule="auto"/>
        <w:tabs>
          <w:tab w:leader="none" w:pos="109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Compensation Committee of the Company, or, in the absence of such committee, a majority of independent directors serving on the Board.</w:t>
      </w:r>
    </w:p>
    <w:p>
      <w:pPr>
        <w:spacing w:after="0" w:line="36" w:lineRule="exact"/>
        <w:rPr>
          <w:rFonts w:ascii="Times New Roman" w:cs="Times New Roman" w:eastAsia="Times New Roman" w:hAnsi="Times New Roman"/>
          <w:sz w:val="21"/>
          <w:szCs w:val="21"/>
          <w:color w:val="auto"/>
        </w:rPr>
      </w:pPr>
    </w:p>
    <w:p>
      <w:pPr>
        <w:ind w:left="1080" w:hanging="458"/>
        <w:spacing w:after="0"/>
        <w:tabs>
          <w:tab w:leader="none" w:pos="10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67" w:lineRule="exact"/>
        <w:rPr>
          <w:rFonts w:ascii="Times New Roman" w:cs="Times New Roman" w:eastAsia="Times New Roman" w:hAnsi="Times New Roman"/>
          <w:sz w:val="21"/>
          <w:szCs w:val="21"/>
          <w:color w:val="auto"/>
        </w:rPr>
      </w:pPr>
    </w:p>
    <w:p>
      <w:pPr>
        <w:ind w:left="1080" w:hanging="458"/>
        <w:spacing w:after="0"/>
        <w:tabs>
          <w:tab w:leader="none" w:pos="10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Regulators</w:t>
      </w:r>
      <w:r>
        <w:rPr>
          <w:rFonts w:ascii="Times New Roman" w:cs="Times New Roman" w:eastAsia="Times New Roman" w:hAnsi="Times New Roman"/>
          <w:sz w:val="21"/>
          <w:szCs w:val="21"/>
          <w:color w:val="auto"/>
        </w:rPr>
        <w:t>” means, as applicable, the SEC and Nasdaq.</w:t>
      </w:r>
    </w:p>
    <w:p>
      <w:pPr>
        <w:spacing w:after="0" w:line="67" w:lineRule="exact"/>
        <w:rPr>
          <w:rFonts w:ascii="Times New Roman" w:cs="Times New Roman" w:eastAsia="Times New Roman" w:hAnsi="Times New Roman"/>
          <w:sz w:val="21"/>
          <w:szCs w:val="21"/>
          <w:color w:val="auto"/>
        </w:rPr>
      </w:pPr>
    </w:p>
    <w:p>
      <w:pPr>
        <w:jc w:val="both"/>
        <w:ind w:left="1100" w:hanging="478"/>
        <w:spacing w:after="0" w:line="218" w:lineRule="auto"/>
        <w:tabs>
          <w:tab w:leader="none" w:pos="109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Executive Officer</w:t>
      </w:r>
      <w:r>
        <w:rPr>
          <w:rFonts w:ascii="Times New Roman" w:cs="Times New Roman" w:eastAsia="Times New Roman" w:hAnsi="Times New Roman"/>
          <w:sz w:val="21"/>
          <w:szCs w:val="21"/>
          <w:color w:val="auto"/>
        </w:rPr>
        <w:t>” means each officer of the Company who is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w:t>
      </w:r>
    </w:p>
    <w:p>
      <w:pPr>
        <w:spacing w:after="0" w:line="37" w:lineRule="exact"/>
        <w:rPr>
          <w:rFonts w:ascii="Times New Roman" w:cs="Times New Roman" w:eastAsia="Times New Roman" w:hAnsi="Times New Roman"/>
          <w:sz w:val="21"/>
          <w:szCs w:val="21"/>
          <w:color w:val="auto"/>
        </w:rPr>
      </w:pPr>
    </w:p>
    <w:p>
      <w:pPr>
        <w:jc w:val="both"/>
        <w:ind w:left="1100" w:hanging="478"/>
        <w:spacing w:after="0" w:line="232" w:lineRule="auto"/>
        <w:tabs>
          <w:tab w:leader="none" w:pos="109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29" w:lineRule="exact"/>
        <w:rPr>
          <w:sz w:val="20"/>
          <w:szCs w:val="20"/>
          <w:color w:val="auto"/>
        </w:rPr>
      </w:pPr>
    </w:p>
    <w:p>
      <w:pPr>
        <w:jc w:val="both"/>
        <w:ind w:left="478" w:hanging="478"/>
        <w:spacing w:after="0" w:line="218" w:lineRule="auto"/>
        <w:tabs>
          <w:tab w:leader="none" w:pos="46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p>
      <w:pPr>
        <w:spacing w:after="0" w:line="37" w:lineRule="exact"/>
        <w:rPr>
          <w:rFonts w:ascii="Times New Roman" w:cs="Times New Roman" w:eastAsia="Times New Roman" w:hAnsi="Times New Roman"/>
          <w:sz w:val="21"/>
          <w:szCs w:val="21"/>
          <w:color w:val="auto"/>
        </w:rPr>
      </w:pPr>
    </w:p>
    <w:p>
      <w:pPr>
        <w:jc w:val="both"/>
        <w:ind w:left="478" w:hanging="478"/>
        <w:spacing w:after="0" w:line="227" w:lineRule="auto"/>
        <w:tabs>
          <w:tab w:leader="none" w:pos="47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 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after the end of that period.</w:t>
      </w:r>
    </w:p>
    <w:p>
      <w:pPr>
        <w:spacing w:after="0" w:line="36" w:lineRule="exact"/>
        <w:rPr>
          <w:rFonts w:ascii="Times New Roman" w:cs="Times New Roman" w:eastAsia="Times New Roman" w:hAnsi="Times New Roman"/>
          <w:sz w:val="21"/>
          <w:szCs w:val="21"/>
          <w:color w:val="auto"/>
        </w:rPr>
      </w:pPr>
    </w:p>
    <w:p>
      <w:pPr>
        <w:jc w:val="both"/>
        <w:ind w:left="478" w:hanging="478"/>
        <w:spacing w:after="0" w:line="218" w:lineRule="auto"/>
        <w:tabs>
          <w:tab w:leader="none" w:pos="47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Recovery Period</w:t>
      </w:r>
      <w:r>
        <w:rPr>
          <w:rFonts w:ascii="Times New Roman" w:cs="Times New Roman" w:eastAsia="Times New Roman" w:hAnsi="Times New Roman"/>
          <w:sz w:val="21"/>
          <w:szCs w:val="21"/>
          <w:color w:val="auto"/>
        </w:rPr>
        <w:t>” means the three completed fiscal years immediately preceding the date on which the Company is required to prepare a Restatement, which date is the earlier of (i) the date the Board,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spacing w:after="0" w:line="37" w:lineRule="exact"/>
        <w:rPr>
          <w:rFonts w:ascii="Times New Roman" w:cs="Times New Roman" w:eastAsia="Times New Roman" w:hAnsi="Times New Roman"/>
          <w:sz w:val="21"/>
          <w:szCs w:val="21"/>
          <w:color w:val="auto"/>
        </w:rPr>
      </w:pPr>
    </w:p>
    <w:p>
      <w:pPr>
        <w:jc w:val="both"/>
        <w:ind w:left="478" w:hanging="478"/>
        <w:spacing w:after="0" w:line="218" w:lineRule="auto"/>
        <w:tabs>
          <w:tab w:leader="none" w:pos="46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that the Company is required to prepare an accounting restatement due to a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would result in a material misstatement if the error were corrected in the current period or left uncorrected in the current period.</w:t>
      </w:r>
    </w:p>
    <w:p>
      <w:pPr>
        <w:spacing w:after="0" w:line="37" w:lineRule="exact"/>
        <w:rPr>
          <w:rFonts w:ascii="Times New Roman" w:cs="Times New Roman" w:eastAsia="Times New Roman" w:hAnsi="Times New Roman"/>
          <w:sz w:val="21"/>
          <w:szCs w:val="21"/>
          <w:color w:val="auto"/>
        </w:rPr>
      </w:pPr>
    </w:p>
    <w:p>
      <w:pPr>
        <w:ind w:left="458" w:hanging="458"/>
        <w:spacing w:after="0"/>
        <w:tabs>
          <w:tab w:leader="none" w:pos="45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618"/>
          </w:cols>
          <w:pgMar w:left="942" w:top="144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Compensation Recoupment Policy Acknowledgement</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I, the undersigned, agree and acknowledge that I have read and am fully bound by, and subject to, all of the terms and conditions of the Compensation Recoupment Policy (as it may be amended, restated, supplemented, or otherwise modified from time to time, the “Policy”) of Lifetime Brands, Inc. (the “Company”). I hereby agree to abide by all of the terms of the Policy both during and after my employment with the Company. In the event it is determined by the Company’s Board of Directors, Compensation Committee, or their designee that any amounts granted, awarded, or paid to me must be forfeited or repaid to the Company in accordance with the Policy, I will promptly take any action necessary to effectuate such forfeiture and/or repayment.</w:t>
      </w:r>
    </w:p>
    <w:p>
      <w:pPr>
        <w:spacing w:after="0" w:line="43"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I further acknowledge that any right of recoupment under the Policy is in addition to, and not in lieu of, any other remedies or rights of recoupment that may be available to the Company pursuant to the terms of any employment agreement, equity award agreement, equity incentive plan, cash incentive plan or similar agreement, plan, or policy and any other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By:</w:t>
      </w:r>
    </w:p>
    <w:p>
      <w:pPr>
        <w:spacing w:after="0" w:line="6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[Name]</w:t>
      </w:r>
    </w:p>
    <w:p>
      <w:pPr>
        <w:spacing w:after="0" w:line="6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0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and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Grupo Vasconia, S. A. 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Grupo Vasconia S. A. B. and Subsidiaries (the “Company”) as of December 31, 2023 and 2022, and the related consolidated statements of comprehensive income,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consolidated results of its operations and its cash flows for each of the three years in the period ended December 31, 2023, in conformity with International Financial Reporting Standards as issued by the International Accounting Standards Board (“IASB”).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13 to the accompanying consolidated financial statements, the Company has faced liquidity and solvency problems as a result of the decrease in margins and cash flows of its subsidiary Almexa Aluminio, S. A. de C. V. (Almexa), originated by various internal and market circumstances. As a result of this situation, as of June 2023, the Company and Almexa suspended the payments of the debt service contracted with their banking and stock market creditors, having previously received the consent of its creditors until the restructuring of these banking and stock market liabilities is agreed. As of that date and until the date of issuance of this report, the Company is in the process of negotiating with its banking creditors and holders of stock certificates, aimed at obtaining a definitive agreement on the long-term restructuring of these debts, for which monthly waiting agreements have been signed and extended with the objective, among others, of determining the form and times to implement and document the refinancing of the Company and Almexa. Due to this situation and having cross-default clauses in the debt contracts, in accordance with the provisions of International Accounting Standard 1, the bank and stock market debt contracted in the long term has been reclassified to short term, resulting in the consolidated financial statements as of December 31, 2023, presenting a negative working capital position.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events or conditions raise substantial doubt about the Company's ability to continue as a going concern. To remedy this situation, the plans developed by the Company's management are described in Note 13 aforementioned, highlighting: i) achieving a long-term restructuring agreement with all its creditors; ii) ensuring that its subsidiaries generate sufficient cash flows for their operation and to cover the service of the restructured debt and; iii) obtaining fresh cash resources. The attached financial statements do not include adjustments that may arise due to this uncertainty.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Differences from U.S. generally accepted accounting principles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 the IASB vary in certain significant respects from U.S. generally accepted accounting principles.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relating to the nature and effect of such differences is presented in Note 23 to the consolidated financial statements.</w:t>
      </w:r>
    </w:p>
    <w:p>
      <w:pPr>
        <w:sectPr>
          <w:pgSz w:w="11900" w:h="16838" w:orient="portrait"/>
          <w:cols w:equalWidth="0" w:num="1">
            <w:col w:w="11240"/>
          </w:cols>
          <w:pgMar w:left="320" w:top="135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relate to accounts or disclosures that are material to the consolidated financial statements and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evaluation</w:t>
      </w:r>
    </w:p>
    <w:p>
      <w:pPr>
        <w:spacing w:after="0" w:line="2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mentioned in Note 13, management determined that its consolidated financial statements as at December 31, 2023, have been prepared under the assumption that it operates on a going concern basis. This going concern evaluation is considered a critical audit matter.</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 procedures, among other things, included the following, i) evaluate the plans of the administration to renegotiate the debt; ii) review the extensions granted by the creditors monthly; iii) evaluate the historical and projected information on operating profit or loss financial structure; iv) analyze the the feasibility of the future projects of the Company v) analyze the main financial ratios, key indexes and indicators of the industry in which the Company operates.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Assessment of recoverability of deferred tax assets</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discussed in Note 21 to the consolidated financial statements, as at December 31, 2023 the Company recorded deferred tax assets of $285,226,576 relating to tax losses incurred and temporary differences. The assessment of the recoverability of these deferred tax assets is dependent on the generation of future taxable income. Significant judgment and estimation is required to assess the sufficiency of future taxable income to utilize the recognized deferred tax assets. The Company uses projections of future taxable income in order to assess the probability that the deferred tax assets will be realized. Predicting future taxable income is dependent on assumptions and judgments regarding future market conditions, production rates, and intercompany sales. The Company determined that the realization of these deferred tax assets is probable.</w:t>
      </w:r>
    </w:p>
    <w:p>
      <w:pPr>
        <w:sectPr>
          <w:pgSz w:w="11900" w:h="16838" w:orient="portrait"/>
          <w:cols w:equalWidth="0" w:num="1">
            <w:col w:w="11240"/>
          </w:cols>
          <w:pgMar w:left="320" w:top="1357"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to assess the Company’s estimate of future taxable income, include the evaluation of key assumptions in the model by comparing: (i) forecast of aluminum prices to published views of independent market participants, (ii) foreign exchange rates to external analyst estimates, and (iii) forecast sales to historical trends, approved budgets and committed sales volumes. We performed a sensitivity analysis over the key assumptions to assess their impact on the Company’s determination that the deferred tax assets were realizable.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CASTILLO MIRANDA Y COMPAÑÍA, S.C.</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Carlos Enrique Charraga Sanchez</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Carlos Enrique Charraga Sanchez</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Mexico City, Mexico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2024</w:t>
      </w:r>
    </w:p>
    <w:sectPr>
      <w:pgSz w:w="11900" w:h="16838" w:orient="portrait"/>
      <w:cols w:equalWidth="0" w:num="1">
        <w:col w:w="11240"/>
      </w:cols>
      <w:pgMar w:left="320" w:top="1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Roman"/>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5"/>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decimal"/>
      <w:start w:val="104"/>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4"/>
    </w:lvl>
  </w:abstractNum>
  <w:abstractNum w:abstractNumId="39">
    <w:nsid w:val="6DE91B18"/>
    <w:multiLevelType w:val="hybridMultilevel"/>
    <w:lvl w:ilvl="0">
      <w:lvlJc w:val="left"/>
      <w:lvlText w:val="%1"/>
      <w:numFmt w:val="lowerLetter"/>
      <w:start w:val="1"/>
    </w:lvl>
    <w:lvl w:ilvl="1">
      <w:lvlJc w:val="left"/>
      <w:lvlText w:val="(%2)"/>
      <w:numFmt w:val="lowerLetter"/>
      <w:start w:val="1"/>
    </w:lvl>
  </w:abstractNum>
  <w:abstractNum w:abstractNumId="40">
    <w:nsid w:val="38437FDB"/>
    <w:multiLevelType w:val="hybridMultilevel"/>
    <w:lvl w:ilvl="0">
      <w:lvlJc w:val="left"/>
      <w:lvlText w:val="(%1)"/>
      <w:numFmt w:val="lowerLetter"/>
      <w:start w:val="2"/>
    </w:lvl>
    <w:lvl w:ilvl="1">
      <w:lvlJc w:val="left"/>
      <w:lvlText w:val="%2"/>
      <w:numFmt w:val="lowerLetter"/>
      <w:start w:val="1"/>
    </w:lvl>
  </w:abstractNum>
  <w:abstractNum w:abstractNumId="41">
    <w:nsid w:val="7644A45C"/>
    <w:multiLevelType w:val="hybridMultilevel"/>
    <w:lvl w:ilvl="0">
      <w:lvlJc w:val="left"/>
      <w:lvlText w:val="(%1)"/>
      <w:numFmt w:val="lowerLetter"/>
      <w:start w:val="1"/>
    </w:lvl>
    <w:lvl w:ilvl="1">
      <w:lvlJc w:val="left"/>
      <w:lvlText w:val="(%2)"/>
      <w:numFmt w:val="lowerLetter"/>
      <w:start w:val="2"/>
    </w:lvl>
  </w:abstractNum>
  <w:abstractNum w:abstractNumId="42">
    <w:nsid w:val="32FFF902"/>
    <w:multiLevelType w:val="hybridMultilevel"/>
    <w:lvl w:ilvl="0">
      <w:lvlJc w:val="left"/>
      <w:lvlText w:val="(%1)"/>
      <w:numFmt w:val="lowerLetter"/>
      <w:start w:val="3"/>
    </w:lvl>
  </w:abstractNum>
  <w:abstractNum w:abstractNumId="43">
    <w:nsid w:val="684A481A"/>
    <w:multiLevelType w:val="hybridMultilevel"/>
    <w:lvl w:ilvl="0">
      <w:lvlJc w:val="left"/>
      <w:lvlText w:val="%1."/>
      <w:numFmt w:val="decimal"/>
      <w:start w:val="1"/>
    </w:lvl>
    <w:lvl w:ilvl="1">
      <w:lvlJc w:val="left"/>
      <w:lvlText w:val="%2."/>
      <w:numFmt w:val="lowerLetter"/>
      <w:start w:val="1"/>
    </w:lvl>
  </w:abstractNum>
  <w:abstractNum w:abstractNumId="44">
    <w:nsid w:val="579478FE"/>
    <w:multiLevelType w:val="hybridMultilevel"/>
    <w:lvl w:ilvl="0">
      <w:lvlJc w:val="left"/>
      <w:lvlText w:val="%1."/>
      <w:numFmt w:val="decimal"/>
      <w:start w:val="1"/>
    </w:lvl>
    <w:lvl w:ilvl="1">
      <w:lvlJc w:val="left"/>
      <w:lvlText w:val="%2."/>
      <w:numFmt w:val="lowerLetter"/>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bullet"/>
      <w:start w:val="1"/>
    </w:lvl>
  </w:abstractNum>
  <w:abstractNum w:abstractNumId="47">
    <w:nsid w:val="1BA026FA"/>
    <w:multiLevelType w:val="hybridMultilevel"/>
    <w:lvl w:ilvl="0">
      <w:lvlJc w:val="left"/>
      <w:lvlText w:val="(%1)"/>
      <w:numFmt w:val="lowerLetter"/>
      <w:start w:val="2"/>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2"/>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6"/>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90" Type="http://schemas.openxmlformats.org/officeDocument/2006/relationships/image" Target="media/image57.png"/><Relationship Id="rId109" Type="http://schemas.openxmlformats.org/officeDocument/2006/relationships/image" Target="media/image58.png"/><Relationship Id="rId110" Type="http://schemas.openxmlformats.org/officeDocument/2006/relationships/image" Target="media/image59.png"/><Relationship Id="rId120" Type="http://schemas.openxmlformats.org/officeDocument/2006/relationships/image" Target="media/image60.png"/><Relationship Id="rId121" Type="http://schemas.openxmlformats.org/officeDocument/2006/relationships/image" Target="media/image61.png"/><Relationship Id="rId122" Type="http://schemas.openxmlformats.org/officeDocument/2006/relationships/image" Target="media/image62.png"/><Relationship Id="rId123" Type="http://schemas.openxmlformats.org/officeDocument/2006/relationships/image" Target="media/image63.png"/><Relationship Id="rId124" Type="http://schemas.openxmlformats.org/officeDocument/2006/relationships/image" Target="media/image64.png"/><Relationship Id="rId125" Type="http://schemas.openxmlformats.org/officeDocument/2006/relationships/image" Target="media/image65.png"/><Relationship Id="rId126" Type="http://schemas.openxmlformats.org/officeDocument/2006/relationships/image" Target="media/image66.png"/><Relationship Id="rId127" Type="http://schemas.openxmlformats.org/officeDocument/2006/relationships/image" Target="media/image67.png"/><Relationship Id="rId128" Type="http://schemas.openxmlformats.org/officeDocument/2006/relationships/image" Target="media/image68.png"/><Relationship Id="rId129" Type="http://schemas.openxmlformats.org/officeDocument/2006/relationships/image" Target="media/image69.png"/><Relationship Id="rId130" Type="http://schemas.openxmlformats.org/officeDocument/2006/relationships/image" Target="media/image70.png"/><Relationship Id="rId131" Type="http://schemas.openxmlformats.org/officeDocument/2006/relationships/image" Target="media/image71.png"/><Relationship Id="rId132"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135" Type="http://schemas.openxmlformats.org/officeDocument/2006/relationships/image" Target="media/image75.png"/><Relationship Id="rId136" Type="http://schemas.openxmlformats.org/officeDocument/2006/relationships/image" Target="media/image76.png"/><Relationship Id="rId137" Type="http://schemas.openxmlformats.org/officeDocument/2006/relationships/image" Target="media/image77.png"/><Relationship Id="rId138"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jpe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63" Type="http://schemas.openxmlformats.org/officeDocument/2006/relationships/hyperlink" Target="http://www.sec.gov/Archives/edgar/data/874396/000119312517383700/d467423dex21.htm" TargetMode="External"/><Relationship Id="rId64" Type="http://schemas.openxmlformats.org/officeDocument/2006/relationships/hyperlink" Target="https://www.sec.gov/Archives/edgar/data/874396/000091068006000214/ex3_2-f10k123105.txt" TargetMode="External"/><Relationship Id="rId65" Type="http://schemas.openxmlformats.org/officeDocument/2006/relationships/hyperlink" Target="https://www.sec.gov/Archives/edgar/data/874396/000119312516618978/d191127dex31.htm" TargetMode="External"/><Relationship Id="rId66" Type="http://schemas.openxmlformats.org/officeDocument/2006/relationships/hyperlink" Target="http://www.sec.gov/Archives/edgar/data/874396/000119312516788456/d255324dex31.htm" TargetMode="External"/><Relationship Id="rId67" Type="http://schemas.openxmlformats.org/officeDocument/2006/relationships/hyperlink" Target="https://www.sec.gov/Archives/edgar/data/874396/000162828020003560/lcutex4110k12312019.htm" TargetMode="External"/><Relationship Id="rId68" Type="http://schemas.openxmlformats.org/officeDocument/2006/relationships/hyperlink" Target="https://www.sec.gov/Archives/edgar/data/874396/000119312519186032/d37933dex101.htm" TargetMode="External"/><Relationship Id="rId69" Type="http://schemas.openxmlformats.org/officeDocument/2006/relationships/hyperlink" Target="http://www.sec.gov/Archives/edgar/data/874396/000119312519267308/d789732dex106.htm" TargetMode="External"/><Relationship Id="rId70" Type="http://schemas.openxmlformats.org/officeDocument/2006/relationships/hyperlink" Target="https://www.sec.gov/Archives/edgar/data/874396/000162828022028208/ex103transitionagreementda.htm" TargetMode="External"/><Relationship Id="rId72" Type="http://schemas.openxmlformats.org/officeDocument/2006/relationships/hyperlink" Target="https://www.sec.gov/Archives/edgar/data/874396/000162828020008225/exhibit102.htm" TargetMode="External"/><Relationship Id="rId73" Type="http://schemas.openxmlformats.org/officeDocument/2006/relationships/hyperlink" Target="https://www.sec.gov/Archives/edgar/data/874396/000091068006000404/ex99_1-f8k051006.txt" TargetMode="External"/><Relationship Id="rId74" Type="http://schemas.openxmlformats.org/officeDocument/2006/relationships/hyperlink" Target="http://www.sec.gov/Archives/edgar/data/874396/000091068006001070/ex10-1_f10q093006.htm" TargetMode="External"/><Relationship Id="rId75" Type="http://schemas.openxmlformats.org/officeDocument/2006/relationships/hyperlink" Target="http://www.sec.gov/Archives/edgar/data/874396/000119312518209648/d841646dex101.htm" TargetMode="External"/><Relationship Id="rId76" Type="http://schemas.openxmlformats.org/officeDocument/2006/relationships/hyperlink" Target="https://www.sec.gov/Archives/edgar/data/874396/000119312515283316/d82287dex101.htm" TargetMode="External"/><Relationship Id="rId77" Type="http://schemas.openxmlformats.org/officeDocument/2006/relationships/hyperlink" Target="https://www.sec.gov/Archives/edgar/data/874396/000119312515283316/d82287dex102.htm" TargetMode="External"/><Relationship Id="rId78" Type="http://schemas.openxmlformats.org/officeDocument/2006/relationships/hyperlink" Target="http://www.sec.gov/Archives/edgar/data/874396/000119312517211662/d403365dex101.htm" TargetMode="External"/><Relationship Id="rId79" Type="http://schemas.openxmlformats.org/officeDocument/2006/relationships/hyperlink" Target="https://www.sec.gov/Archives/edgar/data/874396/000119312520126185/d836663ddef14a.htm" TargetMode="External"/><Relationship Id="rId80" Type="http://schemas.openxmlformats.org/officeDocument/2006/relationships/hyperlink" Target="https://www.sec.gov/Archives/edgar/data/874396/000119312522127863/d350827ddef14a.htm#toc350827_14" TargetMode="External"/><Relationship Id="rId81" Type="http://schemas.openxmlformats.org/officeDocument/2006/relationships/hyperlink" Target="http://www.sec.gov/Archives/edgar/data/874396/000119312515321240/d95014dex101.htm" TargetMode="External"/><Relationship Id="rId82" Type="http://schemas.openxmlformats.org/officeDocument/2006/relationships/hyperlink" Target="http://www.sec.gov/Archives/edgar/data/874396/000119312517338917/d473962dex103.htm" TargetMode="External"/><Relationship Id="rId83" Type="http://schemas.openxmlformats.org/officeDocument/2006/relationships/hyperlink" Target="https://www.sec.gov/Archives/edgar/data/874396/000162828020008225/exhibit104.htm" TargetMode="External"/><Relationship Id="rId84" Type="http://schemas.openxmlformats.org/officeDocument/2006/relationships/hyperlink" Target="https://www.sec.gov/Archives/edgar/data/874396/000162828022021087/ex101thirdamendmenttoamend.htm" TargetMode="External"/><Relationship Id="rId85" Type="http://schemas.openxmlformats.org/officeDocument/2006/relationships/hyperlink" Target="https://www.sec.gov/Archives/edgar/data/874396/000162828023007371/lcutex101812312022.htm" TargetMode="External"/><Relationship Id="rId86" Type="http://schemas.openxmlformats.org/officeDocument/2006/relationships/hyperlink" Target="https://www.sec.gov/Archives/edgar/data/874396/000162828023038268/ex-101fifthamendmenttothea.htm" TargetMode="External"/><Relationship Id="rId87" Type="http://schemas.openxmlformats.org/officeDocument/2006/relationships/hyperlink" Target="https://www.sec.gov/Archives/edgar/data/874396/000091068007000540/ex99-1_f8k061107.htm" TargetMode="External"/><Relationship Id="rId88" Type="http://schemas.openxmlformats.org/officeDocument/2006/relationships/hyperlink" Target="https://www.sec.gov/Archives/edgar/data/874396/000091068009000143/ex10_17-f10k12312008.htm" TargetMode="External"/><Relationship Id="rId89" Type="http://schemas.openxmlformats.org/officeDocument/2006/relationships/hyperlink" Target="http://www.sec.gov/Archives/edgar/data/874396/000091068009000143/ex10_20-f10k12312008.htm" TargetMode="External"/><Relationship Id="rId91" Type="http://schemas.openxmlformats.org/officeDocument/2006/relationships/hyperlink" Target="http://www.sec.gov/Archives/edgar/data/874396/000119312517338917/d473962dex104.htm" TargetMode="External"/><Relationship Id="rId92" Type="http://schemas.openxmlformats.org/officeDocument/2006/relationships/hyperlink" Target="http://www.sec.gov/Archives/edgar/data/874396/000119312519267308/d789732dex105.htm" TargetMode="External"/><Relationship Id="rId93" Type="http://schemas.openxmlformats.org/officeDocument/2006/relationships/hyperlink" Target="https://www.sec.gov/Archives/edgar/data/874396/000162828021001505/ex102.htm" TargetMode="External"/><Relationship Id="rId94" Type="http://schemas.openxmlformats.org/officeDocument/2006/relationships/hyperlink" Target="https://www.sec.gov/Archives/edgar/data/874396/000162828023007371/lcutex102612312022.htm" TargetMode="External"/><Relationship Id="rId95" Type="http://schemas.openxmlformats.org/officeDocument/2006/relationships/hyperlink" Target="https://www.sec.gov/Archives/edgar/data/874396/000162828023038268/ex-102fourthamendmenttoemp.htm" TargetMode="External"/><Relationship Id="rId96" Type="http://schemas.openxmlformats.org/officeDocument/2006/relationships/hyperlink" Target="http://www.sec.gov/Archives/edgar/data/874396/000119312516440068/d21586dex101.htm" TargetMode="External"/><Relationship Id="rId97" Type="http://schemas.openxmlformats.org/officeDocument/2006/relationships/hyperlink" Target="http://www.sec.gov/Archives/edgar/data/874396/000119312516730047/d228608dex101.htm" TargetMode="External"/><Relationship Id="rId98" Type="http://schemas.openxmlformats.org/officeDocument/2006/relationships/hyperlink" Target="http://www.sec.gov/Archives/edgar/data/874396/000119312517164340/d381143dex101.htm" TargetMode="External"/><Relationship Id="rId99" Type="http://schemas.openxmlformats.org/officeDocument/2006/relationships/hyperlink" Target="http://www.sec.gov/Archives/edgar/data/874396/000119312517383700/d467423dex101.htm" TargetMode="External"/><Relationship Id="rId100" Type="http://schemas.openxmlformats.org/officeDocument/2006/relationships/hyperlink" Target="http://www.sec.gov/Archives/edgar/data/874396/000119312517383700/d467423dex102.htm" TargetMode="External"/><Relationship Id="rId101" Type="http://schemas.openxmlformats.org/officeDocument/2006/relationships/hyperlink" Target="http://www.sec.gov/Archives/edgar/data/874396/000119312519267308/d789732dex102.htm" TargetMode="External"/><Relationship Id="rId102" Type="http://schemas.openxmlformats.org/officeDocument/2006/relationships/hyperlink" Target="https://www.sec.gov/Archives/edgar/data/874396/000162828020008225/exhibit101.htm" TargetMode="External"/><Relationship Id="rId103" Type="http://schemas.openxmlformats.org/officeDocument/2006/relationships/hyperlink" Target="https://www.sec.gov/Archives/edgar/data/874396/000162828021001505/ex101.htm" TargetMode="External"/><Relationship Id="rId104" Type="http://schemas.openxmlformats.org/officeDocument/2006/relationships/hyperlink" Target="https://www.sec.gov/Archives/edgar/data/874396/000162828023007371/lcutex103512312022.htm" TargetMode="External"/><Relationship Id="rId105" Type="http://schemas.openxmlformats.org/officeDocument/2006/relationships/hyperlink" Target="http://www.sec.gov/Archives/edgar/data/874396/000119312518072132/d543564dex1001.htm" TargetMode="External"/><Relationship Id="rId106" Type="http://schemas.openxmlformats.org/officeDocument/2006/relationships/hyperlink" Target="http://www.sec.gov/Archives/edgar/data/874396/000119312519267308/d789732dex101.htm" TargetMode="External"/><Relationship Id="rId107" Type="http://schemas.openxmlformats.org/officeDocument/2006/relationships/hyperlink" Target="https://www.sec.gov/Archives/edgar/data/874396/000162828023034820/ex-1001.htm" TargetMode="External"/><Relationship Id="rId108" Type="http://schemas.openxmlformats.org/officeDocument/2006/relationships/hyperlink" Target="http://www.sec.gov/Archives/edgar/data/874396/000119312518327948/d619485dex1001.htm" TargetMode="External"/><Relationship Id="rId111" Type="http://schemas.openxmlformats.org/officeDocument/2006/relationships/hyperlink" Target="https://www.sec.gov/Archives/edgar/data/874396/000119312518072132/d543564dex1002.htm" TargetMode="External"/><Relationship Id="rId112" Type="http://schemas.openxmlformats.org/officeDocument/2006/relationships/hyperlink" Target="https://www.sec.gov/Archives/edgar/data/874396/000162828021025662/ex-1001.htm" TargetMode="External"/><Relationship Id="rId113" Type="http://schemas.openxmlformats.org/officeDocument/2006/relationships/hyperlink" Target="https://www.sec.gov/Archives/edgar/data/874396/000162828022023821/ex-1001.htm" TargetMode="External"/><Relationship Id="rId114" Type="http://schemas.openxmlformats.org/officeDocument/2006/relationships/hyperlink" Target="https://www.sec.gov/Archives/edgar/data/874396/000119312518072132/d543564dex1003.htm" TargetMode="External"/><Relationship Id="rId115" Type="http://schemas.openxmlformats.org/officeDocument/2006/relationships/hyperlink" Target="https://www.sec.gov/Archives/edgar/data/874396/000162828023000094/ex-1001amendmentno1toterml.htm" TargetMode="External"/><Relationship Id="rId116" Type="http://schemas.openxmlformats.org/officeDocument/2006/relationships/hyperlink" Target="https://www.sec.gov/Archives/edgar/data/874396/000162828023039077/exhibit101.htm" TargetMode="External"/><Relationship Id="rId117" Type="http://schemas.openxmlformats.org/officeDocument/2006/relationships/hyperlink" Target="https://www.sec.gov/Archives/edgar/data/874396/000162828021004467/lcutex104310k12312020.htm" TargetMode="External"/><Relationship Id="rId118" Type="http://schemas.openxmlformats.org/officeDocument/2006/relationships/hyperlink" Target="https://www.sec.gov/Archives/edgar/data/874396/000162828023007371/lcutex104512312022.htm" TargetMode="External"/><Relationship Id="rId119" Type="http://schemas.openxmlformats.org/officeDocument/2006/relationships/hyperlink" Target="https://www.sec.gov/Archives/edgar/data/874396/000162828023007371/lcutex10461231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2024-03-12T15:45:41Z</dcterms:created>
  <dcterms:modified xsi:type="dcterms:W3CDTF">2024-03-12T15:45:41Z</dcterms:modified>
</cp:coreProperties>
</file>