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pPr>
      <w:hyperlink w:anchor="id591a4c73ab4441e9af46ad7aa3461a0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00" w:after="283"/>
        <w:jc w:val="cente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0-19254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11-2682486</w:t>
            </w:r>
          </w:p>
        </w:tc>
      </w:tr>
      <w:t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1000 Stewart Avenue, Garden City, New York 11530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(516) 683-6000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192" w:type="dxa"/>
        <w:jc w:val="center"/>
        <w:tblInd w:w="0" w:type="dxa"/>
        <w:tblLayout w:type="fixed"/>
        <w:tblCellMar>
          <w:top w:w="28" w:type="dxa"/>
          <w:left w:w="28" w:type="dxa"/>
          <w:bottom w:w="28" w:type="dxa"/>
          <w:right w:w="28" w:type="dxa"/>
        </w:tblCellMar>
      </w:tblPr>
      <w:tblGrid>
        <w:gridCol w:w="981"/>
        <w:gridCol w:w="861"/>
        <w:gridCol w:w="872"/>
        <w:gridCol w:w="109"/>
        <w:gridCol w:w="109"/>
        <w:gridCol w:w="109"/>
        <w:gridCol w:w="274"/>
        <w:gridCol w:w="274"/>
        <w:gridCol w:w="276"/>
        <w:gridCol w:w="109"/>
        <w:gridCol w:w="109"/>
        <w:gridCol w:w="109"/>
        <w:gridCol w:w="878"/>
        <w:gridCol w:w="878"/>
        <w:gridCol w:w="1244"/>
      </w:tblGrid>
      <w:t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c>
          <w:tcPr>
            <w:tcW w:w="27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October 31, 2026 was 22,984,460.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83"/>
        <w:gridCol w:w="249"/>
        <w:gridCol w:w="253"/>
        <w:gridCol w:w="2916"/>
        <w:gridCol w:w="2840"/>
        <w:gridCol w:w="2849"/>
        <w:gridCol w:w="237"/>
        <w:gridCol w:w="237"/>
        <w:gridCol w:w="341"/>
      </w:tblGrid>
      <w:t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 No.</w:t>
            </w:r>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10">
              <w:r>
                <w:rPr>
                  <w:rStyle w:val="InternetLink"/>
                  <w:rFonts w:ascii="Times New Roman;serif" w:hAnsi="Times New Roman;serif"/>
                  <w:b/>
                  <w:color w:val="0000FF"/>
                  <w:sz w:val="20"/>
                  <w:u w:val="single"/>
                </w:rPr>
                <w:t>Financial Information</w:t>
              </w:r>
            </w:hyperlink>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13">
              <w:r>
                <w:rPr>
                  <w:rStyle w:val="InternetLink"/>
                  <w:rFonts w:ascii="Times New Roman;serif" w:hAnsi="Times New Roman;serif"/>
                  <w:b w:val="false"/>
                  <w:color w:val="0000FF"/>
                  <w:sz w:val="20"/>
                  <w:u w:val="single"/>
                </w:rPr>
                <w:t>Financial Statements</w:t>
              </w:r>
            </w:hyperlink>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16">
              <w:r>
                <w:rPr>
                  <w:rStyle w:val="InternetLink"/>
                  <w:rFonts w:ascii="Times New Roman;serif" w:hAnsi="Times New Roman;serif"/>
                  <w:b w:val="false"/>
                  <w:color w:val="000080"/>
                  <w:sz w:val="20"/>
                  <w:u w:val="single"/>
                </w:rPr>
                <w:t xml:space="preserve">Condensed Consolidated Balance Sheets – </w:t>
              </w:r>
            </w:hyperlink>
            <w:r>
              <w:rPr>
                <w:rFonts w:ascii="Times New Roman;serif" w:hAnsi="Times New Roman;serif"/>
                <w:b w:val="false"/>
                <w:color w:val="0000FF"/>
                <w:sz w:val="20"/>
                <w:u w:val="single"/>
              </w:rPr>
              <w:t>September 30, 2026</w:t>
            </w:r>
            <w:hyperlink w:anchor="id591a4c73ab4441e9af46ad7aa3461a0_16">
              <w:r>
                <w:rPr>
                  <w:rStyle w:val="InternetLink"/>
                  <w:rFonts w:ascii="Times New Roman;serif" w:hAnsi="Times New Roman;serif"/>
                  <w:b w:val="false"/>
                  <w:color w:val="000080"/>
                  <w:sz w:val="20"/>
                  <w:u w:val="single"/>
                </w:rPr>
                <w:t xml:space="preserve"> (unaudited) and </w:t>
              </w:r>
            </w:hyperlink>
            <w:r>
              <w:rPr>
                <w:rFonts w:ascii="Times New Roman;serif" w:hAnsi="Times New Roman;serif"/>
                <w:b w:val="false"/>
                <w:color w:val="0000FF"/>
                <w:sz w:val="20"/>
                <w:u w:val="single"/>
              </w:rPr>
              <w:t>December 31, 2025</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591a4c73ab4441e9af46ad7aa3461a0_16">
              <w:r>
                <w:rPr>
                  <w:rStyle w:val="InternetLink"/>
                  <w:rFonts w:ascii="Times New Roman;serif" w:hAnsi="Times New Roman;serif"/>
                  <w:b w:val="false"/>
                  <w:color w:val="0000FF"/>
                  <w:sz w:val="20"/>
                  <w:u w:val="single"/>
                </w:rPr>
                <w:t>2</w:t>
              </w:r>
            </w:hyperlink>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19">
              <w:r>
                <w:rPr>
                  <w:rStyle w:val="InternetLink"/>
                  <w:rFonts w:ascii="Times New Roman;serif" w:hAnsi="Times New Roman;serif"/>
                  <w:b w:val="false"/>
                  <w:color w:val="000080"/>
                  <w:sz w:val="20"/>
                  <w:u w:val="single"/>
                </w:rPr>
                <w:t xml:space="preserve">Condensed Consolidated Statements of Operations (unaudited) – </w:t>
              </w:r>
            </w:hyperlink>
            <w:r>
              <w:rPr>
                <w:rFonts w:ascii="Times New Roman;serif" w:hAnsi="Times New Roman;serif"/>
                <w:b w:val="false"/>
                <w:color w:val="0000FF"/>
                <w:sz w:val="20"/>
                <w:u w:val="single"/>
              </w:rPr>
              <w:t>Three and Nine Months Ended</w:t>
            </w:r>
            <w:hyperlink w:anchor="id591a4c73ab4441e9af46ad7aa3461a0_19">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September 30, 2026</w:t>
            </w:r>
            <w:hyperlink w:anchor="id591a4c73ab4441e9af46ad7aa3461a0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2025</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591a4c73ab4441e9af46ad7aa3461a0_19">
              <w:r>
                <w:rPr>
                  <w:rStyle w:val="InternetLink"/>
                  <w:rFonts w:ascii="Times New Roman;serif" w:hAnsi="Times New Roman;serif"/>
                  <w:b w:val="false"/>
                  <w:color w:val="0000FF"/>
                  <w:sz w:val="20"/>
                  <w:u w:val="single"/>
                </w:rPr>
                <w:t>3</w:t>
              </w:r>
            </w:hyperlink>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22">
              <w:r>
                <w:rPr>
                  <w:rStyle w:val="InternetLink"/>
                  <w:rFonts w:ascii="Times New Roman;serif" w:hAnsi="Times New Roman;serif"/>
                  <w:b w:val="false"/>
                  <w:color w:val="000080"/>
                  <w:sz w:val="20"/>
                  <w:u w:val="single"/>
                </w:rPr>
                <w:t xml:space="preserve">Condensed Consolidated Statements of Comprehensive </w:t>
              </w:r>
            </w:hyperlink>
            <w:r>
              <w:rPr>
                <w:rFonts w:ascii="Times New Roman;serif" w:hAnsi="Times New Roman;serif"/>
                <w:b w:val="false"/>
                <w:color w:val="0000FF"/>
                <w:sz w:val="20"/>
                <w:u w:val="single"/>
              </w:rPr>
              <w:t>(Loss) Income (unaudited) – Three and Nine Months Ended September 30, 2026 and 2025</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591a4c73ab4441e9af46ad7aa3461a0_22">
              <w:r>
                <w:rPr>
                  <w:rStyle w:val="InternetLink"/>
                  <w:rFonts w:ascii="Times New Roman;serif" w:hAnsi="Times New Roman;serif"/>
                  <w:b w:val="false"/>
                  <w:color w:val="0000FF"/>
                  <w:sz w:val="20"/>
                  <w:u w:val="single"/>
                </w:rPr>
                <w:t>4</w:t>
              </w:r>
            </w:hyperlink>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25">
              <w:r>
                <w:rPr>
                  <w:rStyle w:val="InternetLink"/>
                  <w:rFonts w:ascii="Times New Roman;serif" w:hAnsi="Times New Roman;serif"/>
                  <w:b w:val="false"/>
                  <w:color w:val="000080"/>
                  <w:sz w:val="20"/>
                  <w:u w:val="single"/>
                </w:rPr>
                <w:t>Condensed Consolidated Statements of Stockholders’ Equity (unaudited) –</w:t>
              </w:r>
            </w:hyperlink>
            <w:r>
              <w:rPr>
                <w:rFonts w:ascii="Times New Roman;serif" w:hAnsi="Times New Roman;serif"/>
                <w:b w:val="false"/>
                <w:color w:val="0000FF"/>
                <w:sz w:val="20"/>
                <w:u w:val="single"/>
              </w:rPr>
              <w:t>Three and Nine Months Ended September 30, 2026 and 2025</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591a4c73ab4441e9af46ad7aa3461a0_25">
              <w:r>
                <w:rPr>
                  <w:rStyle w:val="InternetLink"/>
                  <w:rFonts w:ascii="Times New Roman;serif" w:hAnsi="Times New Roman;serif"/>
                  <w:b w:val="false"/>
                  <w:color w:val="0000FF"/>
                  <w:sz w:val="20"/>
                  <w:u w:val="single"/>
                </w:rPr>
                <w:t>5</w:t>
              </w:r>
            </w:hyperlink>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28">
              <w:r>
                <w:rPr>
                  <w:rStyle w:val="InternetLink"/>
                  <w:rFonts w:ascii="Times New Roman;serif" w:hAnsi="Times New Roman;serif"/>
                  <w:b w:val="false"/>
                  <w:color w:val="000080"/>
                  <w:sz w:val="20"/>
                  <w:u w:val="single"/>
                </w:rPr>
                <w:t>Condensed Consolidated Statements of Cash Flows (unaudited) –</w:t>
              </w:r>
            </w:hyperlink>
            <w:r>
              <w:rPr>
                <w:rFonts w:ascii="Times New Roman;serif" w:hAnsi="Times New Roman;serif"/>
                <w:b w:val="false"/>
                <w:color w:val="0000FF"/>
                <w:sz w:val="20"/>
                <w:u w:val="single"/>
              </w:rPr>
              <w:t xml:space="preserve"> Nine Months Ended September 30, 2026 and 2025</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591a4c73ab4441e9af46ad7aa3461a0_28">
              <w:r>
                <w:rPr>
                  <w:rStyle w:val="InternetLink"/>
                  <w:rFonts w:ascii="Times New Roman;serif" w:hAnsi="Times New Roman;serif"/>
                  <w:b w:val="false"/>
                  <w:color w:val="0000FF"/>
                  <w:sz w:val="20"/>
                  <w:u w:val="single"/>
                </w:rPr>
                <w:t>6</w:t>
              </w:r>
            </w:hyperlink>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31">
              <w:r>
                <w:rPr>
                  <w:rStyle w:val="InternetLink"/>
                  <w:rFonts w:ascii="Times New Roman;serif" w:hAnsi="Times New Roman;serif"/>
                  <w:b w:val="false"/>
                  <w:color w:val="0000FF"/>
                  <w:sz w:val="20"/>
                  <w:u w:val="single"/>
                </w:rPr>
                <w:t>Notes to Condensed Consolidated Financial Statements (unaudited)</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591a4c73ab4441e9af46ad7aa3461a0_31">
              <w:r>
                <w:rPr>
                  <w:rStyle w:val="InternetLink"/>
                  <w:rFonts w:ascii="Times New Roman;serif" w:hAnsi="Times New Roman;serif"/>
                  <w:b w:val="false"/>
                  <w:color w:val="0000FF"/>
                  <w:sz w:val="20"/>
                  <w:u w:val="single"/>
                </w:rPr>
                <w:t>7</w:t>
              </w:r>
            </w:hyperlink>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591a4c73ab4441e9af46ad7aa3461a0_79">
              <w:r>
                <w:rPr>
                  <w:rStyle w:val="InternetLink"/>
                  <w:rFonts w:ascii="Times New Roman;serif" w:hAnsi="Times New Roman;serif"/>
                  <w:b w:val="false"/>
                  <w:color w:val="0000FF"/>
                  <w:sz w:val="20"/>
                  <w:u w:val="single"/>
                </w:rPr>
                <w:t>28</w:t>
              </w:r>
            </w:hyperlink>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109">
              <w:r>
                <w:rPr>
                  <w:rStyle w:val="InternetLink"/>
                  <w:rFonts w:ascii="Times New Roman;serif" w:hAnsi="Times New Roman;serif"/>
                  <w:b w:val="false"/>
                  <w:color w:val="0000FF"/>
                  <w:sz w:val="20"/>
                  <w:u w:val="single"/>
                </w:rPr>
                <w:t>Quantitative and Qualitative Disclosures About Market Risk</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591a4c73ab4441e9af46ad7aa3461a0_109">
              <w:r>
                <w:rPr>
                  <w:rStyle w:val="InternetLink"/>
                  <w:rFonts w:ascii="Times New Roman;serif" w:hAnsi="Times New Roman;serif"/>
                  <w:b w:val="false"/>
                  <w:color w:val="0000FF"/>
                  <w:sz w:val="20"/>
                  <w:u w:val="single"/>
                </w:rPr>
                <w:t>44</w:t>
              </w:r>
            </w:hyperlink>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112">
              <w:r>
                <w:rPr>
                  <w:rStyle w:val="InternetLink"/>
                  <w:rFonts w:ascii="Times New Roman;serif" w:hAnsi="Times New Roman;serif"/>
                  <w:b w:val="false"/>
                  <w:color w:val="0000FF"/>
                  <w:sz w:val="20"/>
                  <w:u w:val="single"/>
                </w:rPr>
                <w:t>Controls and Procedures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591a4c73ab4441e9af46ad7aa3461a0_112">
              <w:r>
                <w:rPr>
                  <w:rStyle w:val="InternetLink"/>
                  <w:rFonts w:ascii="Times New Roman;serif" w:hAnsi="Times New Roman;serif"/>
                  <w:b w:val="false"/>
                  <w:color w:val="0000FF"/>
                  <w:sz w:val="20"/>
                  <w:u w:val="single"/>
                </w:rPr>
                <w:t>44</w:t>
              </w:r>
            </w:hyperlink>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115">
              <w:r>
                <w:rPr>
                  <w:rStyle w:val="InternetLink"/>
                  <w:rFonts w:ascii="Times New Roman;serif" w:hAnsi="Times New Roman;serif"/>
                  <w:b/>
                  <w:color w:val="0000FF"/>
                  <w:sz w:val="20"/>
                  <w:u w:val="single"/>
                </w:rPr>
                <w:t>Other Information</w:t>
              </w:r>
            </w:hyperlink>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118">
              <w:r>
                <w:rPr>
                  <w:rStyle w:val="InternetLink"/>
                  <w:rFonts w:ascii="Times New Roman;serif" w:hAnsi="Times New Roman;serif"/>
                  <w:b w:val="false"/>
                  <w:color w:val="0000FF"/>
                  <w:sz w:val="20"/>
                  <w:u w:val="single"/>
                </w:rPr>
                <w:t>Legal Proceedings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591a4c73ab4441e9af46ad7aa3461a0_115">
              <w:r>
                <w:rPr>
                  <w:rStyle w:val="InternetLink"/>
                  <w:rFonts w:ascii="Times New Roman;serif" w:hAnsi="Times New Roman;serif"/>
                  <w:b w:val="false"/>
                  <w:color w:val="0000FF"/>
                  <w:sz w:val="20"/>
                  <w:u w:val="single"/>
                </w:rPr>
                <w:t>44</w:t>
              </w:r>
            </w:hyperlink>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605" w:type="dxa"/>
            <w:gridSpan w:val="3"/>
            <w:tcBorders/>
            <w:tcMar>
              <w:top w:w="0" w:type="dxa"/>
              <w:left w:w="0" w:type="dxa"/>
              <w:bottom w:w="0" w:type="dxa"/>
              <w:right w:w="0" w:type="dxa"/>
            </w:tcMar>
            <w:vAlign w:val="center"/>
          </w:tcPr>
          <w:p>
            <w:pPr>
              <w:pStyle w:val="TableContents"/>
              <w:bidi w:val="0"/>
              <w:spacing w:lineRule="auto" w:line="240" w:before="360" w:after="283"/>
              <w:jc w:val="left"/>
            </w:pPr>
            <w:hyperlink w:anchor="id591a4c73ab4441e9af46ad7aa3461a0_121">
              <w:r>
                <w:rPr>
                  <w:rStyle w:val="InternetLink"/>
                  <w:rFonts w:ascii="Times New Roman;serif" w:hAnsi="Times New Roman;serif"/>
                  <w:b w:val="false"/>
                  <w:color w:val="0000FF"/>
                  <w:sz w:val="20"/>
                  <w:u w:val="single"/>
                </w:rPr>
                <w:t>Risk Factors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591a4c73ab4441e9af46ad7aa3461a0_121">
              <w:r>
                <w:rPr>
                  <w:rStyle w:val="InternetLink"/>
                  <w:rFonts w:ascii="Times New Roman;serif" w:hAnsi="Times New Roman;serif"/>
                  <w:b w:val="false"/>
                  <w:color w:val="0000FF"/>
                  <w:sz w:val="20"/>
                  <w:u w:val="single"/>
                </w:rPr>
                <w:t>44</w:t>
              </w:r>
            </w:hyperlink>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vAlign w:val="center"/>
          </w:tcPr>
          <w:p>
            <w:pPr>
              <w:pStyle w:val="TableContents"/>
              <w:bidi w:val="0"/>
              <w:spacing w:before="0" w:after="283"/>
              <w:jc w:val="left"/>
              <w:rPr>
                <w:sz w:val="4"/>
                <w:szCs w:val="4"/>
              </w:rPr>
            </w:pPr>
            <w:r>
              <w:rPr>
                <w:sz w:val="4"/>
                <w:szCs w:val="4"/>
              </w:rPr>
            </w:r>
          </w:p>
        </w:tc>
        <w:tc>
          <w:tcPr>
            <w:tcW w:w="8605"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c>
          <w:tcPr>
            <w:tcW w:w="785" w:type="dxa"/>
            <w:gridSpan w:val="3"/>
            <w:tcBorders/>
            <w:vAlign w:val="center"/>
          </w:tcPr>
          <w:p>
            <w:pPr>
              <w:pStyle w:val="TableContents"/>
              <w:bidi w:val="0"/>
              <w:spacing w:before="0" w:after="283"/>
              <w:jc w:val="left"/>
              <w:rPr>
                <w:sz w:val="4"/>
                <w:szCs w:val="4"/>
              </w:rPr>
            </w:pPr>
            <w:r>
              <w:rPr>
                <w:sz w:val="4"/>
                <w:szCs w:val="4"/>
              </w:rPr>
            </w:r>
          </w:p>
        </w:tc>
        <w:tc>
          <w:tcPr>
            <w:tcW w:w="8605"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c>
          <w:tcPr>
            <w:tcW w:w="785" w:type="dxa"/>
            <w:gridSpan w:val="3"/>
            <w:tcBorders/>
            <w:vAlign w:val="center"/>
          </w:tcPr>
          <w:p>
            <w:pPr>
              <w:pStyle w:val="TableContents"/>
              <w:bidi w:val="0"/>
              <w:spacing w:before="0" w:after="283"/>
              <w:jc w:val="left"/>
              <w:rPr>
                <w:sz w:val="4"/>
                <w:szCs w:val="4"/>
              </w:rPr>
            </w:pPr>
            <w:r>
              <w:rPr>
                <w:sz w:val="4"/>
                <w:szCs w:val="4"/>
              </w:rPr>
            </w:r>
          </w:p>
        </w:tc>
        <w:tc>
          <w:tcPr>
            <w:tcW w:w="8605"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127">
              <w:r>
                <w:rPr>
                  <w:rStyle w:val="InternetLink"/>
                  <w:rFonts w:ascii="Times New Roman;serif" w:hAnsi="Times New Roman;serif"/>
                  <w:b w:val="false"/>
                  <w:color w:val="0000FF"/>
                  <w:sz w:val="20"/>
                  <w:u w:val="single"/>
                </w:rPr>
                <w:t>Other Information</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591a4c73ab4441e9af46ad7aa3461a0_127">
              <w:r>
                <w:rPr>
                  <w:rStyle w:val="InternetLink"/>
                  <w:rFonts w:ascii="Times New Roman;serif" w:hAnsi="Times New Roman;serif"/>
                  <w:b w:val="false"/>
                  <w:color w:val="0000FF"/>
                  <w:sz w:val="20"/>
                  <w:u w:val="single"/>
                </w:rPr>
                <w:t>44</w:t>
              </w:r>
            </w:hyperlink>
          </w:p>
        </w:tc>
      </w:tr>
      <w:t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130">
              <w:r>
                <w:rPr>
                  <w:rStyle w:val="InternetLink"/>
                  <w:rFonts w:ascii="Times New Roman;serif" w:hAnsi="Times New Roman;serif"/>
                  <w:b w:val="false"/>
                  <w:color w:val="0000FF"/>
                  <w:sz w:val="20"/>
                  <w:u w:val="single"/>
                </w:rPr>
                <w:t>Exhibits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591a4c73ab4441e9af46ad7aa3461a0_130">
              <w:r>
                <w:rPr>
                  <w:rStyle w:val="InternetLink"/>
                  <w:rFonts w:ascii="Times New Roman;serif" w:hAnsi="Times New Roman;serif"/>
                  <w:b w:val="false"/>
                  <w:color w:val="0000FF"/>
                  <w:sz w:val="20"/>
                  <w:u w:val="single"/>
                </w:rPr>
                <w:t>45</w:t>
              </w:r>
            </w:hyperlink>
          </w:p>
        </w:tc>
      </w:tr>
      <w:tr>
        <w:tc>
          <w:tcPr>
            <w:tcW w:w="93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90"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d591a4c73ab4441e9af46ad7aa3461a0_133">
              <w:r>
                <w:rPr>
                  <w:rStyle w:val="InternetLink"/>
                  <w:rFonts w:ascii="Times New Roman;serif" w:hAnsi="Times New Roman;serif"/>
                  <w:b w:val="false"/>
                  <w:color w:val="0000FF"/>
                  <w:sz w:val="20"/>
                  <w:u w:val="single"/>
                </w:rPr>
                <w:t>Signatures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591a4c73ab4441e9af46ad7aa3461a0_133">
              <w:r>
                <w:rPr>
                  <w:rStyle w:val="InternetLink"/>
                  <w:rFonts w:ascii="Times New Roman;serif" w:hAnsi="Times New Roman;serif"/>
                  <w:b w:val="false"/>
                  <w:color w:val="0000FF"/>
                  <w:sz w:val="20"/>
                  <w:u w:val="single"/>
                </w:rPr>
                <w:t>46</w:t>
              </w:r>
            </w:hyperlink>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3034"/>
        <w:gridCol w:w="2248"/>
        <w:gridCol w:w="2257"/>
        <w:gridCol w:w="211"/>
        <w:gridCol w:w="826"/>
        <w:gridCol w:w="109"/>
        <w:gridCol w:w="109"/>
        <w:gridCol w:w="109"/>
        <w:gridCol w:w="109"/>
        <w:gridCol w:w="211"/>
        <w:gridCol w:w="826"/>
        <w:gridCol w:w="156"/>
      </w:tblGrid>
      <w:tr>
        <w:tc>
          <w:tcPr>
            <w:tcW w:w="3034"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allowances of $10,730 at September 30, 2026 and $11,970 at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373,893 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maturity of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131,303 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LONG-TERM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$1.00 par value, shares authorized: 100 shares of Series A and 2,000,000 shares of Series B; none issued and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shares authorized: 50,000,000 at September 30, 2026 and December 31, 2025; shares issued and outstanding: 22,984,460 at September 30, 2026 and 22,654,207 at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202,277 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572,555 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- 2 -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- 2 -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38"/>
        <w:gridCol w:w="1416"/>
        <w:gridCol w:w="143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6"/>
      </w:tblGrid>
      <w:tr>
        <w:tc>
          <w:tcPr>
            <w:tcW w:w="163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to market (loss) gain on interest rate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(LOSS) INCOME PER COMMON SHARE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(LOSS) INCOME PER COMMON SHARE</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774" w:type="dxa"/>
        <w:jc w:val="center"/>
        <w:tblInd w:w="0" w:type="dxa"/>
        <w:tblLayout w:type="fixed"/>
        <w:tblCellMar>
          <w:top w:w="28" w:type="dxa"/>
          <w:left w:w="28" w:type="dxa"/>
          <w:bottom w:w="28" w:type="dxa"/>
          <w:right w:w="28" w:type="dxa"/>
        </w:tblCellMar>
      </w:tblPr>
      <w:tblGrid>
        <w:gridCol w:w="1290"/>
        <w:gridCol w:w="1136"/>
        <w:gridCol w:w="1143"/>
        <w:gridCol w:w="211"/>
        <w:gridCol w:w="691"/>
        <w:gridCol w:w="109"/>
        <w:gridCol w:w="109"/>
        <w:gridCol w:w="109"/>
        <w:gridCol w:w="109"/>
        <w:gridCol w:w="211"/>
        <w:gridCol w:w="691"/>
        <w:gridCol w:w="109"/>
        <w:gridCol w:w="109"/>
        <w:gridCol w:w="109"/>
        <w:gridCol w:w="109"/>
        <w:gridCol w:w="211"/>
        <w:gridCol w:w="721"/>
        <w:gridCol w:w="109"/>
        <w:gridCol w:w="109"/>
        <w:gridCol w:w="109"/>
        <w:gridCol w:w="109"/>
        <w:gridCol w:w="211"/>
        <w:gridCol w:w="796"/>
        <w:gridCol w:w="154"/>
      </w:tblGrid>
      <w:t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translation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flow hedges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retirement benefit obligations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(44,994)</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56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pPr>
            <w:r/>
          </w:p>
        </w:tc>
      </w:tr>
      <w:tr>
        <w:tc>
          <w:tcPr>
            <w:tcW w:w="2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(63,354)</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(18,045)</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202,277 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effectively repurchased for required employee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284,305 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(69,132)</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(17,906)</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197,496 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(50,533)</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(17,791)</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217,477 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22,984 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286,472 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(55,736)</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(17,748)</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213,218 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pPr>
            <w:r>
              <w:rPr>
                <w:color w:val="000000"/>
              </w:rPr>
              <w:t> </w:t>
            </w:r>
            <w:r>
              <w:rPr>
                <w:rFonts w:ascii="Times New Roman;serif" w:hAnsi="Times New Roman;serif"/>
                <w:b/>
                <w:color w:val="000000"/>
                <w:sz w:val="16"/>
              </w:rPr>
              <w:t>Total</w:t>
            </w:r>
          </w:p>
        </w:tc>
      </w:tr>
      <w:t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pPr>
            <w:r/>
          </w:p>
        </w:tc>
      </w:tr>
      <w:tr>
        <w:tc>
          <w:tcPr>
            <w:tcW w:w="2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(32,550)</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(18,315)</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229,923 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effectively repurchased for required employee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22,414 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(37,736)</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(18,023)</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225,676 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(39,699)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22,657 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(78,426)</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(18,285)</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185,768 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Net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22,657 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283,248 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(80,610)</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(18,220)</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184,645 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Cash dividends declared per share of common stock were $0.1275 and $0.1275 in the nine months ended September 30, 2026 and 2025, respectively.</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LIFETIME BRANDS,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728" w:type="dxa"/>
        <w:jc w:val="center"/>
        <w:tblInd w:w="0" w:type="dxa"/>
        <w:tblLayout w:type="fixed"/>
        <w:tblCellMar>
          <w:top w:w="28" w:type="dxa"/>
          <w:left w:w="28" w:type="dxa"/>
          <w:bottom w:w="28" w:type="dxa"/>
          <w:right w:w="28" w:type="dxa"/>
        </w:tblCellMar>
      </w:tblPr>
      <w:tblGrid>
        <w:gridCol w:w="2609"/>
        <w:gridCol w:w="2292"/>
        <w:gridCol w:w="2298"/>
        <w:gridCol w:w="211"/>
        <w:gridCol w:w="721"/>
        <w:gridCol w:w="109"/>
        <w:gridCol w:w="109"/>
        <w:gridCol w:w="109"/>
        <w:gridCol w:w="109"/>
        <w:gridCol w:w="211"/>
        <w:gridCol w:w="796"/>
        <w:gridCol w:w="154"/>
      </w:tblGrid>
      <w:tr>
        <w:tc>
          <w:tcPr>
            <w:tcW w:w="2609"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fixed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to market (gain) loss on interest rate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other current assets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20"/>
              </w:rPr>
              <w:t>NET CASH PROVIDED BY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proceeds from sale of property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term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financing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tax withholding for stock 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CASH (USED IN) PROVIDED BY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on cash</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INCREASE IN CASH AND CASH EQUIVALENTS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BASIS OF PRESENTATION AND SUMMARY OF ACCOUNTING POLICIES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Organization and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Lifetime Brands, Inc. (“the Company”) designs, sources and sells branded kitchenware, tableware and other home solution products used in the home and markets its products under a number of widely-recognized brand names and trademarks, which are either owned or licensed by the Company or through retailers’ private labels and their licensed brands. The Company’s products, which are targeted primarily to consumers purchasing moderately priced kitchenware, tableware and housewares, are sold through nearly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selection of its products directly to consumers through its own websites.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should be read in conjunction with the consolidated financial statements and footnotes thereto included in the Company’s Annual Report on Form 10-K for the fiscal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results for the three and nine months ended September 30, 2026 are not necessarily indicative of the results that may be expected for the year ending December 31,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business and working capital needs are seasonal, with a majority of sales occurring in the third and fourth quarters. In 2025 and 2024, net sales for the third and fourth quarters accounted for 58% of total annual net sales, for both periods. In anticipation of the pre-holiday shipping season, inventory levels increase primarily in the June through October time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laws and regulations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held that the U.S. administration’s imposition of tariffs pursuant to the International Emergency Economic Powers Act (“IEEPA”) was unlawful. The U.S. Customs and Border Protection ("CBP") has launched Phases One, Two, and Three of the Consolidated Administration and Processing of Entries ("CAPE") IEEPA refunds claims process. During the three months ended June 30, 2026, the Company concluded that $40.1 million of tariff refunds were probable of being recovered and recognized the refund as a reduction to cost of goods sold in the condensed consolidated financial statements. Awarded interest related to tariff refunds is recognized in the period in which it is realized. As of September 30, 2026, the Company received $37.3 million and the remaining $2.8 million of outstanding IEEPA tariff receivables is recorded within prepaid and other current assets in the condensed consolidated balance sheet. For the three and nine months ended September 30, 2026, the Company received and recognized $1.4 million of interest related to the IEEPA refunds.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products wholesale, to retailers and distributors, and retail, directly to consumers. Wholesale sales and retail sales are primarily recognized at the point in time when the customer obtains control of the products, in an amount that reflects the consideration the Company expects to be entitled to in exchange for those products.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sales consist primarily of costs associated with the production and procurement of product, inbound freight costs, purchasing costs, handling costs, duties and tariffs, royalties, and other product procurement related charges.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consist primarily of warehousing expenses and freight-out expenses.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periodically reviews the collectability of its accounts receivable and establishes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 considerable amount of judgment is required to assess the ultimate realization of these receivables including assessing the initial and on-going creditworthiness of the Company’s customers.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maintains an allowance for anticipated customer deductions. Contractual deductions for incentives and promotions granted to customers such as cooperative advertising, are recorded as a reduction to accounts receivable at the time of sale. These deductions are primarily fixed amounts; however, in certain cases, these deductions are not fixed and, therefore, the allowance is estimated based on currently available information and historical trends of deductions.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Receivable purchase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The Company did not sell receivables to HSBC during the three and nine months ended September 30, 2026 and September 30,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2026, $21.0 million of accounts receivable were available for sale to HSBC, net of applicable charges.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product-by-product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costs of completion, disposal and transportation.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were as follows (in thousands):</w:t>
      </w:r>
    </w:p>
    <w:tbl>
      <w:tblPr>
        <w:tblW w:w="4441" w:type="dxa"/>
        <w:jc w:val="left"/>
        <w:tblInd w:w="0" w:type="dxa"/>
        <w:tblLayout w:type="fixed"/>
        <w:tblCellMar>
          <w:top w:w="28" w:type="dxa"/>
          <w:left w:w="28" w:type="dxa"/>
          <w:bottom w:w="28" w:type="dxa"/>
          <w:right w:w="28" w:type="dxa"/>
        </w:tblCellMar>
      </w:tblPr>
      <w:tblGrid>
        <w:gridCol w:w="516"/>
        <w:gridCol w:w="453"/>
        <w:gridCol w:w="455"/>
        <w:gridCol w:w="211"/>
        <w:gridCol w:w="826"/>
        <w:gridCol w:w="109"/>
        <w:gridCol w:w="109"/>
        <w:gridCol w:w="109"/>
        <w:gridCol w:w="109"/>
        <w:gridCol w:w="273"/>
        <w:gridCol w:w="1072"/>
        <w:gridCol w:w="199"/>
      </w:tblGrid>
      <w:t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185,157 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214,588 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194,046 </w:t>
            </w:r>
          </w:p>
        </w:tc>
        <w:tc>
          <w:tcPr>
            <w:tcW w:w="19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5 — DEBT to the unaudited condensed consolidated financial statements included in this Quarterly Report on Form 10-Q) approximate fair value since such borrowings bear interest at variable market rates.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jc w:val="left"/>
      </w:pPr>
      <w:r>
        <w:rPr>
          <w:rFonts w:ascii="Times New Roman;serif" w:hAnsi="Times New Roman;serif"/>
          <w:b w:val="false"/>
          <w:color w:val="000000"/>
          <w:sz w:val="20"/>
        </w:rPr>
        <w:t xml:space="preserve">The Company accounts for derivative instruments in accordance with Accounting Standard Codification (“ASC”) Topic 815, </w:t>
      </w:r>
      <w:r>
        <w:rPr>
          <w:rFonts w:ascii="Times New Roman;serif" w:hAnsi="Times New Roman;serif"/>
          <w:b w:val="false"/>
          <w:i/>
          <w:color w:val="000000"/>
          <w:sz w:val="20"/>
        </w:rPr>
        <w:t>Derivatives and Hedging (</w:t>
      </w:r>
      <w:r>
        <w:rPr>
          <w:color w:val="000000"/>
        </w:rPr>
        <w:t>“</w:t>
      </w:r>
      <w:r>
        <w:rPr>
          <w:rFonts w:ascii="Times New Roman;serif" w:hAnsi="Times New Roman;serif"/>
          <w:b w:val="false"/>
          <w:color w:val="000000"/>
          <w:sz w:val="20"/>
        </w:rPr>
        <w:t>ASC 815”</w:t>
      </w:r>
      <w:r>
        <w:rPr>
          <w:rFonts w:ascii="Times New Roman;serif" w:hAnsi="Times New Roman;serif"/>
          <w:b w:val="false"/>
          <w:i/>
          <w:color w:val="000000"/>
          <w:sz w:val="20"/>
        </w:rPr>
        <w:t>)</w:t>
      </w:r>
      <w:r>
        <w:rPr>
          <w:rFonts w:ascii="Times New Roman;serif" w:hAnsi="Times New Roman;serif"/>
          <w:b w:val="false"/>
          <w:color w:val="000000"/>
          <w:sz w:val="20"/>
        </w:rPr>
        <w:t>. ASC 815 requires that all derivative instruments be recognized on the balance sheet at fair value as either an asset or liability. Changes in the fair value of derivatives that qualify as hedges and have been designated as part of a hedging relationship for accounting purposes are included in accumulated other comprehensive loss and are subsequently recognized in the Company’s unaudited condensed consolidated statements of operations in the same period that the hedged items are recognized in earnings. Changes in fair value of derivatives that do not qualify as hedging instruments for accounting purposes are recorded in the Company’s unaudited condensed consolidated statements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Goodwill, intangible assets and long-lived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had no recorded goodwill as of September 30, 2026 and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 4 — INTANGIBLE ASSETS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incremental borrowing rate represents the rate required to borrow funds over a similar term to purchase the leased asset and is based on an unsecured borrowing rate and risk-adjusted to approximate a collateralized rate at the commencement date of the lease.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operating lease ROU asset may also include any lease payments made, adjusted for any prepaid or accrued rent payments, lease incentives, and initial direct costs incurred. Certain leases may include options to extend or terminate the lease. Periods to extend the lease are included in the lease term when the Company is reasonably certain that the extension option would be exercised, and the associated lease payments for such periods are reflected in the ROU asset and lease liability. Lease expense for minimum lease payments is recognized on a straight-line basis over the lease term.</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certain equipment leases, the Company applies a portfolio approach to effectively account for its ROU assets and lease liabilities. Leases with an initial term of twelve months or less are not recorded on the balance sheet.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elected the practical expedient to account for each separate lease component of a contract and its associated non-lease components as a single lease component, thus causing all fixed payments to be capitalized.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Restructuring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are recognized at fair value when the related liability is incurred. For severance and other employee-related costs, a liability is generally incurred on the date the restructuring plan is communicated to affected employees. In certain situations, severance or other employee-related benefits require employees to render service over a specified period in order to be eligible to receive the benefit, and that service period extends beyond a minimum retention period. In these circumstances, the fair value of the termination benefits is recognized ratably over the required service period, beginning on the communication 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restructuring expenses for the three and nine months ended September 30, 2026 related to the following activities: </w:t>
      </w:r>
    </w:p>
    <w:tbl>
      <w:tblPr>
        <w:tblW w:w="7365" w:type="dxa"/>
        <w:jc w:val="left"/>
        <w:tblInd w:w="0" w:type="dxa"/>
        <w:tblLayout w:type="fixed"/>
        <w:tblCellMar>
          <w:top w:w="28" w:type="dxa"/>
          <w:left w:w="28" w:type="dxa"/>
          <w:bottom w:w="28" w:type="dxa"/>
          <w:right w:w="28" w:type="dxa"/>
        </w:tblCellMar>
      </w:tblPr>
      <w:tblGrid>
        <w:gridCol w:w="946"/>
        <w:gridCol w:w="831"/>
        <w:gridCol w:w="833"/>
        <w:gridCol w:w="429"/>
        <w:gridCol w:w="951"/>
        <w:gridCol w:w="224"/>
        <w:gridCol w:w="109"/>
        <w:gridCol w:w="1516"/>
        <w:gridCol w:w="109"/>
        <w:gridCol w:w="109"/>
        <w:gridCol w:w="109"/>
        <w:gridCol w:w="211"/>
        <w:gridCol w:w="616"/>
        <w:gridCol w:w="109"/>
        <w:gridCol w:w="109"/>
        <w:gridCol w:w="154"/>
      </w:tblGrid>
      <w:t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526" w:type="dxa"/>
            <w:gridSpan w:val="8"/>
            <w:tcBorders/>
          </w:tcPr>
          <w:p>
            <w:pPr>
              <w:pStyle w:val="TableContents"/>
              <w:bidi w:val="0"/>
              <w:spacing w:before="0" w:after="283"/>
              <w:jc w:val="left"/>
              <w:rPr>
                <w:sz w:val="4"/>
                <w:szCs w:val="4"/>
              </w:rPr>
            </w:pPr>
            <w:r>
              <w:rPr>
                <w:sz w:val="4"/>
                <w:szCs w:val="4"/>
              </w:rPr>
            </w:r>
          </w:p>
        </w:tc>
      </w:tr>
      <w:t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526" w:type="dxa"/>
            <w:gridSpan w:val="8"/>
            <w:tcBorders/>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segment</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 facility relocation</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operations</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segment</w:t>
            </w:r>
          </w:p>
        </w:tc>
        <w:tc>
          <w:tcPr>
            <w:tcW w:w="13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segment</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 Concord</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expenses</w:t>
            </w:r>
          </w:p>
        </w:tc>
        <w:tc>
          <w:tcPr>
            <w:tcW w:w="4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Distribution Facility Relocation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announced the relocation of the Company’s East Coast distribution operations currently located in Robbinsville, NJ (the “Robbinsville Facility”) to Hagerstown, Maryland (the “Hagerstown Facility”). As a result of the relocation the Company will exit the Robbinsville Facility. During the three and nine months ended September 30, 2026, the Company incurred $0.5 million and $2.9 million, respectively, related to employee severance expenses. The Company expects to complete the exit of the Robbinsville Facility by the fourth quarter of 2026 and expects additional exit costs of approximately $0.1 million related to employee severance and $1.9 million for other related costs.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Manufacturing Operations - Sterling Flatware &amp; Mexico Operations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March 2026, the Company approved a plan to close its manufacturing operations of its sterling flatware products. During the nine months ended September 30, 2026, the Company incurred $0.1 million of employee severance expenses and $0.6 million of other costs which consisted of an inventory provision on remaining raw materials inventory. The Company had completed the actions under this closure as of the prior period. No additional expense was incurred during the three months ended September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June 2026, the Company approved a plan to close its manufacturing operations in Mexico. During the nine months ended September 30, 2026, the Company incurred $0.3 million of employee severance expenses and $0.4 million of other costs which consisted of an inventory provision on remaining raw materials inventory and write-off of fixed assets that will be disposed. No expense was incurred during the three months ended September 30, 2026.</w:t>
      </w:r>
    </w:p>
    <w:p>
      <w:pPr>
        <w:pStyle w:val="TextBody"/>
        <w:bidi w:val="0"/>
        <w:spacing w:before="240" w:after="283"/>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Project Concord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International segment incurred severance expenses associated with the reorganization of the International segment's workforce. The reorganization is related to Project Concord and primarily affects the structure of the International segment's merchandising and sales workforce. During the three and nine months ended September 30, 2026, the Company incurred $0.2 million and $0.3 million, respectively, of employee severance expenses. As of September 30, 2026, the Company expects that restructuring activities related to this project to be completed by the end of the fourth quarter of 2026 and expects to incur additional costs of $0.3 million related to employee severance.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accrued restructuring liability was $1.6 million, which was related to distribution facility relocation expenses. The accrued restructuring is expected to be paid by the end of 2026.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Updates not listed below were assessed and either determined not to be applicable or are expected to have a minimal effect on the Company’s financial position, results of operations, and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The guidance requires additional disclosure in the notes to the financial statements for specified information about certain costs and expenses. The new guidance is effective for public business entities for annual periods beginning after December 15, 2026, and interim periods beginning after December 15, 2027. Early adoption is permitted. The amendments in this ASU may be applied either (1) prospectively to financial statements issued for reporting periods after the effective date of this ASU or (2) retrospectively to all prior periods presented in the financial statements. Management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2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products wholesale, to retailers and distributors, and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$1.0 million and $2.3 million, respectively, for the three and nine months ended September 30, 2026 and $1.1 million and $2.5 million, respectively, for the three and nine months ended September 30, 2025. Net sales exclude taxes that are collected from customers and remitted to the taxing authorities.</w:t>
      </w:r>
    </w:p>
    <w:p>
      <w:pPr>
        <w:pStyle w:val="TextBody"/>
        <w:bidi w:val="0"/>
        <w:spacing w:lineRule="auto" w:line="288" w:before="240" w:after="283"/>
        <w:jc w:val="left"/>
      </w:pPr>
      <w:r>
        <w:rPr>
          <w:rFonts w:ascii="Times New Roman;serif" w:hAnsi="Times New Roman;serif"/>
          <w:b w:val="false"/>
          <w:color w:val="000000"/>
          <w:sz w:val="20"/>
        </w:rPr>
        <w:t xml:space="preserve">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 in net sales in the Company’s unaudited condensed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w:t>
      </w:r>
      <w:r>
        <w:rPr>
          <w:rFonts w:ascii="Times New Roman;serif" w:hAnsi="Times New Roman;serif"/>
          <w:b w:val="false"/>
          <w:color w:val="000000"/>
          <w:sz w:val="20"/>
          <w:shd w:fill="FFFFFF" w:val="clear"/>
        </w:rPr>
        <w:t>Payment terms vary by customer, but generally range from 30 to 90 days or at the point of sale for the Company’s retail direct sale</w:t>
      </w:r>
      <w:r>
        <w:rPr>
          <w:rFonts w:ascii="Times New Roman;serif" w:hAnsi="Times New Roman;serif"/>
          <w:b w:val="false"/>
          <w:color w:val="000000"/>
          <w:sz w:val="20"/>
        </w:rPr>
        <w:t>s.</w:t>
      </w:r>
    </w:p>
    <w:p>
      <w:pPr>
        <w:pStyle w:val="TextBody"/>
        <w:bidi w:val="0"/>
        <w:spacing w:lineRule="auto" w:line="288" w:before="240" w:after="283"/>
        <w:jc w:val="left"/>
      </w:pPr>
      <w:r>
        <w:rPr>
          <w:rFonts w:ascii="Times New Roman;serif" w:hAnsi="Times New Roman;serif"/>
          <w:b w:val="false"/>
          <w:color w:val="000000"/>
          <w:sz w:val="20"/>
          <w:shd w:fill="FFFFFF" w:val="clear"/>
        </w:rPr>
        <w:t>The Company incurs certain direct incremental costs to obtain contracts with customers, such as sales-related co</w:t>
      </w:r>
      <w:r>
        <w:rPr>
          <w:rFonts w:ascii="Times New Roman;serif" w:hAnsi="Times New Roman;serif"/>
          <w:b w:val="false"/>
          <w:color w:val="000000"/>
          <w:sz w:val="20"/>
        </w:rPr>
        <w:t xml:space="preserve">mmissions, where the recognition period for the related revenue is less than one year. These costs are expensed as incurred and recorded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within selling, general and administrative expenses in the unaudited condensed consolidated statements of operations. Incidental items that are immaterial in the context of the contract are expensed as incurred.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net sales disaggregated by segment, product category and geographic region for the three and nine months ended September 30, 2026 and 2025 (in thousands):</w:t>
      </w:r>
    </w:p>
    <w:tbl>
      <w:tblPr>
        <w:tblW w:w="7589" w:type="dxa"/>
        <w:jc w:val="left"/>
        <w:tblInd w:w="0" w:type="dxa"/>
        <w:tblLayout w:type="fixed"/>
        <w:tblCellMar>
          <w:top w:w="28" w:type="dxa"/>
          <w:left w:w="28" w:type="dxa"/>
          <w:bottom w:w="28" w:type="dxa"/>
          <w:right w:w="28" w:type="dxa"/>
        </w:tblCellMar>
      </w:tblPr>
      <w:tblGrid>
        <w:gridCol w:w="716"/>
        <w:gridCol w:w="631"/>
        <w:gridCol w:w="6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segment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leases for corporate offices, distribution facilities, a manufacturing plant, and certain vehicles.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for the three and nine months ended September 30, 2026 and 2025 were as follows (in thousands):</w:t>
      </w:r>
    </w:p>
    <w:tbl>
      <w:tblPr>
        <w:tblW w:w="7364" w:type="dxa"/>
        <w:jc w:val="left"/>
        <w:tblInd w:w="0" w:type="dxa"/>
        <w:tblLayout w:type="fixed"/>
        <w:tblCellMar>
          <w:top w:w="28" w:type="dxa"/>
          <w:left w:w="28" w:type="dxa"/>
          <w:bottom w:w="28" w:type="dxa"/>
          <w:right w:w="28" w:type="dxa"/>
        </w:tblCellMar>
      </w:tblPr>
      <w:tblGrid>
        <w:gridCol w:w="863"/>
        <w:gridCol w:w="758"/>
        <w:gridCol w:w="763"/>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Operating lease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Expenses are recorded within distribution expenses and selling, general and administrative expenses on the unaudited condensed consolidated statement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for lease related liabilities and assets for the nine months ended September 30, 2026 and 2025 were as follows (in thousands):</w:t>
      </w:r>
    </w:p>
    <w:tbl>
      <w:tblPr>
        <w:tblW w:w="8671" w:type="dxa"/>
        <w:jc w:val="left"/>
        <w:tblInd w:w="0" w:type="dxa"/>
        <w:tblLayout w:type="fixed"/>
        <w:tblCellMar>
          <w:top w:w="28" w:type="dxa"/>
          <w:left w:w="28" w:type="dxa"/>
          <w:bottom w:w="28" w:type="dxa"/>
          <w:right w:w="28" w:type="dxa"/>
        </w:tblCellMar>
      </w:tblPr>
      <w:tblGrid>
        <w:gridCol w:w="2197"/>
        <w:gridCol w:w="1933"/>
        <w:gridCol w:w="1944"/>
        <w:gridCol w:w="216"/>
        <w:gridCol w:w="740"/>
        <w:gridCol w:w="111"/>
        <w:gridCol w:w="111"/>
        <w:gridCol w:w="111"/>
        <w:gridCol w:w="111"/>
        <w:gridCol w:w="111"/>
        <w:gridCol w:w="211"/>
        <w:gridCol w:w="721"/>
        <w:gridCol w:w="154"/>
      </w:tblGrid>
      <w:tr>
        <w:tc>
          <w:tcPr>
            <w:tcW w:w="219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86" w:type="dxa"/>
            <w:gridSpan w:val="3"/>
            <w:tcBorders/>
          </w:tcPr>
          <w:p>
            <w:pPr>
              <w:pStyle w:val="TableContents"/>
              <w:bidi w:val="0"/>
              <w:spacing w:before="0" w:after="283"/>
              <w:jc w:val="left"/>
              <w:rPr>
                <w:sz w:val="4"/>
                <w:szCs w:val="4"/>
              </w:rPr>
            </w:pPr>
            <w:r>
              <w:rPr>
                <w:sz w:val="4"/>
                <w:szCs w:val="4"/>
              </w:rPr>
            </w:r>
          </w:p>
        </w:tc>
      </w:tr>
      <w:t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r>
      <w:t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color w:val="000000"/>
                <w:sz w:val="20"/>
              </w:rPr>
              <w:t>Cash paid for amounts included in the measurement of</w:t>
            </w:r>
            <w:r>
              <w:rPr>
                <w:color w:val="000000"/>
              </w:rPr>
              <w:t xml:space="preserve"> </w:t>
            </w:r>
            <w:r>
              <w:rPr>
                <w:rFonts w:ascii="Times New Roman;serif" w:hAnsi="Times New Roman;serif"/>
                <w:b/>
                <w:color w:val="000000"/>
                <w:sz w:val="20"/>
              </w:rPr>
              <w:t>lease liabilities: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7652" w:type="dxa"/>
        <w:jc w:val="left"/>
        <w:tblInd w:w="0" w:type="dxa"/>
        <w:tblLayout w:type="fixed"/>
        <w:tblCellMar>
          <w:top w:w="28" w:type="dxa"/>
          <w:left w:w="28" w:type="dxa"/>
          <w:bottom w:w="28" w:type="dxa"/>
          <w:right w:w="28" w:type="dxa"/>
        </w:tblCellMar>
      </w:tblPr>
      <w:tblGrid>
        <w:gridCol w:w="1923"/>
        <w:gridCol w:w="1691"/>
        <w:gridCol w:w="1696"/>
        <w:gridCol w:w="216"/>
        <w:gridCol w:w="740"/>
        <w:gridCol w:w="111"/>
        <w:gridCol w:w="111"/>
        <w:gridCol w:w="111"/>
        <w:gridCol w:w="111"/>
        <w:gridCol w:w="111"/>
        <w:gridCol w:w="211"/>
        <w:gridCol w:w="466"/>
        <w:gridCol w:w="154"/>
      </w:tblGrid>
      <w:tr>
        <w:tc>
          <w:tcPr>
            <w:tcW w:w="192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831" w:type="dxa"/>
            <w:gridSpan w:val="3"/>
            <w:tcBorders/>
          </w:tcPr>
          <w:p>
            <w:pPr>
              <w:pStyle w:val="TableContents"/>
              <w:bidi w:val="0"/>
              <w:spacing w:before="0" w:after="283"/>
              <w:jc w:val="left"/>
              <w:rPr>
                <w:sz w:val="4"/>
                <w:szCs w:val="4"/>
              </w:rPr>
            </w:pPr>
            <w:r>
              <w:rPr>
                <w:sz w:val="4"/>
                <w:szCs w:val="4"/>
              </w:rPr>
            </w:r>
          </w:p>
        </w:tc>
      </w:tr>
      <w:t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right-of-use assets obtained include the right-of-use asset for the Hagerstown Facility lease, which commenced on April 30, 2026. The lease included a tenant improvement allowance of $5.1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aggregate future lease payments for operating leases as of September 30, 2026 were as follows (in thousands):</w:t>
      </w:r>
    </w:p>
    <w:tbl>
      <w:tblPr>
        <w:tblW w:w="6276" w:type="dxa"/>
        <w:jc w:val="left"/>
        <w:tblInd w:w="0" w:type="dxa"/>
        <w:tblLayout w:type="fixed"/>
        <w:tblCellMar>
          <w:top w:w="28" w:type="dxa"/>
          <w:left w:w="28" w:type="dxa"/>
          <w:bottom w:w="28" w:type="dxa"/>
          <w:right w:w="28" w:type="dxa"/>
        </w:tblCellMar>
      </w:tblPr>
      <w:tblGrid>
        <w:gridCol w:w="1841"/>
        <w:gridCol w:w="1618"/>
        <w:gridCol w:w="1626"/>
        <w:gridCol w:w="211"/>
        <w:gridCol w:w="826"/>
        <w:gridCol w:w="154"/>
      </w:tblGrid>
      <w:tr>
        <w:tc>
          <w:tcPr>
            <w:tcW w:w="184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w:t>
            </w:r>
          </w:p>
        </w:tc>
      </w:tr>
      <w:t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(excluding the nine months ended September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Average lease terms and discount rates were as follows:</w:t>
      </w:r>
    </w:p>
    <w:tbl>
      <w:tblPr>
        <w:tblW w:w="5504" w:type="dxa"/>
        <w:jc w:val="left"/>
        <w:tblInd w:w="0" w:type="dxa"/>
        <w:tblLayout w:type="fixed"/>
        <w:tblCellMar>
          <w:top w:w="28" w:type="dxa"/>
          <w:left w:w="28" w:type="dxa"/>
          <w:bottom w:w="28" w:type="dxa"/>
          <w:right w:w="28" w:type="dxa"/>
        </w:tblCellMar>
      </w:tblPr>
      <w:tblGrid>
        <w:gridCol w:w="1416"/>
        <w:gridCol w:w="1243"/>
        <w:gridCol w:w="1255"/>
        <w:gridCol w:w="323"/>
        <w:gridCol w:w="323"/>
        <w:gridCol w:w="944"/>
      </w:tblGrid>
      <w:t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September 30, 2026 and December 31, 2025 (in thousands):</w:t>
      </w:r>
    </w:p>
    <w:tbl>
      <w:tblPr>
        <w:tblW w:w="10205" w:type="dxa"/>
        <w:jc w:val="left"/>
        <w:tblInd w:w="0" w:type="dxa"/>
        <w:tblLayout w:type="fixed"/>
        <w:tblCellMar>
          <w:top w:w="28" w:type="dxa"/>
          <w:left w:w="28" w:type="dxa"/>
          <w:bottom w:w="28" w:type="dxa"/>
          <w:right w:w="28" w:type="dxa"/>
        </w:tblCellMar>
      </w:tblPr>
      <w:tblGrid>
        <w:gridCol w:w="637"/>
        <w:gridCol w:w="541"/>
        <w:gridCol w:w="546"/>
        <w:gridCol w:w="196"/>
        <w:gridCol w:w="736"/>
        <w:gridCol w:w="109"/>
        <w:gridCol w:w="109"/>
        <w:gridCol w:w="109"/>
        <w:gridCol w:w="109"/>
        <w:gridCol w:w="109"/>
        <w:gridCol w:w="109"/>
        <w:gridCol w:w="196"/>
        <w:gridCol w:w="794"/>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94"/>
        <w:gridCol w:w="109"/>
        <w:gridCol w:w="109"/>
        <w:gridCol w:w="109"/>
        <w:gridCol w:w="109"/>
        <w:gridCol w:w="196"/>
        <w:gridCol w:w="736"/>
        <w:gridCol w:w="157"/>
      </w:tblGrid>
      <w:tr>
        <w:tc>
          <w:tcPr>
            <w:tcW w:w="6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2842" w:type="dxa"/>
            <w:gridSpan w:val="12"/>
            <w:tcBorders/>
          </w:tcPr>
          <w:p>
            <w:pPr>
              <w:pStyle w:val="TableContents"/>
              <w:bidi w:val="0"/>
              <w:spacing w:before="0" w:after="283"/>
              <w:jc w:val="left"/>
              <w:rPr>
                <w:sz w:val="4"/>
                <w:szCs w:val="4"/>
              </w:rPr>
            </w:pPr>
            <w:r>
              <w:rPr>
                <w:sz w:val="4"/>
                <w:szCs w:val="4"/>
              </w:rPr>
            </w:r>
          </w:p>
        </w:tc>
      </w:tr>
      <w:t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8"/>
              </w:rPr>
              <w:t>Goodwill</w:t>
            </w:r>
            <w:r>
              <w:rPr>
                <w:rFonts w:ascii="Times New Roman;serif" w:hAnsi="Times New Roman;serif"/>
                <w:b/>
                <w:color w:val="000000"/>
                <w:sz w:val="12"/>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Finite-lived intangible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132,922 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The net value at September 30, 2026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6"/>
        </w:rPr>
        <w:t>December 31, 2025 reflect a reduction of $113.0 million impairment charges within U.S. segment and $11.9 million impairment charges within International segment.</w:t>
      </w:r>
    </w:p>
    <w:p>
      <w:pPr>
        <w:pStyle w:val="TextBody"/>
        <w:bidi w:val="0"/>
        <w:spacing w:before="240" w:after="283"/>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Goodwill impairment test</w:t>
      </w:r>
    </w:p>
    <w:p>
      <w:pPr>
        <w:pStyle w:val="TextBody"/>
        <w:bidi w:val="0"/>
        <w:spacing w:lineRule="auto" w:line="288" w:before="120" w:after="283"/>
        <w:jc w:val="left"/>
      </w:pPr>
      <w:r>
        <w:rPr>
          <w:rFonts w:ascii="Times New Roman;serif" w:hAnsi="Times New Roman;serif"/>
          <w:b w:val="false"/>
          <w:color w:val="000000"/>
          <w:sz w:val="20"/>
          <w:shd w:fill="FFFFFF" w:val="clear"/>
        </w:rPr>
        <w:t>In the second quarter of 2025, the Company observed a sustained decline in the market valuation of the Company</w:t>
      </w:r>
      <w:r>
        <w:rPr>
          <w:color w:val="000000"/>
        </w:rPr>
        <w:t>’</w:t>
      </w:r>
      <w:r>
        <w:rPr>
          <w:rFonts w:ascii="Times New Roman;serif" w:hAnsi="Times New Roman;serif"/>
          <w:b w:val="false"/>
          <w:color w:val="000000"/>
          <w:sz w:val="20"/>
          <w:shd w:fill="FFFFFF" w:val="clear"/>
        </w:rPr>
        <w:t>s common stock. Additionally, the Company</w:t>
      </w:r>
      <w:r>
        <w:rPr>
          <w:color w:val="000000"/>
        </w:rPr>
        <w:t>’</w:t>
      </w:r>
      <w:r>
        <w:rPr>
          <w:rFonts w:ascii="Times New Roman;serif" w:hAnsi="Times New Roman;serif"/>
          <w:b w:val="false"/>
          <w:color w:val="000000"/>
          <w:sz w:val="20"/>
          <w:shd w:fill="FFFFFF" w:val="clear"/>
        </w:rPr>
        <w:t xml:space="preserve">s near term forecasts for the U.S. reporting unit were revised downward due to changes in retailer and consumer buying patterns, which were impacted by the recent changes in the U.S. tariff policies. Based on these factors the Company concluded that impairment indicators for the U.S. reporting unit were present as of June 30, 2025. </w:t>
      </w:r>
    </w:p>
    <w:p>
      <w:pPr>
        <w:pStyle w:val="TextBody"/>
        <w:bidi w:val="0"/>
        <w:spacing w:lineRule="auto" w:line="288" w:before="240" w:after="283"/>
        <w:jc w:val="left"/>
      </w:pPr>
      <w:r>
        <w:rPr>
          <w:rFonts w:ascii="Times New Roman;serif" w:hAnsi="Times New Roman;serif"/>
          <w:b w:val="false"/>
          <w:color w:val="000000"/>
          <w:sz w:val="20"/>
          <w:shd w:fill="FFFFFF" w:val="clear"/>
        </w:rPr>
        <w:t>The Company performed an interim impairment test of the goodwill in the U.S. reporting unit as of June 30, 2025 by comparing its fair value with its carrying value. The analysis was performed by using a discounted cash flow and market multiple method. Accordingly, this fair value measurement is classified as Level 3 since it is based primarily on unobservable inputs. Based upon the analysis per</w:t>
      </w:r>
      <w:r>
        <w:rPr>
          <w:rFonts w:ascii="Times New Roman;serif" w:hAnsi="Times New Roman;serif"/>
          <w:b w:val="false"/>
          <w:color w:val="000000"/>
          <w:sz w:val="20"/>
        </w:rPr>
        <w:t>formed, the Company’s U.S. reporting unit goodwill was fully impaired and a $33.2 million non-cash goodwill impairment charge was recognized. The goodwill impairment charge was the result of the decline in the Company’s near term forecasts that were revised downward due to the changes in retailer and consumer buying patterns and an increase to the company-specific risk premium, which is an input to the cost of capital assumption, to address the potential risks in the long-term forecast.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 DEBT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ABL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17, 2026, the Company entered into Amendment No. 3 (the “Amendment”) to the Company’s Credit Agreement, dated as of March 2, 2018 (as amended, the “ABL Agreement”) among the Company, as borrower, the other borrowers and loan parties from time to time party thereto, the lenders from time to time party thereto, and JPMorgan Chase Bank, N.A., as Administrative Agent for the Non-EEA Agented Borrowers and J.P. Morgan SE, as Administrative Agent for the EEA Agented Borrower. The ABL Agreement provides for an asset-based revolving credit facility in the maximum aggregate principal amount of $200.0 million, consisting of $160.0 million of U.S. tranche commitments, $35.0 million of U.K. tranche commitments and $5.0 million of Dutch tranche commitments, and a maturity date of August 17, 2031.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ABL Agreement is subject to an earlier springing maturity date of May 18, 2031, 91 days prior to the Term Loan maturity date of August 17, 2031, if the Company’s Term Loan has not been repaid or refinanced, with a minimum maturity, by such date. The maximum borrowing amount under the ABL Agreement may be increased to up to $300.0 million if certain conditions are met.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17, 2026, the Company entered into a Credit Agreement (the “Term Loan Agreement” and together with the ABL Agreement, the “Debt Agreements”) with other borrowers and loan parties from time to time party thereto, the lenders from time to time party thereto and PLC Agent LLC, as Administrative Agent, providing for a term loan (the “Term Loan”), in an aggregate principal amount of $60.0 million. The Term Loan matures on August 17, 2031. Under the Term Loan Agreement, the Company has the right to obtain additional commitments to increase the total Term Loan if certain conditions are met. The total commitment under the Term Loan, if and as so increased, may not exceed $100.0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Agreement requires the Company to make quarterly payments of principal, each equal to 1.25% of the aggregate principal amount of the Term Loan, commencing on October 1, 2027, with the remaining balance payable on the maturity 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proceeds of the Term Loan were used to repay indebtedness outstanding under the Company's previous term loan agreement, dated as of March 2, 2018 (as amended), to pay transaction costs, and for general corporate purposes. </w:t>
      </w:r>
    </w:p>
    <w:p>
      <w:pPr>
        <w:pStyle w:val="TextBody"/>
        <w:bidi w:val="0"/>
        <w:spacing w:before="240" w:after="283"/>
        <w:jc w:val="left"/>
      </w:pPr>
      <w:r/>
    </w:p>
    <w:p>
      <w:pPr>
        <w:pStyle w:val="TextBody"/>
        <w:bidi w:val="0"/>
        <w:spacing w:before="240" w:after="283"/>
        <w:jc w:val="left"/>
      </w:pPr>
      <w:r/>
    </w:p>
    <w:p>
      <w:pPr>
        <w:pStyle w:val="TextBody"/>
        <w:bidi w:val="0"/>
        <w:spacing w:before="240" w:after="283"/>
        <w:jc w:val="left"/>
      </w:pPr>
      <w:r/>
    </w:p>
    <w:p>
      <w:pPr>
        <w:pStyle w:val="TextBody"/>
        <w:bidi w:val="0"/>
        <w:spacing w:before="240" w:after="283"/>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Borrowing Availability and Term Loan Summary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the total availability under the ABL Agreement was as follows (in thousands):</w:t>
      </w:r>
    </w:p>
    <w:tbl>
      <w:tblPr>
        <w:tblW w:w="7644"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302"/>
        <w:gridCol w:w="1135"/>
        <w:gridCol w:w="168"/>
        <w:gridCol w:w="109"/>
        <w:gridCol w:w="109"/>
        <w:gridCol w:w="109"/>
        <w:gridCol w:w="287"/>
        <w:gridCol w:w="1077"/>
        <w:gridCol w:w="226"/>
      </w:tblGrid>
      <w:t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185,588 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(89,858)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96,378 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119,919 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depends, in part, on eligible levels of accounts receivable and inventory that fluctuate regularly as well as any required reserves for the Term Loan. Due to the seasonality of the Company’s business, the Company may have greater borrowing availability during the third and fourth quarters of each year. Consequently, the $200.0 million commitment under the ABL Agreement may not represent actual borrowing capacity.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current and non-current portions of the Company’s Term Loan, or, for December 31, 2025, its prior term loan included in the condensed consolidated balance sheets were as follows (in thousands):</w:t>
      </w:r>
    </w:p>
    <w:tbl>
      <w:tblPr>
        <w:tblW w:w="7321"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330"/>
        <w:gridCol w:w="1090"/>
        <w:gridCol w:w="184"/>
        <w:gridCol w:w="109"/>
        <w:gridCol w:w="109"/>
        <w:gridCol w:w="109"/>
        <w:gridCol w:w="291"/>
        <w:gridCol w:w="1093"/>
        <w:gridCol w:w="161"/>
        <w:gridCol w:w="109"/>
        <w:gridCol w:w="154"/>
      </w:tblGrid>
      <w:t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58,351 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125,927 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its debt refinancing activities, the Company incurred $1.7 million of debt issuance costs for the Term Loan, which are presented as a direct reduction of the debt carrying value and amortized using the effective interest method. Concurrently, the Company incurred $3.0 million in fees related to the ABL Agreement, which were capitalized as deferred charges and are being amortized straight-line over the facility's term. Additionally, the Company recognized a $2.5 million loss on extinguishment of debt associated with the write-off of unamortized debt issuance costs from the previous term loan that was repaid.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based upon the currency and type of borrowing at one of the followings rates, as applicable: (i) an Alternate Base Rate (as defined in the ABL Agreement), plus a margin ranging from 0.5% to 1.0% (ii) the Adjusted Term SOFR Rate or Adjusted EURIBO Rate (each as defined in the ABL Agreement), as applicable, plus a margin of 1.50% to 2.00% or (iii) the applicable Adjusted Daily Simple RFR or Overnight Swingline Rate (each as defined in the ABL Agreement), plus a margin ranging from 1.50% to 2.00%. The respective margins are based upon average quarterly availability, as defined in and computed pursuant to the ABL Agreement. Pursuant to the Amendment, from the effective date of the Amendment through the last day of the Company’s fiscal quarter ending on or about September 30, 2026, the applicable margins are fixed at 0.75% for alternate base rate loans and 1.75% for term benchmark, RFR and overnight swingline rate loans. In addition, the Company pays a commitment fee of 0.25% per annum based on the average daily unused portion of the aggregate commitment under the ABL Agreement. The interest rate on outstanding borrowings under the ABL Agreement at September 30, 2026 was between 5.48% and 7.75%.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bears interest at Term SOFR, plus a margin of 6.75% to 7.25%. Under limited circumstances, borrowings bear interest at a base rate, plus an applicable margin ranging from 7.75% to 8.25%. The respective margins are based upon the Company's average quarterly availability under the ABL Agreement as a percentage of the ABL commitment. The interest rate on outstanding borrowings under the Term Loan at September 30, 2026 was 10.76%.</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Covenants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payment obligations under its Debt Agreements are guaranteed by its U.S. subsidiaries and, in the case of the ABL Agreement only, certain foreign secured obligations are guaranteed by certain of its foreign subsidiaries. The Secured Obligations under the Debt Agreements are secured by security interests in substantially all assets of the Company and its U.S. subsidiaries and, in the case of the ABL Agreement only, the foreign secured obligations thereunder are secured by security interests in substantially all assets of certain of its foreign subsidiaries. The relative priority of the security interests is governed by an ABL/Term Loan Intercreditor Agreement between the administrative agents for the ABL Agreement and Term Loan. In addition, the Debt Agreements provide for customary restrictions and events of default. Restrictions include limitations on additional indebtedness, liens, acquisitions, investments and payment of dividends.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the Term Loan Agreement, the Company is required to maintain a minimum Adjusted EBITDA, less a specified adjustment, of $30.0 million, measured as of the end of each month for the trailing twelve-month period. Further, the Debt Agreements provide that during any period (a) commencing on the last day of the most recently ended four consecutive fiscal quarters on or prior to the date availability under the ABL Agreement is less than the greater of $12.5 million and 10% of the Line Cap (calculated without giving effect to the Term Loan Push-Down Reserve, if any) at any time and (b) ending on the day after such availability has exceeded the greater of $12.5 million and 10% of Line Cap (calculated without giving effect to the Term Loan Push-Down Reserve, if any)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covenants of the Debt Agreements at September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that it will continue to borrow, subject to availability, and repay funds under the ABL Agreement based on working capital and other corporate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pPr>
      <w:r>
        <w:rPr>
          <w:rFonts w:ascii="Times New Roman;serif" w:hAnsi="Times New Roman;serif"/>
          <w:b/>
          <w:color w:val="000000"/>
          <w:sz w:val="20"/>
        </w:rPr>
        <w:t>NOTE 6</w:t>
      </w:r>
      <w:r>
        <w:rPr>
          <w:color w:val="000000"/>
        </w:rPr>
        <w:t xml:space="preserve"> — </w:t>
      </w:r>
      <w:r>
        <w:rPr>
          <w:rFonts w:ascii="Times New Roman;serif" w:hAnsi="Times New Roman;serif"/>
          <w:b/>
          <w:color w:val="000000"/>
          <w:sz w:val="20"/>
        </w:rPr>
        <w:t xml:space="preserve">DERIVATIVES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risk management strategy includes the use of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anticipate non-performance by any of its counterparties.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and October 2024, the Company entered into interest rate swap agreements, each with an aggregate notional value of $25.0 million, which were terminated in the third quarter of 2026. In September 2026, the Company entered into an interest rate swap agreement, with an aggregate notional value of $15.0 million and expiring in August 2031. These non-designated interest rate swaps serve as cash flow hedges of the Company’s exposure to the variability of the payment of interest on a portion of its Term Loan borrowings. The Company’s total outstanding notional value of interest rate swaps was $15.0 million at September 30, 2026.</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Foreign Exchange Contracts </w:t>
      </w:r>
    </w:p>
    <w:p>
      <w:pPr>
        <w:pStyle w:val="TextBody"/>
        <w:bidi w:val="0"/>
        <w:spacing w:lineRule="auto" w:line="288" w:before="120" w:after="283"/>
        <w:jc w:val="left"/>
      </w:pPr>
      <w:r>
        <w:rPr>
          <w:rFonts w:ascii="Times New Roman;serif" w:hAnsi="Times New Roman;serif"/>
          <w:b w:val="false"/>
          <w:color w:val="000000"/>
          <w:sz w:val="20"/>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w:t>
      </w:r>
      <w:r>
        <w:rPr>
          <w:color w:val="000000"/>
        </w:rPr>
        <w:t xml:space="preserve"> </w:t>
      </w:r>
      <w:r>
        <w:rPr>
          <w:rFonts w:ascii="Times New Roman;serif" w:hAnsi="Times New Roman;serif"/>
          <w:b w:val="false"/>
          <w:color w:val="000000"/>
          <w:sz w:val="20"/>
        </w:rPr>
        <w:t>The Company designates these contracts for accounting purposes as cash flow hedges. The Company purchases foreign currency forward contracts with terms of less than 18 months. The aggregate gross notional value of foreign exchange contracts at September 30, 2026 was zero.</w:t>
      </w:r>
    </w:p>
    <w:p>
      <w:pPr>
        <w:pStyle w:val="TextBody"/>
        <w:bidi w:val="0"/>
        <w:spacing w:before="120" w:after="283"/>
        <w:jc w:val="left"/>
      </w:pPr>
      <w:r/>
    </w:p>
    <w:tbl>
      <w:tblPr>
        <w:tblW w:w="9396" w:type="dxa"/>
        <w:jc w:val="left"/>
        <w:tblInd w:w="0" w:type="dxa"/>
        <w:tblLayout w:type="fixed"/>
        <w:tblCellMar>
          <w:top w:w="28" w:type="dxa"/>
          <w:left w:w="28" w:type="dxa"/>
          <w:bottom w:w="28" w:type="dxa"/>
          <w:right w:w="28" w:type="dxa"/>
        </w:tblCellMar>
      </w:tblPr>
      <w:tblGrid>
        <w:gridCol w:w="1352"/>
        <w:gridCol w:w="1189"/>
        <w:gridCol w:w="1193"/>
        <w:gridCol w:w="639"/>
        <w:gridCol w:w="639"/>
        <w:gridCol w:w="641"/>
        <w:gridCol w:w="109"/>
        <w:gridCol w:w="109"/>
        <w:gridCol w:w="109"/>
        <w:gridCol w:w="475"/>
        <w:gridCol w:w="804"/>
        <w:gridCol w:w="266"/>
        <w:gridCol w:w="109"/>
        <w:gridCol w:w="109"/>
        <w:gridCol w:w="109"/>
        <w:gridCol w:w="399"/>
        <w:gridCol w:w="828"/>
        <w:gridCol w:w="317"/>
      </w:tblGrid>
      <w:t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734"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3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amounts of gains and losses, realized and unrealized, related to the Company’s derivative financial instruments designated as hedging instruments are recognized in other comprehensive income, net of taxes, as follows (in thousands):</w:t>
      </w:r>
    </w:p>
    <w:tbl>
      <w:tblPr>
        <w:tblW w:w="7589" w:type="dxa"/>
        <w:jc w:val="left"/>
        <w:tblInd w:w="0" w:type="dxa"/>
        <w:tblLayout w:type="fixed"/>
        <w:tblCellMar>
          <w:top w:w="28" w:type="dxa"/>
          <w:left w:w="28" w:type="dxa"/>
          <w:bottom w:w="28" w:type="dxa"/>
          <w:right w:w="28" w:type="dxa"/>
        </w:tblCellMar>
      </w:tblPr>
      <w:tblGrid>
        <w:gridCol w:w="1338"/>
        <w:gridCol w:w="1172"/>
        <w:gridCol w:w="1179"/>
        <w:gridCol w:w="196"/>
        <w:gridCol w:w="406"/>
        <w:gridCol w:w="109"/>
        <w:gridCol w:w="109"/>
        <w:gridCol w:w="109"/>
        <w:gridCol w:w="109"/>
        <w:gridCol w:w="196"/>
        <w:gridCol w:w="421"/>
        <w:gridCol w:w="109"/>
        <w:gridCol w:w="109"/>
        <w:gridCol w:w="109"/>
        <w:gridCol w:w="109"/>
        <w:gridCol w:w="196"/>
        <w:gridCol w:w="331"/>
        <w:gridCol w:w="109"/>
        <w:gridCol w:w="109"/>
        <w:gridCol w:w="109"/>
        <w:gridCol w:w="109"/>
        <w:gridCol w:w="196"/>
        <w:gridCol w:w="496"/>
        <w:gridCol w:w="154"/>
      </w:tblGrid>
      <w:tr>
        <w:tc>
          <w:tcPr>
            <w:tcW w:w="13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368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368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Realized gains and losses on foreign exchange contracts that are reported in other comprehensive income are reclassified into cost of sales as the underlying inventory purchased is sold.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the Company reclassified less than $0.1 million of cash flow hedges in accumulated other comprehensive losses to earnings, related to foreign exchange contracts recognized in cost of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reclassified less than $0.1 million and $0.1 million, respectively, of cash flow hedges in accumulated other comprehensive losses to earnings, related to foreign exchange contracts recognized in cost of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 to market (loss) gain related to the Company’s derivative financial instruments not designated as hedging instruments that were recognized in earnings are as follows (in thousands):</w:t>
      </w:r>
    </w:p>
    <w:tbl>
      <w:tblPr>
        <w:tblW w:w="10205" w:type="dxa"/>
        <w:jc w:val="left"/>
        <w:tblInd w:w="0" w:type="dxa"/>
        <w:tblLayout w:type="fixed"/>
        <w:tblCellMar>
          <w:top w:w="28" w:type="dxa"/>
          <w:left w:w="28" w:type="dxa"/>
          <w:bottom w:w="28" w:type="dxa"/>
          <w:right w:w="28" w:type="dxa"/>
        </w:tblCellMar>
      </w:tblPr>
      <w:tblGrid>
        <w:gridCol w:w="1047"/>
        <w:gridCol w:w="918"/>
        <w:gridCol w:w="924"/>
        <w:gridCol w:w="1026"/>
        <w:gridCol w:w="1026"/>
        <w:gridCol w:w="1030"/>
        <w:gridCol w:w="109"/>
        <w:gridCol w:w="109"/>
        <w:gridCol w:w="109"/>
        <w:gridCol w:w="201"/>
        <w:gridCol w:w="395"/>
        <w:gridCol w:w="112"/>
        <w:gridCol w:w="112"/>
        <w:gridCol w:w="112"/>
        <w:gridCol w:w="112"/>
        <w:gridCol w:w="201"/>
        <w:gridCol w:w="341"/>
        <w:gridCol w:w="112"/>
        <w:gridCol w:w="109"/>
        <w:gridCol w:w="109"/>
        <w:gridCol w:w="109"/>
        <w:gridCol w:w="196"/>
        <w:gridCol w:w="421"/>
        <w:gridCol w:w="109"/>
        <w:gridCol w:w="109"/>
        <w:gridCol w:w="109"/>
        <w:gridCol w:w="109"/>
        <w:gridCol w:w="196"/>
        <w:gridCol w:w="473"/>
        <w:gridCol w:w="160"/>
      </w:tblGrid>
      <w:tr>
        <w:tc>
          <w:tcPr>
            <w:tcW w:w="104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3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28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0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(loss) gain on 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889" w:type="dxa"/>
            <w:gridSpan w:val="3"/>
            <w:tcBorders/>
            <w:vAlign w:val="center"/>
          </w:tcPr>
          <w:p>
            <w:pPr>
              <w:pStyle w:val="TableContents"/>
              <w:bidi w:val="0"/>
              <w:spacing w:before="0" w:after="283"/>
              <w:jc w:val="left"/>
              <w:rPr>
                <w:sz w:val="4"/>
                <w:szCs w:val="4"/>
              </w:rPr>
            </w:pPr>
            <w:r>
              <w:rPr>
                <w:sz w:val="4"/>
                <w:szCs w:val="4"/>
              </w:rPr>
            </w:r>
          </w:p>
        </w:tc>
        <w:tc>
          <w:tcPr>
            <w:tcW w:w="3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pPr>
      <w:r>
        <w:rPr>
          <w:rFonts w:ascii="Times New Roman;serif" w:hAnsi="Times New Roman;serif"/>
          <w:b/>
          <w:color w:val="000000"/>
          <w:sz w:val="20"/>
        </w:rPr>
        <w:t>NOTE 7</w:t>
      </w:r>
      <w:r>
        <w:rPr>
          <w:color w:val="000000"/>
        </w:rPr>
        <w:t xml:space="preserve"> — </w:t>
      </w:r>
      <w:r>
        <w:rPr>
          <w:rFonts w:ascii="Times New Roman;serif" w:hAnsi="Times New Roman;serif"/>
          <w:b/>
          <w:color w:val="000000"/>
          <w:sz w:val="20"/>
        </w:rPr>
        <w:t>STOCK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June 18, 2026, the stockholders of the Company approved an amendment and restatement of the Company's Amended and Restated 2000 Long Term Incentive Plan (the "Plan"). The amendment and restatement of the Plan revised the terms and conditions of the Plan to, among other things, increase the shares available for grant under the Plan by 1,000,000 shares. As of September 30, 2026, there were 1,481,230 shares available for the grant of awards under the Plan, assuming maximum performance of performance-based awards.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Option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and related information for the nine months ended September 30, 2026 is as follows:</w:t>
      </w:r>
    </w:p>
    <w:tbl>
      <w:tblPr>
        <w:tblW w:w="10205" w:type="dxa"/>
        <w:jc w:val="left"/>
        <w:tblInd w:w="0" w:type="dxa"/>
        <w:tblLayout w:type="fixed"/>
        <w:tblCellMar>
          <w:top w:w="28" w:type="dxa"/>
          <w:left w:w="28" w:type="dxa"/>
          <w:bottom w:w="28" w:type="dxa"/>
          <w:right w:w="28" w:type="dxa"/>
        </w:tblCellMar>
      </w:tblPr>
      <w:tblGrid>
        <w:gridCol w:w="1835"/>
        <w:gridCol w:w="1597"/>
        <w:gridCol w:w="1600"/>
        <w:gridCol w:w="233"/>
        <w:gridCol w:w="503"/>
        <w:gridCol w:w="109"/>
        <w:gridCol w:w="109"/>
        <w:gridCol w:w="109"/>
        <w:gridCol w:w="109"/>
        <w:gridCol w:w="252"/>
        <w:gridCol w:w="717"/>
        <w:gridCol w:w="142"/>
        <w:gridCol w:w="109"/>
        <w:gridCol w:w="109"/>
        <w:gridCol w:w="109"/>
        <w:gridCol w:w="325"/>
        <w:gridCol w:w="325"/>
        <w:gridCol w:w="326"/>
        <w:gridCol w:w="109"/>
        <w:gridCol w:w="109"/>
        <w:gridCol w:w="109"/>
        <w:gridCol w:w="319"/>
        <w:gridCol w:w="686"/>
        <w:gridCol w:w="255"/>
      </w:tblGrid>
      <w:tr>
        <w:tc>
          <w:tcPr>
            <w:tcW w:w="1835"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c>
          <w:tcPr>
            <w:tcW w:w="5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 xml:space="preserve">value </w:t>
              <w:br/>
              <w:t>(in thousands)</w:t>
            </w:r>
          </w:p>
        </w:tc>
      </w:tr>
      <w:t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Options outstanding, January 1, 2026</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2"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2"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Expirations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8"/>
              </w:rPr>
              <w:t>Options outstanding, September 30, 2026</w:t>
            </w:r>
            <w:r>
              <w:rPr>
                <w:rFonts w:ascii="Times New Roman;serif" w:hAnsi="Times New Roman;serif"/>
                <w:b/>
                <w:color w:val="000000"/>
                <w:sz w:val="12"/>
              </w:rPr>
              <w:t>(1)</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769,125 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Options exercisable, September 30, 2026</w:t>
            </w:r>
          </w:p>
        </w:tc>
        <w:tc>
          <w:tcPr>
            <w:tcW w:w="7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687,000 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stock option expense remaining (in thousands)</w:t>
            </w:r>
          </w:p>
        </w:tc>
        <w:tc>
          <w:tcPr>
            <w:tcW w:w="2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Includes a non-plan stock option award of 15,000 stock options granted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table above represents the total pre-tax intrinsic value that would have been received by the option holders had all option holders exercised their exercisable, in-the-money stock options on September 30, 2026. The intrinsic value is calculated for each in-the-money stock option as the difference between the closing price of the Company’s common stock on September 30, 2026 and the exercise price.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restricted stock activity and related information for the nine months ended September 30, 2026 is as follows:</w:t>
      </w:r>
    </w:p>
    <w:tbl>
      <w:tblPr>
        <w:tblW w:w="7790" w:type="dxa"/>
        <w:jc w:val="left"/>
        <w:tblInd w:w="0" w:type="dxa"/>
        <w:tblLayout w:type="fixed"/>
        <w:tblCellMar>
          <w:top w:w="28" w:type="dxa"/>
          <w:left w:w="28" w:type="dxa"/>
          <w:bottom w:w="28" w:type="dxa"/>
          <w:right w:w="28" w:type="dxa"/>
        </w:tblCellMar>
      </w:tblPr>
      <w:tblGrid>
        <w:gridCol w:w="1934"/>
        <w:gridCol w:w="1697"/>
        <w:gridCol w:w="1708"/>
        <w:gridCol w:w="210"/>
        <w:gridCol w:w="600"/>
        <w:gridCol w:w="113"/>
        <w:gridCol w:w="109"/>
        <w:gridCol w:w="109"/>
        <w:gridCol w:w="109"/>
        <w:gridCol w:w="288"/>
        <w:gridCol w:w="685"/>
        <w:gridCol w:w="228"/>
      </w:tblGrid>
      <w:tr>
        <w:tc>
          <w:tcPr>
            <w:tcW w:w="193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grant</w:t>
              <w:br/>
              <w:t>date fair</w:t>
              <w:br/>
              <w:t>value</w:t>
            </w:r>
          </w:p>
        </w:tc>
      </w:tr>
      <w:t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restricted shares, January 1, 2026</w:t>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885,925 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(486,977)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Forfeitures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restricted shares, September 30, 2026</w:t>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738,756 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compensation expense remaining (in thousands)</w:t>
            </w:r>
          </w:p>
        </w:tc>
        <w:tc>
          <w:tcPr>
            <w:tcW w:w="21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that vested during the nine months ended September 30, 2026 was $2.9 million.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performance award represents the right to receive up to 150% of the target number of shares of common stock. The number of shares of common stock earned will be determined at the end of the performance period, based on the attainment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specified performance goals at the time of grant, as determined by the Compensation Committee of the Company’s board of directors (the “Board of Directors”). The shares are subject to the terms and conditions of the Company’s Plan.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performance-based award activity and related information for the nine months ended September 30, 2026 is as follows:</w:t>
      </w:r>
    </w:p>
    <w:tbl>
      <w:tblPr>
        <w:tblW w:w="8007" w:type="dxa"/>
        <w:jc w:val="left"/>
        <w:tblInd w:w="0" w:type="dxa"/>
        <w:tblLayout w:type="fixed"/>
        <w:tblCellMar>
          <w:top w:w="28" w:type="dxa"/>
          <w:left w:w="28" w:type="dxa"/>
          <w:bottom w:w="28" w:type="dxa"/>
          <w:right w:w="28" w:type="dxa"/>
        </w:tblCellMar>
      </w:tblPr>
      <w:tblGrid>
        <w:gridCol w:w="1935"/>
        <w:gridCol w:w="1699"/>
        <w:gridCol w:w="1706"/>
        <w:gridCol w:w="259"/>
        <w:gridCol w:w="736"/>
        <w:gridCol w:w="144"/>
        <w:gridCol w:w="109"/>
        <w:gridCol w:w="109"/>
        <w:gridCol w:w="109"/>
        <w:gridCol w:w="288"/>
        <w:gridCol w:w="685"/>
        <w:gridCol w:w="228"/>
      </w:tblGrid>
      <w:tr>
        <w:tc>
          <w:tcPr>
            <w:tcW w:w="193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Performance-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based stock</w:t>
            </w:r>
          </w:p>
          <w:p>
            <w:pPr>
              <w:pStyle w:val="TableContents"/>
              <w:bidi w:val="0"/>
              <w:spacing w:lineRule="auto" w:line="240" w:before="0" w:after="0"/>
              <w:jc w:val="center"/>
            </w:pPr>
            <w:r>
              <w:rPr>
                <w:rFonts w:ascii="Times New Roman;serif" w:hAnsi="Times New Roman;serif"/>
                <w:b/>
                <w:color w:val="000000"/>
                <w:sz w:val="18"/>
              </w:rPr>
              <w:t xml:space="preserve">awards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grant</w:t>
              <w:br/>
              <w:t>date fair</w:t>
              <w:br/>
              <w:t>value</w:t>
            </w:r>
          </w:p>
        </w:tc>
      </w:tr>
      <w:t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performance-based awards, January 1, 2026</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730,797 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4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c>
          <w:tcPr>
            <w:tcW w:w="534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Forfeitures</w:t>
            </w:r>
            <w:r>
              <w:rPr>
                <w:rFonts w:ascii="Times New Roman;serif" w:hAnsi="Times New Roman;serif"/>
                <w:b w:val="false"/>
                <w:color w:val="000000"/>
                <w:sz w:val="12"/>
              </w:rPr>
              <w:t>(2)</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(192,530)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performance-based awards, September 30, 2026</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797,998 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compensation expense remaining (in thousands)</w:t>
            </w:r>
          </w:p>
        </w:tc>
        <w:tc>
          <w:tcPr>
            <w:tcW w:w="2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14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pPr>
      <w:r>
        <w:rPr>
          <w:rFonts w:ascii="Times New Roman;serif" w:hAnsi="Times New Roman;serif"/>
          <w:b w:val="false"/>
          <w:color w:val="000000"/>
          <w:sz w:val="10"/>
        </w:rPr>
        <w:t>(1)</w:t>
      </w:r>
      <w:r>
        <w:rPr>
          <w:rFonts w:ascii="Times New Roman;serif" w:hAnsi="Times New Roman;serif"/>
          <w:b w:val="false"/>
          <w:color w:val="000000"/>
          <w:sz w:val="16"/>
        </w:rPr>
        <w:t>Represents the target number of shares to be issued for each performance-based award.</w:t>
      </w:r>
    </w:p>
    <w:p>
      <w:pPr>
        <w:pStyle w:val="TextBody"/>
        <w:bidi w:val="0"/>
        <w:spacing w:lineRule="auto" w:line="288" w:before="60" w:after="283"/>
        <w:ind w:left="0" w:right="0" w:hanging="360"/>
        <w:jc w:val="left"/>
      </w:pPr>
      <w:r>
        <w:rPr>
          <w:rFonts w:ascii="Times New Roman;serif" w:hAnsi="Times New Roman;serif"/>
          <w:b w:val="false"/>
          <w:color w:val="000000"/>
          <w:sz w:val="10"/>
        </w:rPr>
        <w:t>(2)</w:t>
      </w:r>
      <w:r>
        <w:rPr>
          <w:rFonts w:ascii="Times New Roman;serif" w:hAnsi="Times New Roman;serif"/>
          <w:b w:val="false"/>
          <w:color w:val="000000"/>
          <w:sz w:val="16"/>
        </w:rPr>
        <w:t>Includes the forfeiture of performance-based awards granted in 2023 as the performance metric was not attained.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stock compensation expense as follows (in thousands):</w:t>
      </w:r>
    </w:p>
    <w:tbl>
      <w:tblPr>
        <w:tblW w:w="8414" w:type="dxa"/>
        <w:jc w:val="left"/>
        <w:tblInd w:w="0" w:type="dxa"/>
        <w:tblLayout w:type="fixed"/>
        <w:tblCellMar>
          <w:top w:w="28" w:type="dxa"/>
          <w:left w:w="28" w:type="dxa"/>
          <w:bottom w:w="28" w:type="dxa"/>
          <w:right w:w="28" w:type="dxa"/>
        </w:tblCellMar>
      </w:tblPr>
      <w:tblGrid>
        <w:gridCol w:w="1526"/>
        <w:gridCol w:w="1342"/>
        <w:gridCol w:w="1346"/>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Nine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w:t>
            </w:r>
          </w:p>
        </w:tc>
      </w:tr>
      <w:t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Compensation Expense Components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based stock option expense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and performance-based stock awards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compensation expense for equity based awards</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based stock option expense</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 Compensation Expense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8 —(LOSS) INCOME PER COMMON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Basic (loss) income per common share has been computed by dividing net (loss) income by the weighted-average number of shares of the Company’s common stock outstanding during the relevant period. Diluted (loss) income per common share adjusts net (loss) income and basic (loss) income per common share for the effect of all potentially dilutive shares of the Company’s common stock. Anti-dilutive securities are not included in the computation of diluted earnings per share under the treasury stock method.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calculations of basic and diluted (loss) income per common share for the three and nine months ended September 30, 2026 and 2025 are as follows:</w:t>
      </w:r>
    </w:p>
    <w:tbl>
      <w:tblPr>
        <w:tblW w:w="8640" w:type="dxa"/>
        <w:jc w:val="left"/>
        <w:tblInd w:w="0" w:type="dxa"/>
        <w:tblLayout w:type="fixed"/>
        <w:tblCellMar>
          <w:top w:w="28" w:type="dxa"/>
          <w:left w:w="28" w:type="dxa"/>
          <w:bottom w:w="28" w:type="dxa"/>
          <w:right w:w="28" w:type="dxa"/>
        </w:tblCellMar>
      </w:tblPr>
      <w:tblGrid>
        <w:gridCol w:w="1362"/>
        <w:gridCol w:w="1198"/>
        <w:gridCol w:w="1205"/>
        <w:gridCol w:w="196"/>
        <w:gridCol w:w="631"/>
        <w:gridCol w:w="109"/>
        <w:gridCol w:w="109"/>
        <w:gridCol w:w="109"/>
        <w:gridCol w:w="109"/>
        <w:gridCol w:w="196"/>
        <w:gridCol w:w="631"/>
        <w:gridCol w:w="109"/>
        <w:gridCol w:w="109"/>
        <w:gridCol w:w="109"/>
        <w:gridCol w:w="109"/>
        <w:gridCol w:w="196"/>
        <w:gridCol w:w="646"/>
        <w:gridCol w:w="109"/>
        <w:gridCol w:w="109"/>
        <w:gridCol w:w="109"/>
        <w:gridCol w:w="109"/>
        <w:gridCol w:w="196"/>
        <w:gridCol w:w="721"/>
        <w:gridCol w:w="154"/>
      </w:tblGrid>
      <w:tr>
        <w:tc>
          <w:tcPr>
            <w:tcW w:w="136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r>
      <w:t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(loss) income –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Weighted-average shares outstanding – Basic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dilutive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color w:val="000000"/>
              </w:rPr>
              <w:t>        </w:t>
            </w:r>
            <w:r>
              <w:rPr>
                <w:rFonts w:ascii="Times New Roman;serif" w:hAnsi="Times New Roman;serif"/>
                <w:b w:val="false"/>
                <w:color w:val="000000"/>
                <w:sz w:val="18"/>
              </w:rPr>
              <w:t>Stock options and other stock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 outstanding – Diluted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Basic (loss) income per common share</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Diluted (loss) income per common share</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8"/>
              </w:rPr>
              <w:t>Antidilutive Securities</w:t>
            </w:r>
            <w:r>
              <w:rPr>
                <w:rFonts w:ascii="Times New Roman;serif" w:hAnsi="Times New Roman;serif"/>
                <w:b/>
                <w:color w:val="000000"/>
                <w:sz w:val="12"/>
              </w:rPr>
              <w:t>(1)</w:t>
            </w:r>
          </w:p>
        </w:tc>
        <w:tc>
          <w:tcPr>
            <w:tcW w:w="93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w:t>
            </w:r>
          </w:p>
        </w:tc>
      </w:tr>
      <w:tr>
        <w:tc>
          <w:tcPr>
            <w:tcW w:w="37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Stock options and other stock awards that have been excluded from the denominator as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of $0.4 million and income tax provision of $6.0 million for the three and nine months ended September 30, 2026, respectively, represent taxes on both U.S. and foreign earnings at a combined effective benefit tax rate of 9.3% and provision tax rate of 36.0%, respectively. The effective tax rate for the three months and nine months ended September 30, 2026 differs from the federal statutory income tax rate of 21.0% primarily due to foreign losses for which no tax benefit is recognized as such amounts are fully offset with a valuation allowance.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of $2.9 million and income tax benefit of $0.1 million for the three and nine months ended September 30, 2025, respectively, represent taxes on both U.S. and foreign earnings at a combined effective provision tax rate of 171.1% and benefit tax rate of 0.1%, respectively. The effective tax rate for the three months ended September 30, 2025 differs from the federal statutory income tax rate of 21.0% primarily due to the impact of non-deductible expenses, foreign losses for which no tax benefit is recognized as such amounts are fully offset with a valuation allowance and a partial valuation allowance on U.S. deferred tax assets that are not more likely than not to be realized as a result of the goodwill impairment in the second quarter. The effective tax rate for the nine months ended September 30, 2025, differs from the federal statutory income tax rate of 21.0% primarily due to a partial valuation allowance on U.S. deferred tax assets that are not more likely than not to be realized as a result of the goodwill impairment in the second quarter.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identified the following jurisdictions as “major” tax jurisdictions: U.S. Federal, California, New Jersey, New York and the United Kingdom.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its tax positions on a quarterly basis and revises its estimates accordingly. There were no material changes to the Company’s uncertain tax positions, interest, or penalties during the three-month periods ended September 30, 2026 and September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(“OBBBA”) was enacted on July 4, 2025 with various provisions impacting the Company, none of which are material to the 2026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10 – BUSINESS SEGMENTS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the Company’s Chief Executive Officer. The Company has segmented its operations to reflect the manner in which the CODM reviews and evaluates the results of its operations. The CODM allocates operating and capital resources and evaluates the performance of the Company’s segments based on segment net sales, segment gross margin, and segment (loss) income from operations. Such measures give recognition to specifically identifiable operating costs. Significant segment expenses that are included in segment operating income consist of cost of sales, distribution expenses (which include freight-out expenses and warehouse expenses) and selling, general and administrative expenses.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general and administrative expenses are not allocated to the Company’s segments as these represent corporate level activities and are reflected below as unallocated corporate expenses. These costs primarily include senior executive salaries and benefits, stock compensation, director fees and accounting, legal fees and consulting fees.</w:t>
      </w:r>
    </w:p>
    <w:tbl>
      <w:tblPr>
        <w:tblW w:w="8519" w:type="dxa"/>
        <w:jc w:val="left"/>
        <w:tblInd w:w="0" w:type="dxa"/>
        <w:tblLayout w:type="fixed"/>
        <w:tblCellMar>
          <w:top w:w="28" w:type="dxa"/>
          <w:left w:w="28" w:type="dxa"/>
          <w:bottom w:w="28" w:type="dxa"/>
          <w:right w:w="28" w:type="dxa"/>
        </w:tblCellMar>
      </w:tblPr>
      <w:tblGrid>
        <w:gridCol w:w="1054"/>
        <w:gridCol w:w="926"/>
        <w:gridCol w:w="92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Performance Measures:</w:t>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income from operations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Unallocated corporate expenses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Unallocated corporate expense for the nine months ended September 30, 2025 included a net legal settlement gain of $6.4 million. Details see NOTE 11 — CONTINGENCIES.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61"/>
        <w:gridCol w:w="1448"/>
        <w:gridCol w:w="1455"/>
        <w:gridCol w:w="211"/>
        <w:gridCol w:w="826"/>
        <w:gridCol w:w="109"/>
        <w:gridCol w:w="109"/>
        <w:gridCol w:w="109"/>
        <w:gridCol w:w="109"/>
        <w:gridCol w:w="211"/>
        <w:gridCol w:w="826"/>
        <w:gridCol w:w="109"/>
        <w:gridCol w:w="109"/>
        <w:gridCol w:w="109"/>
        <w:gridCol w:w="109"/>
        <w:gridCol w:w="226"/>
        <w:gridCol w:w="826"/>
        <w:gridCol w:w="109"/>
        <w:gridCol w:w="109"/>
        <w:gridCol w:w="109"/>
        <w:gridCol w:w="109"/>
        <w:gridCol w:w="226"/>
        <w:gridCol w:w="826"/>
        <w:gridCol w:w="155"/>
      </w:tblGrid>
      <w:tr>
        <w:tc>
          <w:tcPr>
            <w:tcW w:w="166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information for significant segment expenses:</w:t>
            </w:r>
          </w:p>
        </w:tc>
        <w:tc>
          <w:tcPr>
            <w:tcW w:w="56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281,959 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Freight-out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freight-out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warehouse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 impairment: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Restructuring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24" w:type="dxa"/>
        <w:jc w:val="left"/>
        <w:tblInd w:w="0" w:type="dxa"/>
        <w:tblLayout w:type="fixed"/>
        <w:tblCellMar>
          <w:top w:w="28" w:type="dxa"/>
          <w:left w:w="28" w:type="dxa"/>
          <w:bottom w:w="28" w:type="dxa"/>
          <w:right w:w="28" w:type="dxa"/>
        </w:tblCellMar>
      </w:tblPr>
      <w:tblGrid>
        <w:gridCol w:w="1103"/>
        <w:gridCol w:w="969"/>
        <w:gridCol w:w="97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4637" w:type="dxa"/>
        <w:jc w:val="left"/>
        <w:tblInd w:w="0" w:type="dxa"/>
        <w:tblLayout w:type="fixed"/>
        <w:tblCellMar>
          <w:top w:w="28" w:type="dxa"/>
          <w:left w:w="28" w:type="dxa"/>
          <w:bottom w:w="28" w:type="dxa"/>
          <w:right w:w="28" w:type="dxa"/>
        </w:tblCellMar>
      </w:tblPr>
      <w:tblGrid>
        <w:gridCol w:w="693"/>
        <w:gridCol w:w="611"/>
        <w:gridCol w:w="615"/>
        <w:gridCol w:w="221"/>
        <w:gridCol w:w="865"/>
        <w:gridCol w:w="114"/>
        <w:gridCol w:w="109"/>
        <w:gridCol w:w="109"/>
        <w:gridCol w:w="109"/>
        <w:gridCol w:w="211"/>
        <w:gridCol w:w="826"/>
        <w:gridCol w:w="154"/>
      </w:tblGrid>
      <w:t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629,851 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pPr>
      <w:r>
        <w:rPr>
          <w:rFonts w:ascii="Times New Roman;serif" w:hAnsi="Times New Roman;serif"/>
          <w:b/>
          <w:color w:val="000000"/>
          <w:sz w:val="20"/>
        </w:rPr>
        <w:t>NOTE 11</w:t>
      </w:r>
      <w:r>
        <w:rPr>
          <w:color w:val="000000"/>
        </w:rPr>
        <w:t xml:space="preserve"> — </w:t>
      </w:r>
      <w:r>
        <w:rPr>
          <w:rFonts w:ascii="Times New Roman;serif" w:hAnsi="Times New Roman;serif"/>
          <w:b/>
          <w:color w:val="000000"/>
          <w:sz w:val="20"/>
        </w:rPr>
        <w:t>CONTINGENCIES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Wallace EPA Matter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volatile organic compounds (“VOCs”) present in the local drinking water supply.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fund and implement a solution acceptable to the EPA. In order to protect the health of its employees and continue its business operations, WSPR has implemented corrective action measures to respond to vapor intrusion, such as sealing the floors of the building and conducting periodic air monitoring to address potential exposure.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December 11, 2015, the EPA issued the Record of Decision (“ROD”) for an initial operable unit (“OU-1”), electing to implement its preferred remedy, which consists of soil vapor extraction (“SVE”) and dual-phase extraction/in-situ treatment. This selected remedy includes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investigation to a second operable unit (“OU-2”) to determine the nature and extent of the groundwater damage at and from the Site and to determine the nature of the remedial action needed to address the damage. The EPA requested access to the property occupied by WSPR to install monitoring wells and to undertake groundwater sampling as part of this expanded investigation. WSPR consented to the EPA’s access request, provided that the EPA received PRIDCO’s consent as the property owner. The EPA has also issued notices of potential liability to a number of other entities that historically used VOCs at the Site.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2018, the Company, WSPR, and other identified potentially responsible parties affiliated with the Site entered into tolling agreements with the U.S. government to extend the statute of limitations for potential claims for the recovery of response costs for the initial operable unit under Section 107 of CERCLA. The tolling agreements have been extended multiple times and currently expires on November 10, 2026. The tolling agreements do not constitute in any way an admission or acknowledgment of any fact, conclusion of law, or liability by the parties to the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EPA released its proposed plan for OU-2 in July 2019, and on September 30, 2019, the EPA issued the ROD for OU-2. The EPA elected to implement its preferred remedy consisting of in-situ treatment of groundwater and a monitored natural attenuation program including monitoring of the plume fringe at the Site. The EPA’s estimated total net present worth cost for its selected remedy for OU-2 is $17.3 million, and the EPA is currently leading remediation of OU-2.</w:t>
      </w:r>
    </w:p>
    <w:p>
      <w:pPr>
        <w:pStyle w:val="TextBody"/>
        <w:bidi w:val="0"/>
        <w:spacing w:lineRule="auto" w:line="288" w:before="240" w:after="283"/>
        <w:jc w:val="left"/>
      </w:pPr>
      <w:r>
        <w:rPr>
          <w:rFonts w:ascii="Times New Roman;serif" w:hAnsi="Times New Roman;serif"/>
          <w:b w:val="false"/>
          <w:color w:val="000000"/>
          <w:sz w:val="20"/>
        </w:rPr>
        <w:t>In August 2021, WSPR received a Notice of Liability for the Site from the Department of Justice on behalf of the EPA, and in September 2021, WSPR responded with a good faith offer to conduct additional testing and remedial design work for OU-1. WSPR entered into a Consent Decree for Remedial Design and Remedial Action at Operable Unit One of the San German Groundwater Contamination Site (“Decree”). On July 26, 2023, the U.S. Government filed a complaint in United States District Court for the District of Puerto Rico for the purpose of seeking judicial approval of the Decree. As required by applicable regulations, the U.S. Government simultaneously lodged the Decree for public comment. No comments were received during the public comment period. On September 6, 2023, at the conclusion of the public comment period, the U.S. Government filed a Motion to Enter the Decree, and the court entered the Decree on December 14, 2023, thereby effectuating the Decree. On January 10, 2024, the EPA issued a notice to proceed with the OU-1 remedial work.</w:t>
      </w:r>
      <w:r>
        <w:rPr>
          <w:color w:val="000000"/>
        </w:rPr>
        <w:t xml:space="preserve"> </w:t>
      </w:r>
      <w:r>
        <w:rPr>
          <w:rFonts w:ascii="Times New Roman;serif" w:hAnsi="Times New Roman;serif"/>
          <w:b w:val="false"/>
          <w:color w:val="000000"/>
          <w:sz w:val="20"/>
        </w:rPr>
        <w:t xml:space="preserve">The Company thereafter commenced remedial work on OU-1 in accordance with the Decree. WSPR submitted the final draft Remedial Design Work Plan,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Pre-Design Investigation Work Plan, and Pilot Study Work Plan to the EPA on May 30, 2025, and its contractor mobilized to the Site in August 2026 to begin remediation.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reserved $5.6 million to cover probable and estimable liabilities with respect to the above remedial design and remedial action for OU-1. However, it is not possible at this time for the Company to estimate its share of its ultimate liability for the Site. In the event of one or more adverse determinations related to this matter, it is possible that the ultimate liability resulting from this matter and the impact on the Company’s results of operations could be material. As of September 30, 2026, the remaining probable and reasonably estimable liability related to the above remedial design and remedial action for OU-1 is $5.2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Legal Settlement Gain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2015, Taylor Precision Products, Inc. (“Taylor” and/or the “Plaintiff”), which was acquired by the Company on March 2, 2018, commenced a legal action related to a 2013 acquisition, alleging that the seller failed to sufficiently disclose certain adverse information as part of the acquisition. In February 2025, the Company received a net settlement of $6.4 million, which consisted of a $7.0 million settlement less $0.6 million in legal fees related to this case. The Company recognized the gain in selling, general and administrative expenses in the condensed consolidated statement of operations for the quarter ended March 31,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from time to time, involved in other legal proceedings. The Company believes that other such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pPr>
      <w:r>
        <w:rPr>
          <w:rFonts w:ascii="Times New Roman;serif" w:hAnsi="Times New Roman;serif"/>
          <w:b/>
          <w:color w:val="000000"/>
          <w:sz w:val="20"/>
        </w:rPr>
        <w:t>NOTE 12 </w:t>
      </w:r>
      <w:r>
        <w:rPr>
          <w:color w:val="000000"/>
        </w:rPr>
        <w:t>— </w:t>
      </w:r>
      <w:r>
        <w:rPr>
          <w:rFonts w:ascii="Times New Roman;serif" w:hAnsi="Times New Roman;serif"/>
          <w:b/>
          <w:color w:val="000000"/>
          <w:sz w:val="20"/>
        </w:rPr>
        <w:t>OTHER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dividends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declared in the nine months ended September 30, 2026 were as follows: </w:t>
      </w:r>
    </w:p>
    <w:tbl>
      <w:tblPr>
        <w:tblW w:w="6130" w:type="dxa"/>
        <w:jc w:val="left"/>
        <w:tblInd w:w="0" w:type="dxa"/>
        <w:tblLayout w:type="fixed"/>
        <w:tblCellMar>
          <w:top w:w="28" w:type="dxa"/>
          <w:left w:w="28" w:type="dxa"/>
          <w:bottom w:w="28" w:type="dxa"/>
          <w:right w:w="28" w:type="dxa"/>
        </w:tblCellMar>
      </w:tblPr>
      <w:tblGrid>
        <w:gridCol w:w="576"/>
        <w:gridCol w:w="507"/>
        <w:gridCol w:w="508"/>
        <w:gridCol w:w="109"/>
        <w:gridCol w:w="109"/>
        <w:gridCol w:w="109"/>
        <w:gridCol w:w="385"/>
        <w:gridCol w:w="385"/>
        <w:gridCol w:w="386"/>
        <w:gridCol w:w="109"/>
        <w:gridCol w:w="109"/>
        <w:gridCol w:w="109"/>
        <w:gridCol w:w="400"/>
        <w:gridCol w:w="400"/>
        <w:gridCol w:w="401"/>
        <w:gridCol w:w="109"/>
        <w:gridCol w:w="109"/>
        <w:gridCol w:w="109"/>
        <w:gridCol w:w="351"/>
        <w:gridCol w:w="351"/>
        <w:gridCol w:w="499"/>
      </w:tblGrid>
      <w:t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of record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Payment date</w:t>
            </w:r>
          </w:p>
        </w:tc>
      </w:tr>
      <w:tr>
        <w:tc>
          <w:tcPr>
            <w:tcW w:w="15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5/15/2026</w:t>
            </w:r>
          </w:p>
        </w:tc>
      </w:tr>
      <w:t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6/18/2026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8/14/2026</w:t>
            </w:r>
          </w:p>
        </w:tc>
      </w:tr>
      <w:t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11/13/2026</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paid dividends of $2.9 million. This included payments made on February 13, 2026, May 15, 2026 and August 14, 2026 of $0.9 million, $0.9 million and $0.9 million to stockholders of record on January 30, 2026, May 1, 2026, and July 31, 2026, respectively, and payments of $0.2 million for dividends payable upon the vesting of restricted shares.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2026, the Company reduced retained earnings for the accrual of $1.0 million relating to the dividend payable on August 14,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3, 2026, the Board declared a quarterly dividend of 0.0425 per share of common stock payable on February 12, 2027 to stockholders of record on January 29, 2027.</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3, 2026 (the “Effective Date”), the Company's Board authorized an increase to the Company’s previously-authorized share repurchase program (the “Repurchase Program”) such that the amount of the Company’s common stock, $0.01 par value per share (the “Common Stock”), available for repurchase as of the Effective Date is $20.0 million (exclusive of fees and commissions).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Repurchase Program, Lifetime Brands may repurchase its Common Stock through a variety of methods, including open market purchases, which may or may not be pursuant to Rule 10b5-1 trading plans, privately negotiated transactions, block trades accelerated share repurchase, tender offers, or any combination of such methods. The timing and amount of shares of Common Stock that may be repurchased under the Repurchase Plan will depend on a variety of factors including, but not limited to, the share price, market conditions, corporate considerations, business opportunities, debt agreements, and regulatory requirements. The Repurchase Program does not have an expiration date and may be amended or terminated by the Board at any time without prior notice. Prior to the Effective Date, there was approximately $11.1 million available for repurchase under the Repurchase Program. No shares were repurchased during the nine months ended September 30, 2026.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bl>
      <w:tblPr>
        <w:tblW w:w="7193" w:type="dxa"/>
        <w:jc w:val="left"/>
        <w:tblInd w:w="0" w:type="dxa"/>
        <w:tblLayout w:type="fixed"/>
        <w:tblCellMar>
          <w:top w:w="28" w:type="dxa"/>
          <w:left w:w="28" w:type="dxa"/>
          <w:bottom w:w="28" w:type="dxa"/>
          <w:right w:w="28" w:type="dxa"/>
        </w:tblCellMar>
      </w:tblPr>
      <w:tblGrid>
        <w:gridCol w:w="1784"/>
        <w:gridCol w:w="1563"/>
        <w:gridCol w:w="1572"/>
        <w:gridCol w:w="196"/>
        <w:gridCol w:w="646"/>
        <w:gridCol w:w="109"/>
        <w:gridCol w:w="109"/>
        <w:gridCol w:w="109"/>
        <w:gridCol w:w="109"/>
        <w:gridCol w:w="196"/>
        <w:gridCol w:w="646"/>
        <w:gridCol w:w="154"/>
      </w:tblGrid>
      <w:tr>
        <w:tc>
          <w:tcPr>
            <w:tcW w:w="178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 net of refunds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 funded by tenant improvement allowances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expense, net</w:t>
      </w:r>
    </w:p>
    <w:tbl>
      <w:tblPr>
        <w:tblW w:w="7064" w:type="dxa"/>
        <w:jc w:val="left"/>
        <w:tblInd w:w="0" w:type="dxa"/>
        <w:tblLayout w:type="fixed"/>
        <w:tblCellMar>
          <w:top w:w="28" w:type="dxa"/>
          <w:left w:w="28" w:type="dxa"/>
          <w:bottom w:w="28" w:type="dxa"/>
          <w:right w:w="28" w:type="dxa"/>
        </w:tblCellMar>
      </w:tblPr>
      <w:tblGrid>
        <w:gridCol w:w="765"/>
        <w:gridCol w:w="672"/>
        <w:gridCol w:w="677"/>
        <w:gridCol w:w="196"/>
        <w:gridCol w:w="631"/>
        <w:gridCol w:w="109"/>
        <w:gridCol w:w="109"/>
        <w:gridCol w:w="109"/>
        <w:gridCol w:w="109"/>
        <w:gridCol w:w="196"/>
        <w:gridCol w:w="631"/>
        <w:gridCol w:w="109"/>
        <w:gridCol w:w="109"/>
        <w:gridCol w:w="109"/>
        <w:gridCol w:w="109"/>
        <w:gridCol w:w="196"/>
        <w:gridCol w:w="721"/>
        <w:gridCol w:w="109"/>
        <w:gridCol w:w="109"/>
        <w:gridCol w:w="109"/>
        <w:gridCol w:w="109"/>
        <w:gridCol w:w="196"/>
        <w:gridCol w:w="721"/>
        <w:gridCol w:w="154"/>
      </w:tblGrid>
      <w:t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Interest income</w:t>
            </w:r>
            <w:r>
              <w:rPr>
                <w:rFonts w:ascii="Times New Roman;serif" w:hAnsi="Times New Roman;serif"/>
                <w:b w:val="false"/>
                <w:color w:val="000000"/>
                <w:sz w:val="12"/>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Total interest expense, net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For the three and nine months ended September 30, 2026, includes $1.4 million related to the interest received on the IEEPA tariff refunds.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accumulated other comprehensive loss, net</w:t>
      </w:r>
    </w:p>
    <w:tbl>
      <w:tblPr>
        <w:tblW w:w="10154" w:type="dxa"/>
        <w:jc w:val="left"/>
        <w:tblInd w:w="0" w:type="dxa"/>
        <w:tblLayout w:type="fixed"/>
        <w:tblCellMar>
          <w:top w:w="28" w:type="dxa"/>
          <w:left w:w="28" w:type="dxa"/>
          <w:bottom w:w="28" w:type="dxa"/>
          <w:right w:w="28" w:type="dxa"/>
        </w:tblCellMar>
      </w:tblPr>
      <w:tblGrid>
        <w:gridCol w:w="1818"/>
        <w:gridCol w:w="1601"/>
        <w:gridCol w:w="1605"/>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c>
          <w:tcPr>
            <w:tcW w:w="181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Accumulated translation adjustment: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Translation adjustment during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Accumulated deferred gains (losses) on cash flow hedges:</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unrealized gains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 xml:space="preserve">Settlement of cash flow hedge </w:t>
            </w:r>
            <w:r>
              <w:rPr>
                <w:rFonts w:ascii="Times New Roman;serif" w:hAnsi="Times New Roman;serif"/>
                <w:b w:val="false"/>
                <w:color w:val="000000"/>
                <w:sz w:val="12"/>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change in cash flow hedges, net of taxes of $0, $0, $0, $0</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Accumulated effect of retirement benefit obligations: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Amounts reclassified from accumulated other comprehensive loss:</w:t>
            </w:r>
            <w:r>
              <w:rPr>
                <w:color w:val="000000"/>
              </w:rPr>
              <w:t xml:space="preserve"> </w:t>
            </w:r>
            <w:r>
              <w:rPr>
                <w:rFonts w:ascii="Times New Roman;serif" w:hAnsi="Times New Roman;serif"/>
                <w:b w:val="false"/>
                <w:color w:val="000000"/>
                <w:sz w:val="12"/>
              </w:rPr>
              <w:t>(2)</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 net of taxes of $(2), $(1), $(6), $(4)</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accumulated other comprehensive loss at end of period</w:t>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(17,748)</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(18,220)</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(17,748)</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(18,220)</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pPr>
      <w:r>
        <w:rPr>
          <w:rFonts w:ascii="Times New Roman;serif" w:hAnsi="Times New Roman;serif"/>
          <w:b w:val="false"/>
          <w:color w:val="000000"/>
          <w:sz w:val="10"/>
        </w:rPr>
        <w:t>(1)</w:t>
      </w:r>
      <w:r>
        <w:rPr>
          <w:rFonts w:ascii="Times New Roman;serif" w:hAnsi="Times New Roman;serif"/>
          <w:b w:val="false"/>
          <w:color w:val="000000"/>
          <w:sz w:val="16"/>
        </w:rPr>
        <w:t>Amounts reclassified are recorded in cost of sales on the unaudited condensed consolidated statement of operations.</w:t>
      </w:r>
    </w:p>
    <w:p>
      <w:pPr>
        <w:pStyle w:val="TextBody"/>
        <w:bidi w:val="0"/>
        <w:spacing w:lineRule="auto" w:line="288" w:before="60" w:after="283"/>
        <w:ind w:left="0" w:right="0" w:hanging="360"/>
        <w:jc w:val="left"/>
      </w:pPr>
      <w:r>
        <w:rPr>
          <w:rFonts w:ascii="Times New Roman;serif" w:hAnsi="Times New Roman;serif"/>
          <w:b w:val="false"/>
          <w:color w:val="000000"/>
          <w:sz w:val="10"/>
        </w:rPr>
        <w:t>(2)</w:t>
      </w:r>
      <w:r>
        <w:rPr>
          <w:rFonts w:ascii="Times New Roman;serif" w:hAnsi="Times New Roman;serif"/>
          <w:b w:val="false"/>
          <w:color w:val="000000"/>
          <w:sz w:val="16"/>
        </w:rPr>
        <w:t>Amounts are recorded in selling, general and administrative expense on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pPr>
      <w:r>
        <w:rPr>
          <w:rFonts w:ascii="Times New Roman;serif" w:hAnsi="Times New Roman;serif"/>
          <w:b w:val="false"/>
          <w:color w:val="000000"/>
          <w:sz w:val="20"/>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When used in this Quarterly Report on Form 10-Q, the words “estimates,” “expects,”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pStyle w:val="TextBody"/>
        <w:bidi w:val="0"/>
        <w:spacing w:lineRule="auto" w:line="288" w:before="240" w:after="283"/>
        <w:jc w:val="left"/>
      </w:pPr>
      <w:r>
        <w:rPr>
          <w:rFonts w:ascii="Times New Roman;serif" w:hAnsi="Times New Roman;serif"/>
          <w:b w:val="false"/>
          <w:color w:val="000000"/>
          <w:sz w:val="20"/>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2025 (the “2025 Annual Report on Form 10-K”) in Part I, Item 1A under the heading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and in the Company’s subsequent filings with the U.S. Securities and Exchange Commission (the “SEC”). Such risks, uncertainties and other important factors include, among others, risks related to:</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Macroeconomic conditions, including labor disputes, depreciation of the U.S. dollar, volatility in the capital markets, inflationary impacts and disruptions to the global supply chain;</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Increase in supply chain costs, including raw materials, sourcing, transportation and energy;</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impact of tariffs and trade policies, particularly with respect to China, including the risk of frequent changes, legal challenges, or reinstatement in modified form;</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Indebtedness, compliance with credit agreements, and access to credit markets;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Access to the capital markets and credit markets;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seasonality of the Company’s cash flows;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Company’s ability to complete acquisitions or successfully integrate acquisitions;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Intense market competition, changing customer practices or preferences and inventory rationalization among retailers;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Dependence on third-party manufacturers;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Technology, cybersecurity and data privacy risks;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Geopolitical conditions, including political instability in the U.S. and abroad, unrest, sanctions, war and armed conflicts, increasing regional and global tensions, and associated disruptions and volatility in energy and oil markets;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Legislative and regulatory risk;</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Product liability claims;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Reputational risks.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pStyle w:val="TextBody"/>
        <w:bidi w:val="0"/>
        <w:spacing w:lineRule="auto" w:line="288" w:before="240" w:after="283"/>
        <w:jc w:val="left"/>
      </w:pPr>
      <w:r>
        <w:rPr>
          <w:rFonts w:ascii="Times New Roman;serif" w:hAnsi="Times New Roman;serif"/>
          <w:b w:val="false"/>
          <w:color w:val="000000"/>
          <w:sz w:val="20"/>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Times New Roman;serif" w:hAnsi="Times New Roman;serif"/>
          <w:b w:val="false"/>
          <w:i/>
          <w:color w:val="000000"/>
          <w:sz w:val="20"/>
          <w:u w:val="single"/>
        </w:rPr>
        <w:t>http://www.lifetimebrands.com</w:t>
      </w:r>
      <w:r>
        <w:rPr>
          <w:rFonts w:ascii="Times New Roman;serif" w:hAnsi="Times New Roman;serif"/>
          <w:b w:val="false"/>
          <w:color w:val="000000"/>
          <w:sz w:val="20"/>
        </w:rPr>
        <w:t xml:space="preserve">.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 practicable after these reports are filed with or furnished to the SEC. Users can access these reports free of charge on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pPr>
      <w:r>
        <w:rPr>
          <w:rFonts w:ascii="Times New Roman;serif" w:hAnsi="Times New Roman;serif"/>
          <w:b w:val="false"/>
          <w:color w:val="000000"/>
          <w:sz w:val="20"/>
        </w:rPr>
        <w:t xml:space="preserve">Company’s website. The SEC also maintains a website that contains reports, proxy and information statements, and other information regarding the Company’s electronic filings with the SEC at </w:t>
      </w:r>
      <w:r>
        <w:rPr>
          <w:rFonts w:ascii="Times New Roman;serif" w:hAnsi="Times New Roman;serif"/>
          <w:b w:val="false"/>
          <w:i/>
          <w:color w:val="000000"/>
          <w:sz w:val="20"/>
          <w:u w:val="single"/>
        </w:rPr>
        <w:t>http://www.sec.gov.</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ABOUT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designs, sources and sells branded kitchenware, tableware and other products used in the home. The Company’s product categories include two categories of products used to prepare, serve, and consume foods: Kitchenware (kitchen tools,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pStyle w:val="TextBody"/>
        <w:bidi w:val="0"/>
        <w:spacing w:lineRule="auto" w:line="288" w:before="240" w:after="283"/>
        <w:jc w:val="left"/>
      </w:pPr>
      <w:r>
        <w:rPr>
          <w:rFonts w:ascii="Times New Roman;serif" w:hAnsi="Times New Roman;serif"/>
          <w:b w:val="false"/>
          <w:color w:val="000000"/>
          <w:sz w:val="20"/>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Times New Roman;serif" w:hAnsi="Times New Roman;serif"/>
          <w:b w:val="false"/>
          <w:color w:val="000000"/>
          <w:sz w:val="13"/>
        </w:rPr>
        <w:t>®</w:t>
      </w:r>
      <w:r>
        <w:rPr>
          <w:rFonts w:ascii="Times New Roman;serif" w:hAnsi="Times New Roman;serif"/>
          <w:b w:val="false"/>
          <w:color w:val="000000"/>
          <w:sz w:val="20"/>
        </w:rPr>
        <w:t>, KitchenAid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Mikasa</w:t>
      </w:r>
      <w:r>
        <w:rPr>
          <w:rFonts w:ascii="Times New Roman;serif" w:hAnsi="Times New Roman;serif"/>
          <w:b w:val="false"/>
          <w:color w:val="000000"/>
          <w:sz w:val="13"/>
        </w:rPr>
        <w:t>®</w:t>
      </w:r>
      <w:r>
        <w:rPr>
          <w:rFonts w:ascii="Times New Roman;serif" w:hAnsi="Times New Roman;serif"/>
          <w:b w:val="false"/>
          <w:color w:val="000000"/>
          <w:sz w:val="20"/>
        </w:rPr>
        <w:t>, Taylor</w:t>
      </w:r>
      <w:r>
        <w:rPr>
          <w:rFonts w:ascii="Times New Roman;serif" w:hAnsi="Times New Roman;serif"/>
          <w:b w:val="false"/>
          <w:color w:val="000000"/>
          <w:sz w:val="13"/>
        </w:rPr>
        <w:t>®</w:t>
      </w:r>
      <w:r>
        <w:rPr>
          <w:rFonts w:ascii="Times New Roman;serif" w:hAnsi="Times New Roman;serif"/>
          <w:b w:val="false"/>
          <w:color w:val="000000"/>
          <w:sz w:val="20"/>
        </w:rPr>
        <w:t>, Pfaltzgraff</w:t>
      </w:r>
      <w:r>
        <w:rPr>
          <w:rFonts w:ascii="Times New Roman;serif" w:hAnsi="Times New Roman;serif"/>
          <w:b w:val="false"/>
          <w:color w:val="000000"/>
          <w:sz w:val="13"/>
        </w:rPr>
        <w:t>®</w:t>
      </w:r>
      <w:r>
        <w:rPr>
          <w:rFonts w:ascii="Times New Roman;serif" w:hAnsi="Times New Roman;serif"/>
          <w:b w:val="false"/>
          <w:color w:val="000000"/>
          <w:sz w:val="20"/>
        </w:rPr>
        <w:t>, Built NY</w:t>
      </w:r>
      <w:r>
        <w:rPr>
          <w:rFonts w:ascii="Times New Roman;serif" w:hAnsi="Times New Roman;serif"/>
          <w:b w:val="false"/>
          <w:color w:val="000000"/>
          <w:sz w:val="13"/>
        </w:rPr>
        <w:t>®</w:t>
      </w:r>
      <w:r>
        <w:rPr>
          <w:rFonts w:ascii="Times New Roman;serif" w:hAnsi="Times New Roman;serif"/>
          <w:b w:val="false"/>
          <w:color w:val="000000"/>
          <w:sz w:val="20"/>
        </w:rPr>
        <w:t>, S’well</w:t>
      </w:r>
      <w:r>
        <w:rPr>
          <w:rFonts w:ascii="Times New Roman;serif" w:hAnsi="Times New Roman;serif"/>
          <w:b w:val="false"/>
          <w:color w:val="000000"/>
          <w:sz w:val="13"/>
        </w:rPr>
        <w:t>®</w:t>
      </w:r>
      <w:r>
        <w:rPr>
          <w:rFonts w:ascii="Times New Roman;serif" w:hAnsi="Times New Roman;serif"/>
          <w:b w:val="false"/>
          <w:color w:val="000000"/>
          <w:sz w:val="20"/>
        </w:rPr>
        <w:t>, Fred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&amp; Friends, KitchenCraft</w:t>
      </w:r>
      <w:r>
        <w:rPr>
          <w:rFonts w:ascii="Times New Roman;serif" w:hAnsi="Times New Roman;serif"/>
          <w:b w:val="false"/>
          <w:color w:val="000000"/>
          <w:sz w:val="13"/>
        </w:rPr>
        <w:t>®</w:t>
      </w:r>
      <w:r>
        <w:rPr>
          <w:rFonts w:ascii="Times New Roman;serif" w:hAnsi="Times New Roman;serif"/>
          <w:b w:val="false"/>
          <w:color w:val="000000"/>
          <w:sz w:val="20"/>
        </w:rPr>
        <w:t>, Rabbit</w:t>
      </w:r>
      <w:r>
        <w:rPr>
          <w:rFonts w:ascii="Times New Roman;serif" w:hAnsi="Times New Roman;serif"/>
          <w:b w:val="false"/>
          <w:color w:val="000000"/>
          <w:sz w:val="13"/>
        </w:rPr>
        <w:t>®</w:t>
      </w:r>
      <w:r>
        <w:rPr>
          <w:rFonts w:ascii="Times New Roman;serif" w:hAnsi="Times New Roman;serif"/>
          <w:b w:val="false"/>
          <w:color w:val="000000"/>
          <w:sz w:val="20"/>
        </w:rPr>
        <w:t>, Kamenstein</w:t>
      </w:r>
      <w:r>
        <w:rPr>
          <w:rFonts w:ascii="Times New Roman;serif" w:hAnsi="Times New Roman;serif"/>
          <w:b w:val="false"/>
          <w:color w:val="000000"/>
          <w:sz w:val="13"/>
        </w:rPr>
        <w:t>®</w:t>
      </w:r>
      <w:r>
        <w:rPr>
          <w:rFonts w:ascii="Times New Roman;serif" w:hAnsi="Times New Roman;serif"/>
          <w:b w:val="false"/>
          <w:color w:val="000000"/>
          <w:sz w:val="20"/>
        </w:rPr>
        <w:t>, and Dolly</w:t>
      </w:r>
      <w:r>
        <w:rPr>
          <w:rFonts w:ascii="Times New Roman;serif" w:hAnsi="Times New Roman;serif"/>
          <w:b w:val="false"/>
          <w:color w:val="000000"/>
          <w:sz w:val="13"/>
        </w:rPr>
        <w:t>®</w:t>
      </w:r>
      <w:r>
        <w:rPr>
          <w:rFonts w:ascii="Times New Roman;serif" w:hAnsi="Times New Roman;serif"/>
          <w:b w:val="false"/>
          <w:color w:val="000000"/>
          <w:sz w:val="20"/>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Tariff and Supply Chain Considerations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Tariffs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sources almost all of its products from third-party manufacturers outside the U.S., primarily in China. This geographic concentration in suppliers exposes the Company to risks associated with doing business globally, including risks relating to changes in U.S. tariff and trade policies. New or increased tariffs, quotas, embargoes, or other trade barriers could adversely impact our supply chain and cost structure. In 2025, the Company implemented several actions to mitigate the impact of the tariffs imposed by the U.S. administration. For example, the Company negotiated price increases to its U.S. customers which went into effect in the third quarter of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U.S. Supreme Court invalidated the IEEPA tariff though it did not address tariff refunds. The U.S. Supreme Court’s ruling did not affect other recently imposed tariffs, nor did it prohibit the imposition of future tariffs through alternative trade authorities. Effective February 24, 2026, the U.S. administration imposed a new 10% global tariff for a period of 150 days pursuant to a balance-of-payments provision in Section 122 of the Trade Act of 1974. The U.S. administration also initiated additional trade remedy investigations pursuant to Section 301 of the Trade Act of 1974 and Section 232 of the Trade Expansion Act of 1962. CBP has now opened three phases of CAPE to issue refunds to affected importers. As of September 30, 2026, the Company has submitted all eligible refund claims under Phase One and Phase Two and continues to actively engage with its customs brokers and outside legal counsel on these refunds. The total refund claims related to the IEEPA tariff totaled $41.7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 Company concluded that $40.1 million of tariff refunds were probable of being recovered and recognized the refund as a reduction to cost of goods sold in the condensed consolidated financial statements. As of September 30, 2026, the Company had collected $37.3 million of these refunds, with the remaining $2.8 million IEEPA tariff receivable recorded within prepaid and other current assets in the condensed consolidated balance sheet.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temporary Section 122 tariffs expired on July 24, 2026, and are the subject of ongoing legal challenges after being initially invalidated by the U.S. Court of International Trade, adding further uncertainty to the tariff outlook. As the Section 122 tariffs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were expiring, the U.S. administration announced completion of a Section 301 investigation into the prohibition and elimination of merchandise produced with forced labor, imposing additional tariffs of 10% or 12.5% on 60 trading partners, affecting the majority of U.S. imports. The tariffs became effective July 24, 2026, and litigation challenging those tariffs was filed later that same day. In October 2026, the U.S. and China announced targeted tariff reduction measures on a number of Chinese-origin goods, including consumer and household goods, as well as U.S. goods imported into China. The trade truce is currently scheduled through January 10, 2027, as a negotiation window for broader trade relations.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U.S. segment, the gross margin improved in the third quarter of 2026 compared to the third quarter of 2025 in part due to lower tariff rates on inventory sold during the current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cannot predict what additional changes to trade policy will be made by the U.S. administration or Congress, including whether existing tariff policies will be maintained or modified, what products may be subject to such policies, or whether the entry into new bilateral or multilateral trade agreements will occur, nor can it predict the effects that any such changes would have on the Company's business, capital expenditures, and results of operations. The Company is actively monitoring the rapidly evolving tariff and global trade policies that become effective, as well as potential retaliatory actions by other countries.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tariff rates were to increase further and the Company is unable to mitigate the impact of the increase in cost, it would result in lower gross margin from the sale of its products. The broader macroeconomic impacts related to the changes in tariff policies including potential mitigation efforts by retailers may negatively impact consumer spending and buying patterns of the Company’s products. This could materially adversely affect the Company’s results of operations and financial condition.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Supply Chain</w:t>
      </w:r>
    </w:p>
    <w:p>
      <w:pPr>
        <w:pStyle w:val="TextBody"/>
        <w:bidi w:val="0"/>
        <w:spacing w:lineRule="auto" w:line="288" w:before="120" w:after="283"/>
        <w:jc w:val="left"/>
      </w:pPr>
      <w:r>
        <w:rPr>
          <w:rFonts w:ascii="Times New Roman;serif" w:hAnsi="Times New Roman;serif"/>
          <w:b w:val="false"/>
          <w:color w:val="000000"/>
          <w:sz w:val="20"/>
          <w:shd w:fill="FFFFFF" w:val="clear"/>
        </w:rPr>
        <w:t xml:space="preserve">Escalating geopolitical conflicts in the Middle East, including shipping disruptions in the Strait of Hormuz, </w:t>
      </w:r>
      <w:r>
        <w:rPr>
          <w:rFonts w:ascii="Times New Roman;serif" w:hAnsi="Times New Roman;serif"/>
          <w:b w:val="false"/>
          <w:color w:val="000000"/>
          <w:sz w:val="20"/>
        </w:rPr>
        <w:t>have led to increased volatility in global energy prices. Sustained increases in energy costs could materially increase the Company’s product and transportation costs, including through higher input costs and increased fuel prices, which typically lead to fuel surcharges and higher freight rates from third-party logistics providers. This could increase the Company’s distribution and inbound freight costs. T</w:t>
      </w:r>
      <w:r>
        <w:rPr>
          <w:rFonts w:ascii="Times New Roman;serif" w:hAnsi="Times New Roman;serif"/>
          <w:b w:val="false"/>
          <w:color w:val="000000"/>
          <w:sz w:val="20"/>
          <w:shd w:fill="FFFFFF" w:val="clear"/>
        </w:rPr>
        <w:t xml:space="preserve">he duration of these conflicts and the potential for further escalation, including military actions, sanctions, or </w:t>
      </w:r>
      <w:r>
        <w:rPr>
          <w:rFonts w:ascii="Times New Roman;serif" w:hAnsi="Times New Roman;serif"/>
          <w:b w:val="false"/>
          <w:color w:val="000000"/>
          <w:sz w:val="20"/>
        </w:rPr>
        <w:t>disruptions to key trade routes, could adversely affect the global macroeconomic environment, and in turn, negatively impact consumer spending and demand for the Company’s products. The Company continues to monitor these developments; however the extent and duration of their impact remain uncertain. If energy prices remain elevated or if macroeconomic conditions deteriorate, the Company’s results of operations and financial condition could be materially adversely affected.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Hagerstown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announced the relocation of the Company’s east coast distribution operations currently located in Robbinsville, NJ (the “Robbinsville Facility”) to Hagerstown, Maryland (the “Hagerstown Facility”). The Company commenced operations at the Hagerstown Facility in the second quarter of 2026. The initial ramp-up resulted in unplanned expenses and temporary shipping delays. Management implemented corrective actions and shipment volumes normalized by the end of the third quarter of 2026. The increase in operating expenses was primarily attributed to higher labor cost as a result of operational inefficiencies during the transition to the new warehouse and training of a new workforce. While the Company believes the disruptions have resolved, if shipping delays re-occur or other transition challenges arise, the Company's results of operations and financial condition could be materially adversely affected.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new Hagerstown Facility requires capital expenditures for equipment and certain leasehold improvements that are estimated to be approximately $10.0 million, of which $0.2 million remains to be purchased as of September 30, 2026. The Company incurred capital expenditures related to this relocation of $7.5 million during the nine months ended September 30, 2026 and $2.3 million during the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incurred the following expenses related to the closure of the Robbinsville Facility and the start-up of the Hagerstown Facility:</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$0.5 million and $2.9 million for the three and nine months ended September 30, 2026, respectively, related to employee severance. This expense has been recorded within restructuring expense in the condensed consolidated statement of operations.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$5.3 million and $7.2 million for the three and nine months ended September 30, 2026, respectively, related to exit and start-up costs which include relocation of inventory, recruiting and training expenses, labor costs, set-up costs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 expenses for the nonoperational portion of the old and new facilities. These expenses have been recorded within distribution expense in the condensed consolidated statement of operations. </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For the remainder of 2026, the Company expects to incur remaining costs of approximately $0.1 million, in employee severance, $1.9 million in exit costs and $2.3 million in start-up costs.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Additionally, in connection with the relocation to the Hagerstown Facility, the Company has received tax abatement and incentives over the term of the lease from the State of Maryland and Washington County, Maryland totaling approximately $13.1 million. This included a conditional grant of $1.4 million toward project and equipment costs. The Company's total capital expenditures estimated above are net of this amount. The remaining incentives primarily relate to real property tax credits that will applied against real estate taxes payable over the lease term.</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Project Concord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launched Project Concord, management’s comprehensive plan to propel growth and streamline the cost structure of its International operations. The Company expects this plan to improve future results of its International segment through sales growth and the identified costs efficiencies. This project resulted in several reorganizations and restructuring of the international workforce which have primarily affected the structure of the International segment’s merchandising and sale workforce. The following actions were taken under this plan: </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On July 8, 2025, the Company announced a reorganization of its international workforce in connection with Project Concord. The restructuring expenses related to severance associated with the reorganization of $0.3 million was recorded for the nine months ended September 30, 2025. </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During the nine months ended September 30, 2026, the Company announced a second reorganization of its international workforce in connection with Project Concord. In connection with these actions, the Company recorded restructuring expenses related to severance associated with the reorganization of $0.3 million for the nine months ended September 30,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 expects that restructuring activities related to this project to be completed by the end of the fourth quarter of 2026 and expects to incur additional costs of $0.3 million related to employee severance.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in the U.K., the European Union and the Asia Pacific region.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the Company’s reportable segments is included in NOTE 10 – BUSINESS SEGMENTS of the Notes to the condensed consolidated financial statements included in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business and working capital needs are seasonal, with a majority of sales occurring in the third and fourth quarters. In 2025 and 2024, net sales for the third and fourth quarters accounted for 58% of total annual net sales, for both periods. In anticipation of the pre-holiday shipping season, inventory levels increase primarily in the June through October time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Consistent with the seasonality of the Company’s net sales and inventory levels, the Company also experiences seasonality in its inventory turnover and turnover days from one quarter to the next.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left"/>
      </w:pPr>
      <w:r>
        <w:rPr>
          <w:rFonts w:ascii="Times New Roman;serif" w:hAnsi="Times New Roman;serif"/>
          <w:b w:val="false"/>
          <w:color w:val="000000"/>
          <w:sz w:val="20"/>
        </w:rPr>
        <w:t xml:space="preserve">There have been no material changes to the Company’s critical accounting estimates discussed in the 2025 Annual Report on Form 10-K in Item 7 under the heading </w:t>
      </w:r>
      <w:r>
        <w:rPr>
          <w:rFonts w:ascii="Times New Roman;serif" w:hAnsi="Times New Roman;serif"/>
          <w:b w:val="false"/>
          <w:i/>
          <w:color w:val="000000"/>
          <w:sz w:val="20"/>
        </w:rPr>
        <w:t>Management’s Discussion and Analysis of Financial Condition and Results of Operations – Critical Accounting Policies and Estimates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statements of operations data of the Company as a percentage of net sales for the periods indicated:</w:t>
      </w:r>
    </w:p>
    <w:tbl>
      <w:tblPr>
        <w:tblW w:w="8853" w:type="dxa"/>
        <w:jc w:val="left"/>
        <w:tblInd w:w="0" w:type="dxa"/>
        <w:tblLayout w:type="fixed"/>
        <w:tblCellMar>
          <w:top w:w="28" w:type="dxa"/>
          <w:left w:w="28" w:type="dxa"/>
          <w:bottom w:w="28" w:type="dxa"/>
          <w:right w:w="28" w:type="dxa"/>
        </w:tblCellMar>
      </w:tblPr>
      <w:tblGrid>
        <w:gridCol w:w="1405"/>
        <w:gridCol w:w="1239"/>
        <w:gridCol w:w="1256"/>
        <w:gridCol w:w="278"/>
        <w:gridCol w:w="278"/>
        <w:gridCol w:w="352"/>
        <w:gridCol w:w="150"/>
        <w:gridCol w:w="150"/>
        <w:gridCol w:w="150"/>
        <w:gridCol w:w="278"/>
        <w:gridCol w:w="278"/>
        <w:gridCol w:w="352"/>
        <w:gridCol w:w="109"/>
        <w:gridCol w:w="109"/>
        <w:gridCol w:w="109"/>
        <w:gridCol w:w="278"/>
        <w:gridCol w:w="278"/>
        <w:gridCol w:w="334"/>
        <w:gridCol w:w="142"/>
        <w:gridCol w:w="142"/>
        <w:gridCol w:w="142"/>
        <w:gridCol w:w="278"/>
        <w:gridCol w:w="278"/>
        <w:gridCol w:w="334"/>
        <w:gridCol w:w="154"/>
      </w:tblGrid>
      <w:tr>
        <w:tc>
          <w:tcPr>
            <w:tcW w:w="140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income from operations</w:t>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(loss) gain on interest rate derivatives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income before income taxes</w:t>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SEPTEMBER 30, 2026 COMPARED TO THE THREE MONTHS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SEPTEMBER 30, 2025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 for the three months ended September 30, 2026 were $177.7 million, representing an increase of $5.8 million, or 3.4%, as compared to net sales of $171.9 million for the corresponding period in 2025. In constant currency, a non-GAAP financial measure, which excludes the impact of foreign exchange fluctuations and was determined by applying 2026 average rates to 2025 local currency amounts, consolidated net sales increased by $5.8 million, or 3.4%, as compared to consolidated net sales in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 for the three months ended September 30, 2026 were $161.3 million, an increase of $3.2 million, or 2.0%, as compared to net sales of $158.1 million for the corresponding period in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Kitchenware product category were $89.9 million for the three months ended September 30, 2026, a decrease of $8.7 million, or 8.8%, as compared to $98.6 million for the corresponding period in 2025. The decrease was driven by lower sales across kitchen tools, kitchen measurement products, cutlery and boards, and barware products. These decreases were partially offset by increased sales of bakeware products.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Tableware product category were $41.5 million for the three months ended September 30, 2026, an increase of $9.9 million, or 31.3%, as compared to $31.6 million for the corresponding period in 2025. The increase was primarily attributable to higher sales of flatware in the warehouse club channel.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Home Solutions product category were $29.9 million for the three months ended September 30, 2026, an increase of $2.0 million, or 7.2%, as compared to $27.9 million for the corresponding period in 2025. The increase was attributable to higher sales for home décor products in the warehouse club channel and higher sales in the back-to-school lunch box category. These increases partially offset the lower sales of hydration and bath measurement products.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International segment were $16.4 million for the three months ended September 30, 2026, an increase of $2.6 million, or 18.8%, as compared to net sales of $13.8 million for the corresponding period in 2025. In constant currency, a non-GAAP financial measure, which excludes the impact of foreign exchange fluctuations, net sales increased by $2.6 million, or 18.9%, as compared to consolidated net sales in the corresponding period in 2025. The increase was driven by higher selling prices in the U.K., continental Europe and Asia-Pacific region and continued growth with retail customers in Australia and New Zealand.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Gross margin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three months ended September 30, 2026 was $64.9 million, or 36.5%, as compared to $60.4 million, or 35.1%, for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U.S. segment was $59.3 million, or 36.8%, for the three months ended September 30, 2026, as compared to $55.5 million, or 35.1%, for the corresponding period in 2025. The improvement was driven by lower product costs resulting from reduced tariffs relative to the prior year and favorable product mix. These margin gains were partially offset by a $2.0 million inventory reserve associated with a stock keeping unit rationalization ("SKU rationalization").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International segment was $5.6 million, or 34.1%, for the three months ended September 30, 2026, as compared to $4.9 million, or 35.5%, for the corresponding period in 2025. The decrease in gross margin percentage was primarily due to a $1.3 million inventory reserve associated with a SKU rationalization, partially offset by expanded gross margins resulting from higher selling prices and favorable customer mix.</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for the three months ended September 30, 2026 were $26.1 million, as compared to $17.9 million for the corresponding period in 2025. Distribution expenses as a percentage of net sales were 14.7% for the three months ended September 30, 2026, as compared to 10.4% for the three months ended September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expenses as a percentage of net sales for the U.S. segment were 14.0% and 9.0% for the three months ended September 30, 2026 and 2025, respectively. Distribution expense during the three months ended September 30, 2026 and 2025 included $5.3 million and $0.1 million for relocation and redesign costs related to the Company’s warehouses. As a percentage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 sales shipped from the Company’s U.S. warehouses, excluding these non-recurring expenses, distribution expenses were 11.3% and 8.5% for the three months ended September 30, 2026 and 2025, respectively. The increase in expenses as a percentage of sales was attributable to an increase in facility and insurance expenses, and higher depreciation expense. In addition, freight-out expenses increased due to higher freight rate and customer mix.</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as a percentage of net sales for the International segment were 21.2% for the three months ended September 30, 2026, compared to 27.1% for the corresponding period in 2025. As a percentage of sales shipped from the Company’s international warehouses distribution expenses were 20.4% and 22.6% for the three months ended September 30, 2026 and 2025, respectively. The decrease in expenses as a percentage of sales was primarily attributable to higher sales resulting in a favorable impact of fixed expenses.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three months ended September 30, 2026 were $38.2 million, an increase of $2.7 million, or 7.6%, as compared to $35.5 million for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U.S. segment were $30.1 million for the three months ended September 30, 2026, as compared to $28.4 million for the corresponding period in 2025. As a percentage of net sales, selling, general and administrative expenses were 18.7% and 18.0% for the three months ended September 30, 2026 and 2025, respectively. The increase in selling, general and administrative expenses was primarily attributable to higher incentive compensation.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International segment were $3.7 million for the three months ended September 30, 2026, as compared to $3.4 million for the corresponding period in 2025. As a percentage of net sales, selling, general and administrative expenses were 22.6% and 24.6% for the three months ended September 30, 2026 and 2025, respectively. The increase in selling, general and administrative expenses was driven by foreign currency exchange losses. The decrease in selling, general and administrative expenses as a percentage of net sales, was attributable to operating leverage achieved on higher sales volume.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 for the three months ended September 30, 2026 was $4.4 million, as compared to expenses of $3.7 million for the corresponding period in 2025. The increase compared to the prior period was attributable to an increase in professional fees and legal expenses, and higher incentive compensation in the current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Restructuring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expenses for the three months ended September 30, 2026 were $0.6 million, as compared to expenses of $0.3 million for the corresponding period in 2025. Restructuring expenses in the current period consist of employee severance expenses related to the east coast distribution facility relocation of $0.5 million, and Project Concord severance expense of $0.1 million. Restructuring expenses in the prior period was related to Project Concord. See NOTE 1 — BASIS OF PRESENTATION AND SUMMARY OF ACCOUNTING POLICIES to the unaudited condensed consolidated financial statements included in this Quarterly Report on Form 10-Q for additional information.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was $2.1 million and $5.0 million for the three months ended September 30, 2026 and 2025, respectively. The decrease in expense was primarily attributable to lower average outstanding borrowings in the current period and higher interest income from tariff refunds, partially offset by higher interest rates on outstanding borrowings.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to market (loss) gain on interest rate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Mark to market loss on interest rate derivatives were less than $0.1 million for the three months ended September 30, 2026 and 2025. The (loss) gain recognized for the three months ended September 30, 2026 and 2025, respectively, was attributable to the change in the fair value due to the change in the projected interest rate environment.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September 30, 2026, the intent of the Company is to hold these derivative contracts until their maturity.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Loss on extinguishment of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for the three months ended September 30, 2026 was $2.5 million, resulting from the write-off of unamortized debt issuance costs associated with the repayment of the previous term loan. Refer to NOTE 5 — DEBT for further details of the transaction.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of $0.4 million and income tax provision of $2.9 million for the three months ended September 30, 2026 and 2025, respectively, represent taxes on both U.S. and foreign earnings at a combined effective benefit tax rate of 9.3% and provision tax rate of 171.1%, respectively. The effective tax rate for the three months ended September 30, 2026 differs from the federal statutory income tax rate of 21.0% primarily due to the impact of foreign losses for which no tax benefit is recognized as such amounts are fully offset with a valuation allowance. The effective tax rate for the three months ended September 30, 2025 differs from the federal statutory income tax rate of 21.0% primarily due to the impact of non-deductible expenses, foreign losses for which no tax benefit is recognized as such amounts are fully offset with a valuation allowance and a partial valuation allowance on U.S. deferred tax assets that are not more likely than not to be realized as a result of the goodwill impairment in the second quarter.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 2026 COMPARED TO THE NINE MONTHS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SEPTEMBER 30, 2025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 for the nine months ended September 30, 2026 were $462.8 million, an increase of $18.9 million, or 4.3%, as compared to net sales of $443.9 million for the corresponding period in 2025. In constant currency, a non-GAAP financial measure, which excludes the impact of foreign exchange fluctuations and was determined by applying 2026 average rates to 2025 local currency amounts, consolidated net sales increased by $17.8 million, or 4.0%, as compared to consolidated net sales in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 for the nine months ended September 30, 2026 were $420.2 million, an increase of $14.2 million, or 3.5%, as compared to net sales of $406.0 million for the corresponding period in 2025. For the nine months ended September 30, 2026, net sales were favorably impacted by higher selling prices, reflecting the implementation of price increases for the Company's U.S. customers that became effective during the third quarter of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segment’s Kitchenware product category were $253.8 million for the nine months ended September 30, 2026, a decrease of $6.9 million, or 2.6%, as compared to $260.7 million for the corresponding period in 2025. The decrease was driven by lower sales for cutlery and boards, barware products, specialty kitchenware products and kitchen measurement products, partially offset by higher sales of kitchen tools and bakeware products.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segment’s Tableware product category were $91.0 million for the nine months ended September 30, 2026, an increase of $10.5 million, or 13.0%, as compared to $80.5 million for the corresponding period in 2025. The increase was driven by higher flatware sales in the warehouse club channel, partially offset by lower sales for dinnerware in the warehouse club channel and lower sales in the e-commerce channel.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Home Solutions product category were $75.4 million for the nine months ended September 30, 2026, an increase of $10.6 million, or 16.4%, as compared to $64.8 million for the corresponding period in 2025. The increase was primarily attributable to higher sales for home décor products in the warehouse club and dollar channel. An increase in sales in the back-to-school lunch box category was partially offset by lower sales of hydration products.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International segment were $42.6 million for the nine months ended September 30, 2026, an increase of $4.7 million, or 12.4%, as compared to net sales of $37.9 million for the corresponding period in 2025. In constant currency, a non-GAAP financial measure, which excludes the impact of foreign exchange fluctuations, net sales increased by $3.6 million, or 9.3%, as compared to consolidated net sales in the corresponding period in 2025. The increase was driven by higher selling prices in the U.K., continental Europe and Asia-Pacific region and continued growth with retail customers in Australia and New Zealand.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Gross margin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nine months ended September 30, 2026 was $212.3 million, or 45.9%, as compared to $161.9 million, or 36.5%, for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U.S. segment was $196.3 million, or 46.7%, for the nine months ended September 30, 2026, as compared to $148.9 million, or 36.7%, for the corresponding period in 2025. The increase was driven by a benefit in the current period from tariff refunds of $40.1 million related to prior periods, higher selling prices, partially offset by product mix and a $2.0 million inventory reserve associated with a SKU rationalization.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International segment was $16.0 million, or 37.6%, for the nine months ended September 30, 2026, as compared to $13.0 million, or 34.3%, for the corresponding period in 2025. The increase in gross margin percentage was driven by expanded gross margins resulting from higher selling prices and favorable customer mix, partially offset by a $1.3 million inventory reserve associated with a SKU rationalization.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for the nine months ended September 30, 2026 were $63.8 million, as compared to $53.3 million for the corresponding period in 2025. Distribution expenses as a percentage of net sales were 13.8% for the nine months ended September 30, 2026, as compared to 12.0% for the nine months ended September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expenses as a percentage of net sales for the U.S. segment were 12.7% and 10.5% for the nine months ended September 30, 2026 and 2025, respectively. Distribution expenses during the nine months ended September 30, 2026 and 2025 included $7.2 million and $0.2 million, respectively, for relocation and redesign costs related to the Company's warehouses. As a percentage of sales shipped from the Company’s U.S. warehouses, excluding these non-recurring expenses, distribution expenses were 11.5% and 10.3% for the nine months ended September 30, 2026 and 2025, respectively. The increase in expenses as a percentage of sales was primarily attributable to an increase in facility and insurance expenses, and higher depreciation expense.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as a percentage of net sales for the International segment were 24.7% for the nine months ended September 30, 2026, compared to 28.4% for the corresponding period in 2025. As a percentage of sales shipped from the Company’s international warehouses, distribution expenses were 22.5% and 24.6% for the nine months ended September 30, 2026 and 2025, respectively. The decrease in expenses as a percentage of sales was primarily attributed to higher sales resulting in a favorable impact of fixed expenses.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nine months ended September 30, 2026 were $114.5 million, an increase of $10.0 million, or 9.6%, as compared to $104.5 million for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U.S. segment were $89.5 million for the nine months ended September 30, 2026, as compared to $87.9 million for the corresponding period in 2025. As a percentage of net sales, selling, general and administrative expenses were 21.3% and 21.7% for the nine months ended September 30, 2026 and 2025, respectively. The increase in selling, general and administrative expenses was primarily attributed to higher incentive compensation, partially offset by a decrease in provision for doubtful accounts in the current period. The decrease in selling, general and administrative expenses as a percentage of net sales was attributable to the impact of fixed costs on higher sales volume.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International segment were $10.6 million for the nine months ended September 30, 2026, as compared to $10.8 million for the corresponding period in 2025. As a percentage of net sales, selling, general and administrative expenses were 24.9% and 28.5% for the nine months ended September 30, 2026 and 2025, respectively. The decrease in selling, general and administrative expenses was driven by lower employee-related expenses, lower commissions and lower trade show expenses, partially offset by foreign currency exchange loss. The decrease in selling, general and administrative expenses as a percentage of net sales was attributable to operating leverage achieved on higher sales volume.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 for the nine months ended September 30, 2026 were $14.4 million, as compared to expenses of $5.8 million for the corresponding period in 2025. The increase in expenses was driven by the recognition of a net legal settlement gain of $6.4 million in the prior period, an increase in professional fees and legal expenses, and higher incentive compensation in the current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Goodwill impairment</w:t>
      </w:r>
    </w:p>
    <w:p>
      <w:pPr>
        <w:pStyle w:val="TextBody"/>
        <w:bidi w:val="0"/>
        <w:spacing w:lineRule="auto" w:line="288" w:before="120" w:after="283"/>
        <w:jc w:val="left"/>
      </w:pPr>
      <w:r>
        <w:rPr>
          <w:rFonts w:ascii="Times New Roman;serif" w:hAnsi="Times New Roman;serif"/>
          <w:b w:val="false"/>
          <w:color w:val="000000"/>
          <w:sz w:val="20"/>
        </w:rPr>
        <w:t xml:space="preserve">During the second quarter of 2025, the Company’s qualitative assessment of goodwill indicated triggering events had occurred in its U.S. reporting unit. The Company performed </w:t>
      </w:r>
      <w:r>
        <w:rPr>
          <w:rFonts w:ascii="Times New Roman;serif" w:hAnsi="Times New Roman;serif"/>
          <w:b w:val="false"/>
          <w:color w:val="000000"/>
          <w:sz w:val="20"/>
          <w:shd w:fill="FFFFFF" w:val="clear"/>
        </w:rPr>
        <w:t xml:space="preserve">an interim impairment test of the goodwill in the U.S. reporting unit as of June 30, 2025, </w:t>
      </w:r>
      <w:r>
        <w:rPr>
          <w:rFonts w:ascii="Times New Roman;serif" w:hAnsi="Times New Roman;serif"/>
          <w:b w:val="false"/>
          <w:color w:val="000000"/>
          <w:sz w:val="20"/>
        </w:rPr>
        <w:t>that resulted in a $33.2 million non-cash goodwill impairment charge.</w:t>
      </w:r>
    </w:p>
    <w:p>
      <w:pPr>
        <w:pStyle w:val="TextBody"/>
        <w:bidi w:val="0"/>
        <w:spacing w:before="240" w:after="283"/>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Restructuring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expenses were $4.7 million for the nine months ended September 30, 2026, as compared to $0.3 million for the corresponding period in 2025. Restructuring expenses in the current period consist of restructuring expenses related to the east coast distribution facility relocation of $2.9 million, restructuring expenses with the closure of certain manufacturing operations of $1.4 million, and Project Concord severance expense of $0.4 million. Restructuring expenses in the prior period was related to Project Concord. See NOTE 1 — BASIS OF PRESENTATION AND SUMMARY OF ACCOUNTING POLICIES to the unaudited condensed consolidated financial statements included in this Quarterly Report on Form 10-Q for additional information.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was $10.7 million and $15.0 million for the nine months ended September 30, 2026 and 2025, respectively. The decrease in expense was primarily attributable to lower average outstanding borrowings in the current period and higher interest income from tariff refunds, partially offset by higher interest rates on outstanding borrowings.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to market (loss) gain on interest rate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Mark to market gain on interest rate derivatives was $0.5 million for the nine months ended September 30, 2026, as compared to mark to market loss of $0.8 million for the nine months ended September 30, 2025. The decrease was attributable to the change in the fair value based on the increase in interest rates.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September 30, 2026, the intent of the Company is to hold these derivative contracts until their maturity.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Loss on extinguishment of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for the nine months ended September 30, 2026 was $2.5 million, resulting from the write-off of unamortized debt issuance costs associated with the repayment of the previous term loan. Refer to NOTE 5 — DEBT for further details of the transaction.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jc w:val="left"/>
      </w:pPr>
      <w:r>
        <w:rPr>
          <w:rFonts w:ascii="Times New Roman;serif" w:hAnsi="Times New Roman;serif"/>
          <w:b w:val="false"/>
          <w:color w:val="000000"/>
          <w:sz w:val="20"/>
        </w:rPr>
        <w:t>Income tax provision of $6.0 million and income tax benefit of $0.1 million for the nine months ended September 30, 2026 and 2025, respectively, represent taxes on both U.S. and foreign earnings at a combined</w:t>
      </w:r>
      <w:r>
        <w:rPr>
          <w:color w:val="000000"/>
        </w:rPr>
        <w:t xml:space="preserve"> </w:t>
      </w:r>
      <w:r>
        <w:rPr>
          <w:rFonts w:ascii="Times New Roman;serif" w:hAnsi="Times New Roman;serif"/>
          <w:b w:val="false"/>
          <w:color w:val="000000"/>
          <w:sz w:val="20"/>
        </w:rPr>
        <w:t>effective provision tax rate of 36.0% and benefit tax rate of 0.1%, respectively. The effective tax rate for the nine months ended September 30, 2026 differs from the federal statutory income tax rate of 21.0% primarily due to foreign losses for which no tax benefit is recognized as such amounts are fully offset with a valuation allowance. The effective tax rate for the nine months ended September 30, 2025, differs from the federal statutory income tax rate of 21.0% primarily due to a partial valuation allowance on U.S. deferred tax assets that are not more likely than not to be realized as a result of the goodwill impairment in the second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payments of dividends, and payments of principal and interest on its debt.</w:t>
      </w:r>
    </w:p>
    <w:p>
      <w:pPr>
        <w:pStyle w:val="TextBody"/>
        <w:bidi w:val="0"/>
        <w:spacing w:lineRule="auto" w:line="288" w:before="240" w:after="283"/>
        <w:jc w:val="left"/>
      </w:pPr>
      <w:r>
        <w:rPr>
          <w:rFonts w:ascii="Times New Roman;serif" w:hAnsi="Times New Roman;serif"/>
          <w:b w:val="false"/>
          <w:color w:val="000000"/>
          <w:sz w:val="20"/>
        </w:rPr>
        <w:t xml:space="preserve">At September 30, 2026, the Company had cash and cash equivalents of $5.9 million, compared to </w:t>
      </w:r>
      <w:r>
        <w:rPr>
          <w:rFonts w:ascii="Times New Roman;serif" w:hAnsi="Times New Roman;serif"/>
          <w:b w:val="false"/>
          <w:color w:val="000000"/>
          <w:sz w:val="20"/>
          <w:shd w:fill="FFFFFF" w:val="clear"/>
        </w:rPr>
        <w:t>$4.3 million</w:t>
      </w:r>
      <w:r>
        <w:rPr>
          <w:color w:val="000000"/>
        </w:rPr>
        <w:t xml:space="preserve"> </w:t>
      </w:r>
      <w:r>
        <w:rPr>
          <w:rFonts w:ascii="Times New Roman;serif" w:hAnsi="Times New Roman;serif"/>
          <w:b w:val="false"/>
          <w:color w:val="000000"/>
          <w:sz w:val="20"/>
        </w:rPr>
        <w:t>at December 31, 2025. Working capital was $229.7 million at September 30, 2026, compared to $242.6 million at December 31, 2025. Liquidity as of September 30, 2026 was $123.3 million, consisting of $5.9 million of cash and cash equivalents, $96.4 million of availability under the ABL Agreement, and $21.0 million of available funding under the Receivables Purchase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September 30, 2026, inventory turnover was 2.2 times, or 168 days, as compared to 2.0 times, or 181 days, for the three months ended September 30, 2025. The increase in inventory turnover was primarily driven by a lower net inventory balance resulting from a $3.3 million inventory reserve recorded in connection with a SKU rationalization.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believes that availability under the revolving credit facility,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future changes in these conditions.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Indebtedness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ABL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17, 2026, the Company entered into Amendment No. 3 (the “Amendment”) to the Company’s Credit Agreement, dated as of March 2, 2018 (as amended, the “ABL Agreement”) among the Company, as borrower, the other borrowers and loan parties from time to time party thereto, the lenders from time to time party thereto, and JPMorgan Chase Bank, N.A., as Administrative Agent for the Non-EEA Agented Borrowers and J.P. Morgan SE, as Administrative Agent for the EEA Agented Borrower. The ABL Agreement provides for an asset-based revolving credit facility in the maximum aggregate principal amount of $200.0 million, consisting of $160.0 million of U.S. tranche commitments, $35.0 million of U.K. tranche commitments and $5.0 million of Dutch tranche commitments, and a maturity date of August 17, 2031.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ABL Agreement is subject to an earlier springing maturity date of May 18, 2031, 91 days prior to the Term Loan maturity date of August 17, 2031, if the Company’s Term Loan has not been repaid or refinanced, with a minimum maturity, by such date. The maximum borrowing amount under the ABL Agreement may be increased to up to $300.0 million if certain conditions are met.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17, 2026, the Company entered into a Credit Agreement (the “Term Loan Agreement” and together with the ABL Agreement, the “Debt Agreements”) with other borrowers and loan parties from time to time party thereto, the lenders from time to time party thereto and PLC Agent LLC, as Administrative Agent, providing for a term loan (the “Term Loan”), in an aggregate principal amount of $60.0 million. The Term Loan matures on August 17, 2031. Under the Term Loan Agreement, the Company has the right to obtain additional commitments to increase the total Term Loan if certain conditions are met. The total commitment under the Term Loan, if and as so increased, may not exceed $100.0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Agreement requires the Company to make quarterly payments of principal, each equal to 1.25% of the aggregate principal amount of the Term Loan, commencing on October 1, 2027, with the remaining balance payable on the maturity date.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proceeds of the Term Loan were used to repay indebtedness outstanding under the Company's previous term loan agreement, dated as of March 2, 2018 (as amended), to pay transaction costs, and for general corporate purposes.</w:t>
      </w:r>
    </w:p>
    <w:p>
      <w:pPr>
        <w:pStyle w:val="TextBody"/>
        <w:bidi w:val="0"/>
        <w:spacing w:lineRule="auto" w:line="288" w:before="240" w:after="180"/>
        <w:jc w:val="left"/>
        <w:rPr>
          <w:rFonts w:ascii="Times New Roman;serif" w:hAnsi="Times New Roman;serif"/>
          <w:b w:val="false"/>
          <w:i/>
          <w:color w:val="000000"/>
          <w:sz w:val="20"/>
        </w:rPr>
      </w:pPr>
      <w:r>
        <w:rPr>
          <w:rFonts w:ascii="Times New Roman;serif" w:hAnsi="Times New Roman;serif"/>
          <w:b w:val="false"/>
          <w:i/>
          <w:color w:val="000000"/>
          <w:sz w:val="20"/>
        </w:rPr>
        <w:t>Borrowing Availability and Term Loan Summary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and December 31, 2025, the total availability under the ABL Agreement was as follows (in thousands): </w:t>
      </w:r>
    </w:p>
    <w:tbl>
      <w:tblPr>
        <w:tblW w:w="7644"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302"/>
        <w:gridCol w:w="1135"/>
        <w:gridCol w:w="168"/>
        <w:gridCol w:w="109"/>
        <w:gridCol w:w="109"/>
        <w:gridCol w:w="109"/>
        <w:gridCol w:w="287"/>
        <w:gridCol w:w="1077"/>
        <w:gridCol w:w="226"/>
      </w:tblGrid>
      <w:t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185,588 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(89,858)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96,378 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119,919 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depends, in part, on eligible levels of accounts receivable and inventory that fluctuate regularly as well as any required reserves for the Term Loan. Due to the seasonality of the Company’s business, the Company may have greater borrowing availability during the third and fourth quarters of each year. Consequently, the $200.0 million commitment under the ABL Agreement may not represent actual borrowing capacity.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current and non-current portions of the Company’s Term Loan, or, for December 31, 2025, its prior term loan included in the condensed consolidated balance sheets were as follows (in thousands):</w:t>
      </w:r>
    </w:p>
    <w:tbl>
      <w:tblPr>
        <w:tblW w:w="7321"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330"/>
        <w:gridCol w:w="1090"/>
        <w:gridCol w:w="184"/>
        <w:gridCol w:w="109"/>
        <w:gridCol w:w="109"/>
        <w:gridCol w:w="109"/>
        <w:gridCol w:w="291"/>
        <w:gridCol w:w="1093"/>
        <w:gridCol w:w="161"/>
        <w:gridCol w:w="109"/>
        <w:gridCol w:w="154"/>
      </w:tblGrid>
      <w:t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58,351 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125,927 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its debt refinancing activities, the Company incurred $1.7 million of debt issuance costs for the Term Loan, which are presented as a direct reduction of the debt carrying value and amortized using the effective interest method. Concurrently, the Company incurred $3.0 million in fees related to the ABL Agreement, which were capitalized as deferred charges and are being amortized straight-line over the facility's term. Additionally, the Company recognized a $2.5 million loss on extinguishment of debt associated with the write-off of unamortized debt issuance costs from the previous term loan that was repaid.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based upon the currency and type of borrowing at one of the followings rates, as applicable: (i) an Alternate Base Rate (as defined in the ABL Agreement), plus a margin ranging from 0.5% to 1.0% (ii) the Adjusted Term SOFR Rate or Adjusted EURIBO Rate (each as defined in the ABL Agreement), as applicable, plus a margin of 1.50% to 2.00% or (iii) the applicable Adjusted Daily Simple RFR or Overnight Swingline Rate (each as defined in the ABL Agreement), plus a margin ranging from 1.50% to 2.00%. The respective margins are based upon average quarterly availability, as defined in and computed pursuant to the ABL Agreement. Pursuant to the Amendment, from the effective date of the Amendment through the last day of the Company’s fiscal quarter ending on or about September 30, 2026, the applicable margins are fixed at 0.75% for alternate base rate loans and 1.75% for term benchmark, RFR and overnight swingline rate loans. In addition, the Company pays a commitment fee of 0.25% per annum based on the average daily unused portion of the aggregate commitment under the ABL Agreement. The interest rate on outstanding borrowings under the ABL Agreement at September 30, 2026 was between 5.48% and 7.75%.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bears interest at Term SOFR, plus a margin of 6.75% to 7.25%. Under limited circumstances, borrowings bear interest at a base rate, plus an applicable margin ranging from 7.75% to 8.25%. The respective margins are based upon the Company's average quarterly availability under the ABL Agreement as a percentage of the ABL commitment. The interest rate on outstanding borrowings under the Term Loan at September 30, 2026 was 10.76%.</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Covenants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payment obligations under its Debt Agreements are guaranteed by its U.S. subsidiaries and, in the case of the ABL Agreement only, certain foreign secured obligations are guaranteed by certain of its foreign subsidiaries. The Secured Obligations under the Debt Agreements are secured by security interests in substantially all assets of the Company and its U.S. subsidiaries and, in the case of the ABL Agreement only, the foreign secured obligations thereunder are secured by security interests in substantially all assets of certain of its foreign subsidiaries. The relative priority of the security interests is governed by an ABL/Term Loan Intercreditor Agreement between the administrative agents for the ABL Agreement and Term Loan. In addition, the Debt Agreements provide for customary restrictions and events of default. Restrictions include limitations on additional indebtedness, liens, acquisitions, investments and payment of dividends.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the Term Loan Agreement, the Company is required to maintain a minimum Adjusted EBITDA, less a specified adjustment, of $30.0 million, measured as of the end of each month for the trailing twelve-month period. Further, the Debt Agreements provide that during any period (a) commencing on the last day of the most recently ended four consecutive fiscal quarters on or prior to the date availability under the ABL Agreement is less than the greater of $12.5 million and 10% of the Line Cap (calculated without giving effect to the Term Loan Push-Down Reserve, if any) at any time and (b) ending on the day after such availability has exceeded the greater of $12.5 million and 10% of Line Cap (calculated without giving effect to the Term Loan Push-Down Reserve, if any)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covenants of the Debt Agreements at September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that it will continue to borrow, subject to availability, and repay funds under the ABL Agreement based on working capital and other corporate needs.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Covenant Calculations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(a non-GAAP financial measure), which is defined in the Company’s Debt Agreements, is used in the calculation of the Fixed Charge Coverage Ratio and Minimum Adjusted EBITDA, which are required to be provided to the Company’s lenders pursuant to its Debt Agreements.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adjusted EBITDA, before limitation for the trailing twelve months ended September 30, 2026 was $92.4 million. After giving effect to the non-recurring charge limitation permitted under the debt agreements, Adjusted EBITDA for the trailing twelve months ended September 30, 2026 was $84.5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for the nine months ended September 30, 2026 were $8.7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Non-GAAP financial measure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pStyle w:val="TextBody"/>
        <w:bidi w:val="0"/>
        <w:spacing w:before="240" w:after="283"/>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reconciliation of the net income (loss), as reported, to Adjusted EBITDA, for each of the last four quarters and the 12 months ended September 30, 2026. The quarters ended December 31, 2025, March 31, 2026, and June 30, 2026 have been recast for non-cash rent expense, to reflect the new definition of Adjusted EBITDA according to the Company's debt agreements. </w:t>
      </w:r>
    </w:p>
    <w:tbl>
      <w:tblPr>
        <w:tblW w:w="10205" w:type="dxa"/>
        <w:jc w:val="left"/>
        <w:tblInd w:w="0" w:type="dxa"/>
        <w:tblLayout w:type="fixed"/>
        <w:tblCellMar>
          <w:top w:w="28" w:type="dxa"/>
          <w:left w:w="28" w:type="dxa"/>
          <w:bottom w:w="28" w:type="dxa"/>
          <w:right w:w="28" w:type="dxa"/>
        </w:tblCellMar>
      </w:tblPr>
      <w:tblGrid>
        <w:gridCol w:w="1216"/>
        <w:gridCol w:w="698"/>
        <w:gridCol w:w="701"/>
        <w:gridCol w:w="252"/>
        <w:gridCol w:w="834"/>
        <w:gridCol w:w="140"/>
        <w:gridCol w:w="109"/>
        <w:gridCol w:w="109"/>
        <w:gridCol w:w="109"/>
        <w:gridCol w:w="196"/>
        <w:gridCol w:w="598"/>
        <w:gridCol w:w="109"/>
        <w:gridCol w:w="109"/>
        <w:gridCol w:w="109"/>
        <w:gridCol w:w="109"/>
        <w:gridCol w:w="196"/>
        <w:gridCol w:w="646"/>
        <w:gridCol w:w="109"/>
        <w:gridCol w:w="109"/>
        <w:gridCol w:w="109"/>
        <w:gridCol w:w="109"/>
        <w:gridCol w:w="219"/>
        <w:gridCol w:w="724"/>
        <w:gridCol w:w="122"/>
        <w:gridCol w:w="109"/>
        <w:gridCol w:w="109"/>
        <w:gridCol w:w="109"/>
        <w:gridCol w:w="419"/>
        <w:gridCol w:w="1382"/>
        <w:gridCol w:w="336"/>
      </w:tblGrid>
      <w:tr>
        <w:tc>
          <w:tcPr>
            <w:tcW w:w="121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c>
          <w:tcPr>
            <w:tcW w:w="2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 September 30, 2026</w:t>
            </w:r>
          </w:p>
        </w:tc>
      </w:tr>
      <w:tr>
        <w:tc>
          <w:tcPr>
            <w:tcW w:w="2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r>
      <w:tr>
        <w:tc>
          <w:tcPr>
            <w:tcW w:w="2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as reported</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r>
      <w:t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r>
      <w:t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(gain) loss on interest rate derivatives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r>
      <w:t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r>
      <w:tr>
        <w:tc>
          <w:tcPr>
            <w:tcW w:w="261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r>
      <w:t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rent adjustment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r>
      <w:t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expense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Acquisition-related diligence expenses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Warehouse relocation and redesign expenses</w:t>
            </w:r>
            <w:r>
              <w:rPr>
                <w:rFonts w:ascii="Times New Roman;serif" w:hAnsi="Times New Roman;serif"/>
                <w:b w:val="false"/>
                <w:color w:val="000000"/>
                <w:sz w:val="12"/>
              </w:rPr>
              <w:t>(1)</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r>
      <w:t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SKU rationalization</w:t>
            </w:r>
            <w:r>
              <w:rPr>
                <w:rFonts w:ascii="Times New Roman;serif" w:hAnsi="Times New Roman;serif"/>
                <w:b w:val="false"/>
                <w:color w:val="000000"/>
                <w:sz w:val="12"/>
              </w:rPr>
              <w:t>(2)</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before limitation</w:t>
            </w:r>
          </w:p>
        </w:tc>
        <w:tc>
          <w:tcPr>
            <w:tcW w:w="10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27,028 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16,078 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92,372 </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r>
      <w:t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pPr>
            <w:r>
              <w:rPr>
                <w:rFonts w:ascii="Times New Roman;serif" w:hAnsi="Times New Roman;serif"/>
                <w:b w:val="false"/>
                <w:color w:val="000000"/>
                <w:sz w:val="18"/>
              </w:rPr>
              <w:t>Permitted non-recurring charge limitation</w:t>
            </w:r>
            <w:r>
              <w:rPr>
                <w:rFonts w:ascii="Times New Roman;serif" w:hAnsi="Times New Roman;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Adjusted EBITDA</w:t>
            </w:r>
            <w:r>
              <w:rPr>
                <w:rFonts w:ascii="Times New Roman;serif" w:hAnsi="Times New Roman;serif"/>
                <w:b w:val="false"/>
                <w:color w:val="000000"/>
                <w:sz w:val="12"/>
              </w:rPr>
              <w:t>(4)(5)</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27,028 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16,078 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84,499 </w:t>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For the twelve months ended September 30, 2026, warehouse relocation and redesign expenses were related to the U.S. segment.</w:t>
      </w:r>
    </w:p>
    <w:p>
      <w:pPr>
        <w:pStyle w:val="TextBody"/>
        <w:bidi w:val="0"/>
        <w:spacing w:lineRule="auto" w:line="288" w:before="60" w:after="283"/>
        <w:jc w:val="left"/>
      </w:pPr>
      <w:r>
        <w:rPr>
          <w:rFonts w:ascii="Times New Roman;serif" w:hAnsi="Times New Roman;serif"/>
          <w:b w:val="false"/>
          <w:color w:val="000000"/>
          <w:sz w:val="12"/>
        </w:rPr>
        <w:t xml:space="preserve">(2) </w:t>
      </w:r>
      <w:r>
        <w:rPr>
          <w:rFonts w:ascii="Times New Roman;serif" w:hAnsi="Times New Roman;serif"/>
          <w:b w:val="false"/>
          <w:color w:val="000000"/>
          <w:sz w:val="16"/>
        </w:rPr>
        <w:t>For the twelve months ended September 30, 2026, SKU rationalization included $2.0 million related to the U.S. segment, and $1.3 million related to the International segment.</w:t>
      </w:r>
    </w:p>
    <w:p>
      <w:pPr>
        <w:pStyle w:val="TextBody"/>
        <w:bidi w:val="0"/>
        <w:spacing w:lineRule="auto" w:line="288" w:before="60" w:after="283"/>
        <w:jc w:val="left"/>
      </w:pPr>
      <w:r>
        <w:rPr>
          <w:rFonts w:ascii="Times New Roman;serif" w:hAnsi="Times New Roman;serif"/>
          <w:b w:val="false"/>
          <w:color w:val="000000"/>
          <w:sz w:val="12"/>
        </w:rPr>
        <w:t xml:space="preserve">(3) </w:t>
      </w:r>
      <w:r>
        <w:rPr>
          <w:rFonts w:ascii="Times New Roman;serif" w:hAnsi="Times New Roman;serif"/>
          <w:b w:val="false"/>
          <w:color w:val="000000"/>
          <w:sz w:val="16"/>
        </w:rPr>
        <w:t>Permitted non-recurring charges include severance expenses, restructuring expenses, warehouse relocation and redesign expenses, and SKU rationalization. These are permitted exclusions from the Company’s adjusted EBITDA, subject to limitations, pursuant to the Company’s Debt Agreements.</w:t>
      </w:r>
    </w:p>
    <w:p>
      <w:pPr>
        <w:pStyle w:val="TextBody"/>
        <w:bidi w:val="0"/>
        <w:spacing w:lineRule="auto" w:line="288" w:before="60" w:after="283"/>
        <w:jc w:val="left"/>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6"/>
        </w:rPr>
        <w:t>Adjusted EBITDA is a non-GAAP financial measure that is defined in the Company’s debt agreements. Adjusted EBITDA is defined as net income (loss), adjusted to exclude income tax (benefit) provision, interest, net, depreciation and amortization, gain on disposition of fixed assets, mark to market (gain) loss on interest rate derivatives, stock compensation expense, non-cash rent adjustment, loss on extinguishment of debt, and other items detailed in the table above that are consistent with exclusions permitted by the Company’s debt agreements.</w:t>
      </w:r>
    </w:p>
    <w:p>
      <w:pPr>
        <w:pStyle w:val="TextBody"/>
        <w:bidi w:val="0"/>
        <w:spacing w:lineRule="auto" w:line="288" w:before="60" w:after="283"/>
        <w:jc w:val="left"/>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 xml:space="preserve">Adjusted EBITDA, less specified adjustment for the trailing twelve months ended September 30, 2026 was $44.4 million. It is used in the calculation of the Fixed Charge Ratio and minimum Adjusted EBITDA financial covenants. Adjusted EBITDA is defined above. The specified adjustment is defined as the IEEPA tariff refunds pursuant to the February 20, 2026 U.S. Supreme Court ruling that has been included in Net Income for the trailing twelve month period. IEEPA tariff refunds for the trailing twelve months ended September 30, 2026 was $40.1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Accounts Receivable Purchase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sell receivables to HSBC during the three and nine months ended September 30, 2026 and September 30, 2025. At September 30, 2026, $21.0 million of accounts receivable were available for sale to HSBC, net of applicable charges. </w:t>
      </w:r>
    </w:p>
    <w:p>
      <w:pPr>
        <w:pStyle w:val="TextBody"/>
        <w:bidi w:val="0"/>
        <w:spacing w:before="240" w:after="283"/>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risk management strategy includes the use of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anticipate non-performance by any of its counterparties.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Swaps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and October 2024, the Company entered into interest rate swap agreements, each with an aggregate notional value of $25.0 million, which were terminated in the third quarter of 2026. In September 2026, the Company entered into an interest rate swap agreement, with an aggregate notional value of $15.0 million and expiring in August 2031. These non-designated interest rate swaps serve as cash flow hedges of the Company’s exposure to the variability of the payment of interest on a portion of its Term Loan borrowings. The Company’s total outstanding notional value of interest rate swaps was $15.0 million at September 30, 2026.</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Exchange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 The Company designates these contracts for accounting purposes as cash flow hedges. The Company purchases foreign currency forward contracts with terms of less than 18 months. The aggregate gross notional value of foreign exchange contracts at September 30, 2026 was zero.</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$56.8 million for the nine months ended September 30, 2026, as compared to net cash provided by operating activities of $3.9 million for the nine months ended September 30, 2025. The increase from 2026 compared to 2025 was attributable to cash received related to the IEEPA tariff refunds, the timing of payments for accounts payable and accrued expenses. This was partially offset by the timing of accounts receivable collections.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$8.7 million and $3.1 million for the nine months ended September 30, 2026 and 2025, respectively. The increase in investment activities was driven by purchases of equipment for the Hagerstown Facility.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$46.4 million for the nine months ended September 30, 2026, as compared to net cash provided by financing activities of $8.3 million for the nine months ended September 30, 2025. The change was attributable to higher net repayments of the term loan and payment of financing costs. This was partially offset by higher net proceeds from the revolving credit facility in the 2026 period.</w:t>
      </w:r>
    </w:p>
    <w:p>
      <w:pPr>
        <w:pStyle w:val="TextBody"/>
        <w:bidi w:val="0"/>
        <w:spacing w:before="240" w:after="283"/>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3, 2026 (the “Effective Date”), the Company's Board authorized an increase to the Company’s previously-authorized share repurchase program (the “Repurchase Program”) such that the amount of the Company’s common stock, $0.01 par value per share (the “Common Stock”), available for repurchase as of the Effective Date is $20.0 million (exclusive of fees and commissions).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Repurchase Program, Lifetime Brands may repurchase its Common Stock through a variety of methods, including open market purchases, which may or may not be pursuant to Rule 10b5-1 trading plans, privately negotiated transactions, block trades accelerated share repurchase, tender offers, or any combination of such methods. The timing and amount of shares of Common Stock that may be repurchased under the Repurchase Plan will depend on a variety of factors including, but not limited to, the share price, market conditions, corporate considerations, business opportunities, debt agreements, and regulatory requirements. The Repurchase Program does not have an expiration date and may be amended or terminated by the Board at any time without prior notice. Prior to the Effective Date, there was approximately $11.1 million available for repurchase under the Repurchase Program. No shares were repurchased during the nine months ended September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in market risk for changes in foreign currency exchange rates and interest rates from the information provided in Item 7A – Quantitative and Qualitative Disclosures About Market Risk in the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(a)Evaluation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Chief Executive Officer and the Chief Financial Officer of the Company (its principal executive officer and principal financial officer, respectively) have concluded, based on their evaluation as of September 30, 2026,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(b)Changes in Internal Controls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 description of the Company’s legal proceedings, please see NOTE 11 — CONTINGENCIES, to the Company's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other information set forth in this Quarterly Report on Form 10-Q, readers should carefully consider the factors discussed in Part I, Item 1A—Risk Factors in the 2025 Annual Report on Form 10-K, and in the Company’s other filings with the SEC, which could materially affect the Company’s business, financial condition, cash flows or future results. There have been no material changes from the risk factors previously disclosed in Part I, Item 1A—Risk Factors in the 2025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during the Company’s fiscal quarter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See the Exhibit Index below, which is incorporated by reference herein.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2609"/>
        <w:gridCol w:w="2562"/>
        <w:gridCol w:w="3626"/>
      </w:tblGrid>
      <w:t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
              <w:r>
                <w:rPr>
                  <w:rStyle w:val="InternetLink"/>
                  <w:rFonts w:ascii="Times New Roman;serif" w:hAnsi="Times New Roman;serif"/>
                  <w:b w:val="false"/>
                  <w:color w:val="0000FF"/>
                  <w:sz w:val="20"/>
                  <w:u w:val="single"/>
                </w:rPr>
                <w:t xml:space="preserve">Amendment No. 3, dated as of August 17, 2026, by and among the Company, the other Loan Parties party thereto (as defined therein), the Lenders party thereto and JPMorgan Chase Bank, N.A., as Administrative Agent for the Non-EEA Agented Borrowers and Morgan SE, as Administrative Agent for the EEA Agented Borrower (incorporated by reference to Exhibit 10.1 to the Company’s Current Report on Form 8-K filed August 20, 2026). </w:t>
              </w:r>
            </w:hyperlink>
          </w:p>
        </w:tc>
      </w:tr>
      <w:t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
              <w:r>
                <w:rPr>
                  <w:rStyle w:val="InternetLink"/>
                  <w:rFonts w:ascii="Times New Roman;serif" w:hAnsi="Times New Roman;serif"/>
                  <w:b w:val="false"/>
                  <w:color w:val="0000FF"/>
                  <w:sz w:val="20"/>
                  <w:u w:val="single"/>
                </w:rPr>
                <w:t>Credit Agreement, dated as of August 17, 2026, among Lifetime Brands, Inc., as borrower, the other borrowers and loan parties party from time to time party thereto, the lenders from time to time party thereto and PLC Agent LLC, as Administrative Agent (incorporated by reference to Exhibit 10.2 to the Company’s Current Report on Form 8-K filed August 20, 2026).</w:t>
              </w:r>
            </w:hyperlink>
            <w:r>
              <w:rPr>
                <w:rFonts w:ascii="Times New Roman;serif" w:hAnsi="Times New Roman;serif"/>
                <w:b w:val="false"/>
                <w:color w:val="000000"/>
                <w:sz w:val="20"/>
              </w:rPr>
              <w:t>***</w:t>
            </w:r>
          </w:p>
        </w:tc>
      </w:tr>
      <w:t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31109302026.htm">
              <w:r>
                <w:rPr>
                  <w:rStyle w:val="InternetLink"/>
                  <w:rFonts w:ascii="Times New Roman;serif" w:hAnsi="Times New Roman;serif"/>
                  <w:b w:val="false"/>
                  <w:color w:val="0000FF"/>
                  <w:sz w:val="20"/>
                  <w:u w:val="single"/>
                </w:rPr>
                <w:t>Certification by Robert B. Kay, Chief Executive Officer and Director, pursuant to Rule 13a-14(a) or Rule 15d-14(a) of the Securities and Exchange Act of 1934, as adopted pursuant to Section 302 of the Sarbanes-Oxley Act of 2002</w:t>
              </w:r>
            </w:hyperlink>
          </w:p>
        </w:tc>
      </w:tr>
      <w:t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31209302026.htm">
              <w:r>
                <w:rPr>
                  <w:rStyle w:val="InternetLink"/>
                  <w:rFonts w:ascii="Times New Roman;serif" w:hAnsi="Times New Roman;serif"/>
                  <w:b w:val="false"/>
                  <w:color w:val="0000FF"/>
                  <w:sz w:val="20"/>
                  <w:u w:val="single"/>
                </w:rPr>
                <w:t>Certification by Laurence Winoker, Executive Vice President, Treasurer and Chief Financial Officer, pursuant to Rule 13a-14(a) or Rule 15d-14(a) of the Securities and Exchange Act of 1934, as adopted pursuant to Section 302 of the Sarbanes-Oxley Act of 2002</w:t>
              </w:r>
            </w:hyperlink>
          </w:p>
        </w:tc>
      </w:tr>
      <w:t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32109302026.htm">
              <w:r>
                <w:rPr>
                  <w:rStyle w:val="InternetLink"/>
                  <w:rFonts w:ascii="Times New Roman;serif" w:hAnsi="Times New Roman;serif"/>
                  <w:b w:val="false"/>
                  <w:color w:val="0000FF"/>
                  <w:sz w:val="20"/>
                  <w:u w:val="single"/>
                </w:rPr>
                <w:t>Certification by Robert B. Kay, Chief Executive Officer and Director, and Laurence Winoker, Executive Vice President, Treasurer and Chief Financial Officer, pursuant to 18 U.S.C. Section 1350, as adopted pursuant to Section 906 of the Sarbanes-Oxley Act of 2002</w:t>
              </w:r>
            </w:hyperlink>
          </w:p>
        </w:tc>
      </w:tr>
      <w:t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this Quarterly Report on Form 10-Q, formatted in Inline XBRL and contained in Exhibit 101</w:t>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68" w:before="0" w:after="0"/>
        <w:jc w:val="left"/>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Certain portions of this Exhibit (indicated by “[***]”) have been omitted pursuant to Item 601(b)(10) of Regulation S-K. Certain schedules, exhibits, annexes and/or appendices have been omitted pursuant to Item 601(a)(5) and/or Item 601(b)(2) of Regulation S-K. The Company agrees to furnish supplementally a copy of any omitted schedule or Exhibit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- 45 -</w:t>
                      </w:r>
                    </w:p>
                  </w:txbxContent>
                </v:textbox>
                <w10:wrap type="none"/>
              </v:rect>
            </w:pict>
          </mc:Fallback>
        </mc:AlternateContent>
      </w:r>
    </w:p>
    <w:p>
      <w:pPr>
        <w:pStyle w:val="TextBody"/>
        <w:bidi w:val="0"/>
        <w:spacing w:lineRule="auto" w:line="288" w:before="0" w:after="0"/>
        <w:jc w:val="left"/>
      </w:pPr>
      <w:hyperlink w:anchor="id591a4c73ab4441e9af46ad7aa3461a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226" w:type="dxa"/>
        <w:jc w:val="left"/>
        <w:tblInd w:w="0" w:type="dxa"/>
        <w:tblLayout w:type="fixed"/>
        <w:tblCellMar>
          <w:top w:w="28" w:type="dxa"/>
          <w:left w:w="28" w:type="dxa"/>
          <w:bottom w:w="28" w:type="dxa"/>
          <w:right w:w="28" w:type="dxa"/>
        </w:tblCellMar>
      </w:tblPr>
      <w:tblGrid>
        <w:gridCol w:w="124"/>
        <w:gridCol w:w="109"/>
        <w:gridCol w:w="109"/>
        <w:gridCol w:w="1743"/>
        <w:gridCol w:w="1743"/>
        <w:gridCol w:w="1748"/>
        <w:gridCol w:w="483"/>
        <w:gridCol w:w="483"/>
        <w:gridCol w:w="68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Inc.</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5, 2026</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Kay</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5, 2026</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Laurence Winoker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Treasurer and Chief Financial Officer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- 46 -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B. Kay,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Lifetime Brands, Inc. (“the registrant”);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135" w:type="dxa"/>
        <w:jc w:val="left"/>
        <w:tblInd w:w="0" w:type="dxa"/>
        <w:tblLayout w:type="fixed"/>
        <w:tblCellMar>
          <w:top w:w="28" w:type="dxa"/>
          <w:left w:w="28" w:type="dxa"/>
          <w:bottom w:w="28" w:type="dxa"/>
          <w:right w:w="28" w:type="dxa"/>
        </w:tblCellMar>
      </w:tblPr>
      <w:tblGrid>
        <w:gridCol w:w="998"/>
        <w:gridCol w:w="878"/>
        <w:gridCol w:w="1259"/>
      </w:tblGrid>
      <w:t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r>
      <w:t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Kay</w:t>
              <w:br/>
              <w:t>Chief Executive Officer and Director</w:t>
            </w:r>
          </w:p>
        </w:tc>
      </w:tr>
      <w:t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Laurence Winoker,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Lifetime Brands, Inc. (“the registrant”);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pPr>
      <w:r/>
    </w:p>
    <w:tbl>
      <w:tblPr>
        <w:tblW w:w="3491" w:type="dxa"/>
        <w:jc w:val="left"/>
        <w:tblInd w:w="0" w:type="dxa"/>
        <w:tblLayout w:type="fixed"/>
        <w:tblCellMar>
          <w:top w:w="28" w:type="dxa"/>
          <w:left w:w="28" w:type="dxa"/>
          <w:bottom w:w="28" w:type="dxa"/>
          <w:right w:w="28" w:type="dxa"/>
        </w:tblCellMar>
      </w:tblPr>
      <w:tblGrid>
        <w:gridCol w:w="1129"/>
        <w:gridCol w:w="993"/>
        <w:gridCol w:w="997"/>
        <w:gridCol w:w="109"/>
        <w:gridCol w:w="109"/>
        <w:gridCol w:w="154"/>
      </w:tblGrid>
      <w:t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Laurence Winoker</w:t>
              <w:br/>
              <w:t>Executive Vice President,</w:t>
              <w:br/>
              <w:t>Treasurer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Certification by Robert B. Kay, Chief Executive Officer and Director, and Laurence Winoker, Executive Vice President, Treasurer and Chief Financial Officer, Pursuant to 18 U.S.C. Section 1350, as Adopted Pursuant to 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B. Kay, Chief Executive Officer and Director, and I, Laurence Winoker, Executive Vice President, Treasurer and Chief Financial Officer, of Lifetime Brands, Inc., a Delaware corporation (the “Company”), each hereby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periodic report on Form 10-Q for the period ended September 30, 2026 (the “Form 10-Q”)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Form 10-Q fairly presents, in all material respects, the financial condition and results of operations of the Company.</w:t>
      </w:r>
    </w:p>
    <w:p>
      <w:pPr>
        <w:pStyle w:val="TextBody"/>
        <w:bidi w:val="0"/>
        <w:spacing w:before="240" w:after="283"/>
        <w:jc w:val="left"/>
      </w:pPr>
      <w:r/>
    </w:p>
    <w:tbl>
      <w:tblPr>
        <w:tblW w:w="7720" w:type="dxa"/>
        <w:jc w:val="left"/>
        <w:tblInd w:w="0" w:type="dxa"/>
        <w:tblLayout w:type="fixed"/>
        <w:tblCellMar>
          <w:top w:w="28" w:type="dxa"/>
          <w:left w:w="28" w:type="dxa"/>
          <w:bottom w:w="28" w:type="dxa"/>
          <w:right w:w="28" w:type="dxa"/>
        </w:tblCellMar>
      </w:tblPr>
      <w:tblGrid>
        <w:gridCol w:w="986"/>
        <w:gridCol w:w="865"/>
        <w:gridCol w:w="878"/>
        <w:gridCol w:w="109"/>
        <w:gridCol w:w="109"/>
        <w:gridCol w:w="109"/>
        <w:gridCol w:w="1362"/>
        <w:gridCol w:w="1362"/>
        <w:gridCol w:w="1940"/>
      </w:tblGrid>
      <w:t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r>
      <w:tr>
        <w:tc>
          <w:tcPr>
            <w:tcW w:w="2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B. Kay</w:t>
              <w:b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Laurence Winoker</w:t>
              <w:br/>
              <w:t>Executive Vice President, Treasurer and Chief Financial Officer</w:t>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certification required by 18 U.S.C. Section 1350 has been provided to Lifetime Brands, Inc. and will be retained by Lifetime Brands, Inc. and furnished to the SEC or its staff upon request.</w:t>
      </w:r>
    </w:p>
    <w:p>
      <w:pPr>
        <w:pStyle w:val="TextBody"/>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4396/000087439626000046/ablamendmentno3.htm" TargetMode="External"/><Relationship Id="rId3" Type="http://schemas.openxmlformats.org/officeDocument/2006/relationships/hyperlink" Target="https://www.sec.gov/Archives/edgar/data/874396/000087439626000046/termloanagreement.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24221</Words>
  <Characters>134839</Characters>
  <CharactersWithSpaces>157524</CharactersWithSpaces>
  <Paragraphs>2725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