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SIEGEL JEFFREY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LIFETIME BRANDS,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LCUT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LIFETIME BRANDS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 STEWART AVENUE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GARDEN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11530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12,440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1,180,468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1,010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6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was granted on June 18, 2026, pursuant to the Company's Amended and Restated 2000 Long-Term Incentive Plan (as amended through June 18, 2024) and vests on the first anniversary of the date of grant.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common stock was issued for no consideration as part of director compensation.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Sara Shindel,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Jeffrey Siegel</w:t>
            </w:r>
          </w:p>
        </w:tc>
        <w:tc>
          <w:tcPr>
            <w:tcW w:w="4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5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0923401" TargetMode="External"/><Relationship Id="rId14" Type="http://schemas.openxmlformats.org/officeDocument/2006/relationships/hyperlink" Target="http://www.sec.gov/cgi-bin/browse-edgar?action=getcompany&amp;CIK=000087439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2026-06-22T16:03:39Z</dcterms:created>
  <dcterms:modified xsi:type="dcterms:W3CDTF">2026-06-22T16:03:39Z</dcterms:modified>
</cp:coreProperties>
</file>