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460375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485140</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9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4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p>
      <w:pPr>
        <w:spacing w:after="0" w:line="37" w:lineRule="exact"/>
        <w:rPr>
          <w:sz w:val="24"/>
          <w:szCs w:val="24"/>
          <w:color w:val="auto"/>
        </w:rPr>
      </w:pPr>
    </w:p>
    <w:p>
      <w:pPr>
        <w:ind w:left="340" w:hanging="319"/>
        <w:spacing w:after="0"/>
        <w:tabs>
          <w:tab w:leader="none" w:pos="3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 (d) OF THE SECURITIES EXCHANGE ACT OF 1934</w:t>
      </w:r>
    </w:p>
    <w:p>
      <w:pPr>
        <w:spacing w:after="0" w:line="2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1" w:lineRule="exact"/>
        <w:rPr>
          <w:sz w:val="24"/>
          <w:szCs w:val="24"/>
          <w:color w:val="auto"/>
        </w:rPr>
      </w:pPr>
    </w:p>
    <w:p>
      <w:pPr>
        <w:ind w:left="340" w:hanging="319"/>
        <w:spacing w:after="0"/>
        <w:tabs>
          <w:tab w:leader="none" w:pos="3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 (d) OF THE SECURITIES EXCHANGE ACT OF 1934</w:t>
      </w: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w:t>
            </w:r>
          </w:p>
        </w:tc>
        <w:tc>
          <w:tcPr>
            <w:tcW w:w="860" w:type="dxa"/>
            <w:vAlign w:val="bottom"/>
            <w:tcBorders>
              <w:bottom w:val="single" w:sz="8" w:color="auto"/>
            </w:tcBorders>
          </w:tcPr>
          <w:p>
            <w:pPr>
              <w:spacing w:after="0"/>
              <w:rPr>
                <w:sz w:val="17"/>
                <w:szCs w:val="17"/>
                <w:color w:val="auto"/>
              </w:rPr>
            </w:pPr>
          </w:p>
        </w:tc>
        <w:tc>
          <w:tcPr>
            <w:tcW w:w="9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33"/>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8"/>
          </w:tcPr>
          <w:p>
            <w:pPr>
              <w:jc w:val="center"/>
              <w:ind w:right="511"/>
              <w:spacing w:after="0"/>
              <w:rPr>
                <w:sz w:val="20"/>
                <w:szCs w:val="20"/>
                <w:color w:val="auto"/>
              </w:rPr>
            </w:pPr>
            <w:r>
              <w:rPr>
                <w:rFonts w:ascii="Times New Roman" w:cs="Times New Roman" w:eastAsia="Times New Roman" w:hAnsi="Times New Roman"/>
                <w:sz w:val="17"/>
                <w:szCs w:val="17"/>
                <w:b w:val="1"/>
                <w:bCs w:val="1"/>
                <w:color w:val="auto"/>
              </w:rPr>
              <w:t>Commission file number: 0-19254</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7"/>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jc w:val="center"/>
              <w:ind w:left="1196"/>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8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8"/>
          </w:tcPr>
          <w:p>
            <w:pPr>
              <w:jc w:val="center"/>
              <w:ind w:right="491"/>
              <w:spacing w:after="0"/>
              <w:rPr>
                <w:sz w:val="20"/>
                <w:szCs w:val="20"/>
                <w:color w:val="auto"/>
              </w:rPr>
            </w:pPr>
            <w:r>
              <w:rPr>
                <w:rFonts w:ascii="Times New Roman" w:cs="Times New Roman" w:eastAsia="Times New Roman" w:hAnsi="Times New Roman"/>
                <w:sz w:val="41"/>
                <w:szCs w:val="41"/>
                <w:b w:val="1"/>
                <w:bCs w:val="1"/>
                <w:color w:val="auto"/>
              </w:rPr>
              <w:t>LIFETIME BRANDS, INC.</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7"/>
        </w:trPr>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80" w:type="dxa"/>
            <w:vAlign w:val="bottom"/>
            <w:gridSpan w:val="8"/>
          </w:tcPr>
          <w:p>
            <w:pPr>
              <w:jc w:val="center"/>
              <w:ind w:right="511"/>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27"/>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jc w:val="center"/>
              <w:ind w:left="1196"/>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1220" w:type="dxa"/>
            <w:vAlign w:val="bottom"/>
          </w:tcPr>
          <w:p>
            <w:pPr>
              <w:spacing w:after="0"/>
              <w:rPr>
                <w:sz w:val="21"/>
                <w:szCs w:val="21"/>
                <w:color w:val="auto"/>
              </w:rPr>
            </w:pPr>
          </w:p>
        </w:tc>
        <w:tc>
          <w:tcPr>
            <w:tcW w:w="1900" w:type="dxa"/>
            <w:vAlign w:val="bottom"/>
            <w:gridSpan w:val="2"/>
          </w:tcPr>
          <w:p>
            <w:pPr>
              <w:jc w:val="center"/>
              <w:ind w:left="104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0" w:type="dxa"/>
            <w:vAlign w:val="bottom"/>
            <w:gridSpan w:val="5"/>
          </w:tcPr>
          <w:p>
            <w:pPr>
              <w:jc w:val="center"/>
              <w:ind w:left="1214"/>
              <w:spacing w:after="0"/>
              <w:rPr>
                <w:sz w:val="20"/>
                <w:szCs w:val="20"/>
                <w:color w:val="auto"/>
              </w:rPr>
            </w:pPr>
            <w:r>
              <w:rPr>
                <w:rFonts w:ascii="Times New Roman" w:cs="Times New Roman" w:eastAsia="Times New Roman" w:hAnsi="Times New Roman"/>
                <w:sz w:val="17"/>
                <w:szCs w:val="17"/>
                <w:b w:val="1"/>
                <w:bCs w:val="1"/>
                <w:color w:val="auto"/>
                <w:w w:val="99"/>
              </w:rPr>
              <w:t>11-2682486</w:t>
            </w: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41"/>
        </w:trPr>
        <w:tc>
          <w:tcPr>
            <w:tcW w:w="1220" w:type="dxa"/>
            <w:vAlign w:val="bottom"/>
          </w:tcPr>
          <w:p>
            <w:pPr>
              <w:spacing w:after="0"/>
              <w:rPr>
                <w:sz w:val="12"/>
                <w:szCs w:val="12"/>
                <w:color w:val="auto"/>
              </w:rPr>
            </w:pPr>
          </w:p>
        </w:tc>
        <w:tc>
          <w:tcPr>
            <w:tcW w:w="5440" w:type="dxa"/>
            <w:vAlign w:val="bottom"/>
            <w:gridSpan w:val="6"/>
          </w:tcPr>
          <w:p>
            <w:pPr>
              <w:jc w:val="center"/>
              <w:ind w:right="24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jc w:val="center"/>
              <w:ind w:left="151"/>
              <w:spacing w:after="0" w:line="141"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3"/>
        </w:trPr>
        <w:tc>
          <w:tcPr>
            <w:tcW w:w="1220" w:type="dxa"/>
            <w:vAlign w:val="bottom"/>
          </w:tcPr>
          <w:p>
            <w:pPr>
              <w:spacing w:after="0"/>
              <w:rPr>
                <w:sz w:val="15"/>
                <w:szCs w:val="15"/>
                <w:color w:val="auto"/>
              </w:rPr>
            </w:pPr>
          </w:p>
        </w:tc>
        <w:tc>
          <w:tcPr>
            <w:tcW w:w="5440" w:type="dxa"/>
            <w:vAlign w:val="bottom"/>
            <w:gridSpan w:val="6"/>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478"/>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8"/>
          </w:tcPr>
          <w:p>
            <w:pPr>
              <w:jc w:val="center"/>
              <w:ind w:right="511"/>
              <w:spacing w:after="0"/>
              <w:rPr>
                <w:sz w:val="20"/>
                <w:szCs w:val="20"/>
                <w:color w:val="auto"/>
              </w:rPr>
            </w:pPr>
            <w:r>
              <w:rPr>
                <w:rFonts w:ascii="Times New Roman" w:cs="Times New Roman" w:eastAsia="Times New Roman" w:hAnsi="Times New Roman"/>
                <w:sz w:val="17"/>
                <w:szCs w:val="17"/>
                <w:b w:val="1"/>
                <w:bCs w:val="1"/>
                <w:color w:val="auto"/>
              </w:rPr>
              <w:t>1000 Stewart Avenue, Garden City, New York 11530</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80" w:type="dxa"/>
            <w:vAlign w:val="bottom"/>
            <w:gridSpan w:val="8"/>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including Zip Code)</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99"/>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4"/>
          </w:tcPr>
          <w:p>
            <w:pPr>
              <w:jc w:val="center"/>
              <w:ind w:left="1376"/>
              <w:spacing w:after="0"/>
              <w:rPr>
                <w:sz w:val="20"/>
                <w:szCs w:val="20"/>
                <w:color w:val="auto"/>
              </w:rPr>
            </w:pPr>
            <w:r>
              <w:rPr>
                <w:rFonts w:ascii="Times New Roman" w:cs="Times New Roman" w:eastAsia="Times New Roman" w:hAnsi="Times New Roman"/>
                <w:sz w:val="17"/>
                <w:szCs w:val="17"/>
                <w:b w:val="1"/>
                <w:bCs w:val="1"/>
                <w:color w:val="auto"/>
              </w:rPr>
              <w:t>(516) 683-6000</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80" w:type="dxa"/>
            <w:vAlign w:val="bottom"/>
            <w:gridSpan w:val="8"/>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423"/>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8"/>
          </w:tcPr>
          <w:p>
            <w:pPr>
              <w:jc w:val="center"/>
              <w:ind w:right="491"/>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22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Common Stock, $.01 par value</w:t>
            </w:r>
          </w:p>
        </w:tc>
        <w:tc>
          <w:tcPr>
            <w:tcW w:w="3540" w:type="dxa"/>
            <w:vAlign w:val="bottom"/>
            <w:gridSpan w:val="4"/>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w w:val="97"/>
              </w:rPr>
              <w:t>LCUT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The Nasdaq Global Select Market</w:t>
            </w:r>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2"/>
        </w:trPr>
        <w:tc>
          <w:tcPr>
            <w:tcW w:w="12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0" w:type="dxa"/>
            <w:vAlign w:val="bottom"/>
          </w:tcPr>
          <w:p>
            <w:pPr>
              <w:spacing w:after="0"/>
              <w:rPr>
                <w:sz w:val="21"/>
                <w:szCs w:val="21"/>
                <w:color w:val="auto"/>
              </w:rPr>
            </w:pPr>
          </w:p>
        </w:tc>
        <w:tc>
          <w:tcPr>
            <w:tcW w:w="3540" w:type="dxa"/>
            <w:vAlign w:val="bottom"/>
            <w:gridSpan w:val="4"/>
          </w:tcPr>
          <w:p>
            <w:pPr>
              <w:jc w:val="center"/>
              <w:ind w:left="636"/>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200" w:type="dxa"/>
            <w:vAlign w:val="bottom"/>
          </w:tcPr>
          <w:p>
            <w:pPr>
              <w:spacing w:after="0"/>
              <w:rPr>
                <w:sz w:val="21"/>
                <w:szCs w:val="21"/>
                <w:color w:val="auto"/>
              </w:rPr>
            </w:pPr>
          </w:p>
        </w:tc>
        <w:tc>
          <w:tcPr>
            <w:tcW w:w="3540" w:type="dxa"/>
            <w:vAlign w:val="bottom"/>
            <w:gridSpan w:val="6"/>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504"/>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8"/>
          </w:tcPr>
          <w:p>
            <w:pPr>
              <w:jc w:val="center"/>
              <w:ind w:right="491"/>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7"/>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jc w:val="center"/>
              <w:ind w:left="1196"/>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90"/>
        </w:trPr>
        <w:tc>
          <w:tcPr>
            <w:tcW w:w="8700" w:type="dxa"/>
            <w:vAlign w:val="bottom"/>
            <w:gridSpan w:val="11"/>
          </w:tcPr>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6"/>
              </w:rPr>
              <w:t>No</w:t>
            </w:r>
          </w:p>
        </w:tc>
        <w:tc>
          <w:tcPr>
            <w:tcW w:w="1340" w:type="dxa"/>
            <w:vAlign w:val="bottom"/>
            <w:gridSpan w:val="2"/>
          </w:tcPr>
          <w:p>
            <w:pPr>
              <w:ind w:left="120"/>
              <w:spacing w:after="0" w:line="211" w:lineRule="exact"/>
              <w:rPr>
                <w:sz w:val="20"/>
                <w:szCs w:val="20"/>
                <w:color w:val="auto"/>
              </w:rPr>
            </w:pPr>
            <w:r>
              <w:rPr>
                <w:rFonts w:ascii="MS PGothic" w:cs="MS PGothic" w:eastAsia="MS PGothic" w:hAnsi="MS PGothic"/>
                <w:sz w:val="21"/>
                <w:szCs w:val="21"/>
                <w:color w:val="auto"/>
              </w:rPr>
              <w:t>☒</w:t>
            </w:r>
          </w:p>
        </w:tc>
      </w:tr>
      <w:tr>
        <w:trPr>
          <w:trHeight w:val="452"/>
        </w:trPr>
        <w:tc>
          <w:tcPr>
            <w:tcW w:w="8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tc>
        <w:tc>
          <w:tcPr>
            <w:tcW w:w="36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13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tc>
      </w:tr>
    </w:tbl>
    <w:p>
      <w:pPr>
        <w:spacing w:after="0" w:line="16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9" w:lineRule="exact"/>
        <w:rPr>
          <w:sz w:val="24"/>
          <w:szCs w:val="24"/>
          <w:color w:val="auto"/>
        </w:rPr>
      </w:pPr>
    </w:p>
    <w:p>
      <w:pPr>
        <w:spacing w:after="0" w:line="25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8" w:lineRule="exact"/>
        <w:rPr>
          <w:sz w:val="24"/>
          <w:szCs w:val="24"/>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6"/>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6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60"/>
              <w:spacing w:after="0"/>
              <w:rPr>
                <w:sz w:val="20"/>
                <w:szCs w:val="20"/>
                <w:color w:val="auto"/>
              </w:rPr>
            </w:pPr>
            <w:r>
              <w:rPr>
                <w:rFonts w:ascii="Times New Roman" w:cs="Times New Roman" w:eastAsia="Times New Roman" w:hAnsi="Times New Roman"/>
                <w:sz w:val="17"/>
                <w:szCs w:val="17"/>
                <w:color w:val="auto"/>
              </w:rPr>
              <w:t>Accelerated filer</w:t>
            </w:r>
          </w:p>
        </w:tc>
        <w:tc>
          <w:tcPr>
            <w:tcW w:w="860" w:type="dxa"/>
            <w:vAlign w:val="bottom"/>
          </w:tcPr>
          <w:p>
            <w:pPr>
              <w:ind w:left="66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26"/>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6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60" w:type="dxa"/>
            <w:vAlign w:val="bottom"/>
          </w:tcPr>
          <w:p>
            <w:pPr>
              <w:ind w:left="66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90"/>
        </w:trPr>
        <w:tc>
          <w:tcPr>
            <w:tcW w:w="17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320" w:type="dxa"/>
            <w:vAlign w:val="bottom"/>
          </w:tcPr>
          <w:p>
            <w:pPr>
              <w:ind w:left="27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60" w:type="dxa"/>
            <w:vAlign w:val="bottom"/>
          </w:tcPr>
          <w:p>
            <w:pPr>
              <w:ind w:left="660"/>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254"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4" w:lineRule="exact"/>
        <w:rPr>
          <w:sz w:val="24"/>
          <w:szCs w:val="24"/>
          <w:color w:val="auto"/>
        </w:rPr>
      </w:pPr>
    </w:p>
    <w:p>
      <w:pPr>
        <w:jc w:val="both"/>
        <w:ind w:right="16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color w:val="auto"/>
        </w:rPr>
        <w:t>☒</w:t>
      </w:r>
    </w:p>
    <w:p>
      <w:pPr>
        <w:sectPr>
          <w:pgSz w:w="11900" w:h="16894" w:orient="portrait"/>
          <w:cols w:equalWidth="0" w:num="1">
            <w:col w:w="11240"/>
          </w:cols>
          <w:pgMar w:left="320" w:top="226" w:right="339" w:bottom="0" w:gutter="0" w:footer="0" w:header="0"/>
        </w:sectPr>
      </w:pPr>
    </w:p>
    <w:bookmarkStart w:id="1" w:name="page2"/>
    <w:bookmarkEnd w:id="1"/>
    <w:p>
      <w:pPr>
        <w:ind w:right="340"/>
        <w:spacing w:after="0" w:line="229"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4" w:lineRule="exact"/>
        <w:rPr>
          <w:sz w:val="20"/>
          <w:szCs w:val="20"/>
          <w:color w:val="auto"/>
        </w:rPr>
      </w:pPr>
    </w:p>
    <w:p>
      <w:pPr>
        <w:ind w:right="60"/>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0" w:lineRule="exact"/>
        <w:rPr>
          <w:sz w:val="20"/>
          <w:szCs w:val="20"/>
          <w:color w:val="auto"/>
        </w:rPr>
      </w:pPr>
    </w:p>
    <w:p>
      <w:pPr>
        <w:spacing w:after="0" w:line="230" w:lineRule="exact"/>
        <w:tabs>
          <w:tab w:leader="none" w:pos="7260" w:val="left"/>
          <w:tab w:leader="none" w:pos="792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0"/>
          <w:szCs w:val="20"/>
          <w:color w:val="auto"/>
        </w:rPr>
        <w:t>☒</w:t>
      </w:r>
    </w:p>
    <w:p>
      <w:pPr>
        <w:spacing w:after="0" w:line="26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aggregate market value of 12,827,241 shares of the voting common equity held by non-affiliates of the registrant as of June 30, 2024, the last day of the registrant’s most recently completed second fiscal quarter, was approximately $110,186,000. Directors, executive officers, and trusts controlled by said individuals are considered affiliates for the purpose of this calculation and may not necessarily be considered affiliates for any other purpose.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common stock, par value $0.01 per share, outstanding as of February 28, 2025, was 22,162,879.</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2"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Parts of the registrant’s definitive proxy statement for the 2025 Annual Meeting of Stockholders to be filed pursuant to Regulation 14A under the Securities Exchange Act of 1934 are incorporated by reference in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692785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7138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32385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9"/>
          </w:tcPr>
          <w:p>
            <w:pPr>
              <w:jc w:val="center"/>
              <w:ind w:right="3420"/>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114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20" w:type="dxa"/>
            <w:vAlign w:val="bottom"/>
            <w:gridSpan w:val="9"/>
          </w:tcPr>
          <w:p>
            <w:pPr>
              <w:jc w:val="center"/>
              <w:ind w:right="3420"/>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1140" w:type="dxa"/>
            <w:vAlign w:val="bottom"/>
          </w:tcPr>
          <w:p>
            <w:pPr>
              <w:spacing w:after="0"/>
              <w:rPr>
                <w:sz w:val="19"/>
                <w:szCs w:val="19"/>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9"/>
          </w:tcPr>
          <w:p>
            <w:pPr>
              <w:jc w:val="center"/>
              <w:ind w:right="34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40" w:type="dxa"/>
            <w:vAlign w:val="bottom"/>
          </w:tcPr>
          <w:p>
            <w:pPr>
              <w:spacing w:after="0"/>
              <w:rPr>
                <w:sz w:val="24"/>
                <w:szCs w:val="24"/>
                <w:color w:val="auto"/>
              </w:rPr>
            </w:pPr>
          </w:p>
        </w:tc>
      </w:tr>
      <w:tr>
        <w:trPr>
          <w:trHeight w:val="465"/>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1A.</w:t>
            </w:r>
          </w:p>
        </w:tc>
        <w:tc>
          <w:tcPr>
            <w:tcW w:w="180" w:type="dxa"/>
            <w:vAlign w:val="bottom"/>
          </w:tcPr>
          <w:p>
            <w:pPr>
              <w:spacing w:after="0"/>
              <w:rPr>
                <w:sz w:val="17"/>
                <w:szCs w:val="17"/>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840" w:type="dxa"/>
            <w:vAlign w:val="bottom"/>
            <w:gridSpan w:val="17"/>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1B.</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1C.</w:t>
            </w:r>
          </w:p>
        </w:tc>
        <w:tc>
          <w:tcPr>
            <w:tcW w:w="180" w:type="dxa"/>
            <w:vAlign w:val="bottom"/>
          </w:tcPr>
          <w:p>
            <w:pPr>
              <w:spacing w:after="0"/>
              <w:rPr>
                <w:sz w:val="17"/>
                <w:szCs w:val="17"/>
                <w:color w:val="auto"/>
              </w:rPr>
            </w:pPr>
          </w:p>
        </w:tc>
        <w:tc>
          <w:tcPr>
            <w:tcW w:w="9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Cybersecurity</w:t>
            </w:r>
          </w:p>
        </w:tc>
        <w:tc>
          <w:tcPr>
            <w:tcW w:w="980" w:type="dxa"/>
            <w:vAlign w:val="bottom"/>
            <w:tcBorders>
              <w:top w:val="single" w:sz="8" w:color="0000FF"/>
            </w:tcBorders>
            <w:gridSpan w:val="4"/>
          </w:tcPr>
          <w:p>
            <w:pPr>
              <w:spacing w:after="0"/>
              <w:rPr>
                <w:sz w:val="17"/>
                <w:szCs w:val="17"/>
                <w:color w:val="auto"/>
              </w:rPr>
            </w:pPr>
          </w:p>
        </w:tc>
        <w:tc>
          <w:tcPr>
            <w:tcW w:w="6760" w:type="dxa"/>
            <w:vAlign w:val="bottom"/>
            <w:gridSpan w:val="12"/>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r>
      <w:tr>
        <w:trPr>
          <w:trHeight w:val="458"/>
        </w:trPr>
        <w:tc>
          <w:tcPr>
            <w:tcW w:w="2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0000FF"/>
                <w:w w:val="94"/>
              </w:rPr>
              <w:t>PART II</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w:t>
            </w:r>
          </w:p>
        </w:tc>
        <w:tc>
          <w:tcPr>
            <w:tcW w:w="180" w:type="dxa"/>
            <w:vAlign w:val="bottom"/>
          </w:tcPr>
          <w:p>
            <w:pPr>
              <w:spacing w:after="0"/>
              <w:rPr>
                <w:sz w:val="17"/>
                <w:szCs w:val="17"/>
                <w:color w:val="auto"/>
              </w:rPr>
            </w:pPr>
          </w:p>
        </w:tc>
        <w:tc>
          <w:tcPr>
            <w:tcW w:w="77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[Reserved]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w:t>
            </w: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7A.</w:t>
            </w:r>
          </w:p>
        </w:tc>
        <w:tc>
          <w:tcPr>
            <w:tcW w:w="180" w:type="dxa"/>
            <w:vAlign w:val="bottom"/>
          </w:tcPr>
          <w:p>
            <w:pPr>
              <w:spacing w:after="0"/>
              <w:rPr>
                <w:sz w:val="17"/>
                <w:szCs w:val="17"/>
                <w:color w:val="auto"/>
              </w:rPr>
            </w:pPr>
          </w:p>
        </w:tc>
        <w:tc>
          <w:tcPr>
            <w:tcW w:w="61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540" w:type="dxa"/>
            <w:vAlign w:val="bottom"/>
            <w:gridSpan w:val="4"/>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w:t>
            </w:r>
          </w:p>
        </w:tc>
        <w:tc>
          <w:tcPr>
            <w:tcW w:w="18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980" w:type="dxa"/>
            <w:vAlign w:val="bottom"/>
            <w:tcBorders>
              <w:top w:val="single" w:sz="8" w:color="0000FF"/>
            </w:tcBorders>
            <w:gridSpan w:val="2"/>
          </w:tcPr>
          <w:p>
            <w:pPr>
              <w:spacing w:after="0"/>
              <w:rPr>
                <w:sz w:val="17"/>
                <w:szCs w:val="17"/>
                <w:color w:val="auto"/>
              </w:rPr>
            </w:pPr>
          </w:p>
        </w:tc>
        <w:tc>
          <w:tcPr>
            <w:tcW w:w="4540" w:type="dxa"/>
            <w:vAlign w:val="bottom"/>
            <w:gridSpan w:val="7"/>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9A.</w:t>
            </w:r>
          </w:p>
        </w:tc>
        <w:tc>
          <w:tcPr>
            <w:tcW w:w="180" w:type="dxa"/>
            <w:vAlign w:val="bottom"/>
          </w:tcPr>
          <w:p>
            <w:pPr>
              <w:spacing w:after="0"/>
              <w:rPr>
                <w:sz w:val="17"/>
                <w:szCs w:val="17"/>
                <w:color w:val="auto"/>
              </w:rPr>
            </w:pPr>
          </w:p>
        </w:tc>
        <w:tc>
          <w:tcPr>
            <w:tcW w:w="61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520" w:type="dxa"/>
            <w:vAlign w:val="bottom"/>
            <w:gridSpan w:val="3"/>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9B.</w:t>
            </w:r>
          </w:p>
        </w:tc>
        <w:tc>
          <w:tcPr>
            <w:tcW w:w="180" w:type="dxa"/>
            <w:vAlign w:val="bottom"/>
          </w:tcPr>
          <w:p>
            <w:pPr>
              <w:spacing w:after="0"/>
              <w:rPr>
                <w:sz w:val="17"/>
                <w:szCs w:val="17"/>
                <w:color w:val="auto"/>
              </w:rPr>
            </w:pPr>
          </w:p>
        </w:tc>
        <w:tc>
          <w:tcPr>
            <w:tcW w:w="1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020" w:type="dxa"/>
            <w:vAlign w:val="bottom"/>
            <w:gridSpan w:val="14"/>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9C.</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458"/>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11.</w:t>
            </w:r>
          </w:p>
        </w:tc>
        <w:tc>
          <w:tcPr>
            <w:tcW w:w="18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Executive Compensation</w:t>
            </w:r>
          </w:p>
        </w:tc>
        <w:tc>
          <w:tcPr>
            <w:tcW w:w="2180" w:type="dxa"/>
            <w:vAlign w:val="bottom"/>
            <w:tcBorders>
              <w:top w:val="single" w:sz="8" w:color="0000FF"/>
            </w:tcBorders>
            <w:gridSpan w:val="5"/>
          </w:tcPr>
          <w:p>
            <w:pPr>
              <w:spacing w:after="0"/>
              <w:rPr>
                <w:sz w:val="17"/>
                <w:szCs w:val="17"/>
                <w:color w:val="auto"/>
              </w:rPr>
            </w:pPr>
          </w:p>
        </w:tc>
        <w:tc>
          <w:tcPr>
            <w:tcW w:w="4800" w:type="dxa"/>
            <w:vAlign w:val="bottom"/>
            <w:gridSpan w:val="8"/>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w:t>
            </w:r>
          </w:p>
        </w:tc>
        <w:tc>
          <w:tcPr>
            <w:tcW w:w="18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w:t>
            </w:r>
          </w:p>
        </w:tc>
        <w:tc>
          <w:tcPr>
            <w:tcW w:w="180" w:type="dxa"/>
            <w:vAlign w:val="bottom"/>
          </w:tcPr>
          <w:p>
            <w:pPr>
              <w:spacing w:after="0"/>
              <w:rPr>
                <w:sz w:val="17"/>
                <w:szCs w:val="17"/>
                <w:color w:val="auto"/>
              </w:rPr>
            </w:pPr>
          </w:p>
        </w:tc>
        <w:tc>
          <w:tcPr>
            <w:tcW w:w="69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40" w:type="dxa"/>
            <w:vAlign w:val="bottom"/>
            <w:gridSpan w:val="2"/>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w:t>
            </w:r>
          </w:p>
        </w:tc>
        <w:tc>
          <w:tcPr>
            <w:tcW w:w="180" w:type="dxa"/>
            <w:vAlign w:val="bottom"/>
          </w:tcPr>
          <w:p>
            <w:pPr>
              <w:spacing w:after="0"/>
              <w:rPr>
                <w:sz w:val="17"/>
                <w:szCs w:val="17"/>
                <w:color w:val="auto"/>
              </w:rPr>
            </w:pPr>
          </w:p>
        </w:tc>
        <w:tc>
          <w:tcPr>
            <w:tcW w:w="52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3500" w:type="dxa"/>
            <w:vAlign w:val="bottom"/>
            <w:gridSpan w:val="5"/>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458"/>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568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w:t>
            </w:r>
          </w:p>
        </w:tc>
        <w:tc>
          <w:tcPr>
            <w:tcW w:w="180" w:type="dxa"/>
            <w:vAlign w:val="bottom"/>
          </w:tcPr>
          <w:p>
            <w:pPr>
              <w:spacing w:after="0"/>
              <w:rPr>
                <w:sz w:val="17"/>
                <w:szCs w:val="17"/>
                <w:color w:val="auto"/>
              </w:rPr>
            </w:pPr>
          </w:p>
        </w:tc>
        <w:tc>
          <w:tcPr>
            <w:tcW w:w="3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5680" w:type="dxa"/>
            <w:vAlign w:val="bottom"/>
            <w:gridSpan w:val="10"/>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96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60" w:type="dxa"/>
            <w:vAlign w:val="bottom"/>
            <w:gridSpan w:val="16"/>
          </w:tcPr>
          <w:p>
            <w:pPr>
              <w:jc w:val="center"/>
              <w:ind w:left="3854"/>
              <w:spacing w:after="0"/>
              <w:rPr>
                <w:sz w:val="20"/>
                <w:szCs w:val="20"/>
                <w:color w:val="auto"/>
              </w:rPr>
            </w:pPr>
            <w:r>
              <w:rPr>
                <w:rFonts w:ascii="Times New Roman" w:cs="Times New Roman" w:eastAsia="Times New Roman" w:hAnsi="Times New Roman"/>
                <w:sz w:val="17"/>
                <w:szCs w:val="17"/>
                <w:color w:val="auto"/>
                <w:w w:val="93"/>
              </w:rPr>
              <w:t>1</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This Annual Report on Form 10-K of Lifetime Brands, Inc. (the “Company” and, unless the context otherwise requires, references to the “Company” shall include its consolidated subsidiaries) contains “forward-looking statements” within the meaning of Section 27A of the Securities Act of 1933, as amended (the “Securities Act”), and Section 21E of the Securities Exchange Act of 1934, as amended (the “Exchange Act”). These forward-looking statements include information concerning, among other things,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included in Item 1 of Part I and Item 7 of Part II, respectively. When used in this Annual Report on Form 10-K, the words “estimates,” “expects,” “anticipates,” “projects,” “plans,” “intends,” “believes,” “may,” “should,” “seeks,” “will,” “potential” and variations of such words or similar expressions are intended to identify forward-looking statements. All forward-looking statements, including, without limitation, the Company’s assessment of historical operating trends and the application of that assessment with regards to future periods, are based upon the Company’s current expectations, projections, various assumptions, intentions and/or beliefs related to future events or occurrences. The Company believes there is a reasonable basis for its expectations and assumptions, but there can be no assurance that the Company will realize its expectations or that the Company’s assumptions will prove correct.</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The timing of certain events and circumstances and known and unknown risks and uncertainties could cause our actual results or performance to be materially different from those expressed or implied by these forward-looking statements. Accordingly, you should not place undue reliance on these forward-looking statements in deciding whether to invest in our securities.</w:t>
      </w:r>
    </w:p>
    <w:p>
      <w:pPr>
        <w:spacing w:after="0" w:line="173"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Annual Report on Form 10-K.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We are subject to a variety of risks and uncertainties. The following is a summary of the principal risks that we deem material to an investment in our common stock, all of which are more fully described in, and should be read in conjunction with, Item 1A. “Risk Factors”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risks</w:t>
      </w:r>
    </w:p>
    <w:p>
      <w:pPr>
        <w:spacing w:after="0" w:line="54" w:lineRule="exact"/>
        <w:rPr>
          <w:sz w:val="20"/>
          <w:szCs w:val="20"/>
          <w:color w:val="auto"/>
        </w:rPr>
      </w:pPr>
    </w:p>
    <w:p>
      <w:pPr>
        <w:ind w:left="620" w:hanging="307"/>
        <w:spacing w:after="0" w:line="236"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business may be materially adversely affected by market conditions and by global and economic conditions and other factors beyond its control.</w:t>
      </w:r>
    </w:p>
    <w:p>
      <w:pPr>
        <w:spacing w:after="0" w:line="22" w:lineRule="exact"/>
        <w:rPr>
          <w:rFonts w:ascii="Times New Roman" w:cs="Times New Roman" w:eastAsia="Times New Roman" w:hAnsi="Times New Roman"/>
          <w:sz w:val="21"/>
          <w:szCs w:val="21"/>
          <w:color w:val="auto"/>
        </w:rPr>
      </w:pPr>
    </w:p>
    <w:p>
      <w:pPr>
        <w:ind w:left="620" w:right="420" w:hanging="307"/>
        <w:spacing w:after="0" w:line="236"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results of operations could be negatively impacted by inflation or deflation in supply chain costs, including raw materials, sourcing, transportation and energy, and other price fluctuations caused by factors beyond its control.</w:t>
      </w:r>
    </w:p>
    <w:p>
      <w:pPr>
        <w:spacing w:after="0" w:line="22" w:lineRule="exact"/>
        <w:rPr>
          <w:rFonts w:ascii="Times New Roman" w:cs="Times New Roman" w:eastAsia="Times New Roman" w:hAnsi="Times New Roman"/>
          <w:sz w:val="21"/>
          <w:szCs w:val="21"/>
          <w:color w:val="auto"/>
        </w:rPr>
      </w:pPr>
    </w:p>
    <w:p>
      <w:pPr>
        <w:ind w:left="620" w:hanging="307"/>
        <w:spacing w:after="0" w:line="243"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business may be materially adversely affected by the imposition of duties and tariffs and other trade barriers and retaliatory countermeasures implemented by the U.S. and other governments.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financial risks</w:t>
      </w:r>
    </w:p>
    <w:p>
      <w:pPr>
        <w:spacing w:after="0" w:line="36" w:lineRule="exact"/>
        <w:rPr>
          <w:sz w:val="20"/>
          <w:szCs w:val="20"/>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has substantial indebtedness and the highly seasonal nature of the Company’s business impacts its borrowing needs.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failure to meet certain covenants or comply with other requirements of its Debt Agreements (as defined below) may materially and adversely affect the Company’s assets, financial position and cash flows.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borrowings are subject to interest rate fluctuations and an increase in interest rates could adversely affect the Company’s financial results.</w:t>
      </w:r>
    </w:p>
    <w:p>
      <w:pPr>
        <w:spacing w:after="0" w:line="22" w:lineRule="exact"/>
        <w:rPr>
          <w:rFonts w:ascii="Arial" w:cs="Arial" w:eastAsia="Arial" w:hAnsi="Arial"/>
          <w:sz w:val="21"/>
          <w:szCs w:val="21"/>
          <w:color w:val="auto"/>
        </w:rPr>
      </w:pPr>
    </w:p>
    <w:p>
      <w:pPr>
        <w:ind w:left="620" w:hanging="307"/>
        <w:spacing w:after="0" w:line="243"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inability to complete future acquisitions or strategic alliances and/or integrate acquired businesses could have a material adverse effect on the Company’s business and results of operations.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Foreign exchange variability and currency controls could materially adversely affect the Company’s operating results and financial condition.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business requires it to maintain large fixed costs that can affect its profitability.</w:t>
      </w:r>
    </w:p>
    <w:p>
      <w:pPr>
        <w:spacing w:after="0" w:line="14" w:lineRule="exact"/>
        <w:rPr>
          <w:rFonts w:ascii="Arial" w:cs="Arial" w:eastAsia="Arial" w:hAnsi="Arial"/>
          <w:sz w:val="21"/>
          <w:szCs w:val="21"/>
          <w:color w:val="auto"/>
        </w:rPr>
      </w:pPr>
    </w:p>
    <w:p>
      <w:pPr>
        <w:ind w:left="620" w:hanging="307"/>
        <w:spacing w:after="0" w:line="230" w:lineRule="auto"/>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Cost reduction efforts may not be successful and restructuring benefits may not be realized.</w:t>
      </w:r>
    </w:p>
    <w:p>
      <w:pPr>
        <w:spacing w:after="0" w:line="22" w:lineRule="exact"/>
        <w:rPr>
          <w:rFonts w:ascii="Arial" w:cs="Arial" w:eastAsia="Arial" w:hAnsi="Arial"/>
          <w:sz w:val="21"/>
          <w:szCs w:val="21"/>
          <w:color w:val="auto"/>
        </w:rPr>
      </w:pPr>
    </w:p>
    <w:p>
      <w:pPr>
        <w:ind w:left="620" w:hanging="307"/>
        <w:spacing w:after="0" w:line="243"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If the Company’s goodwill or other long-term assets become impaired, the Company will be required to record impairment charges, which may be significant.</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projections of product demand, sales and net income are highly subjective in nature and the Company’s future sales and net income could vary materially from the Company’s projections.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Increases in the cost of employee benefits could materially adversely impact the Company’s financial results and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risks</w:t>
      </w:r>
    </w:p>
    <w:p>
      <w:pPr>
        <w:spacing w:after="0" w:line="54" w:lineRule="exact"/>
        <w:rPr>
          <w:sz w:val="20"/>
          <w:szCs w:val="20"/>
          <w:color w:val="auto"/>
        </w:rPr>
      </w:pPr>
    </w:p>
    <w:p>
      <w:pPr>
        <w:ind w:left="620" w:hanging="307"/>
        <w:spacing w:after="0" w:line="236"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Company’s customer purchasing practices could materially adversely affect the Company’s operating results.</w:t>
      </w:r>
    </w:p>
    <w:p>
      <w:pPr>
        <w:spacing w:after="0" w:line="22" w:lineRule="exact"/>
        <w:rPr>
          <w:rFonts w:ascii="Arial" w:cs="Arial" w:eastAsia="Arial" w:hAnsi="Arial"/>
          <w:sz w:val="21"/>
          <w:szCs w:val="21"/>
          <w:color w:val="auto"/>
        </w:rPr>
      </w:pPr>
    </w:p>
    <w:p>
      <w:pPr>
        <w:ind w:left="620" w:hanging="307"/>
        <w:spacing w:after="0" w:line="243"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Changes at the Company’s large customers, or actions taken by them, and consolidation in the retail industry could materially adversely affect the Company’s operating results.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Demand for new products and the inability to develop and introduce new competitive products at favorable profit margins could adversely affect the Company’s performance and prospects for future growth.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chain risks</w:t>
      </w:r>
    </w:p>
    <w:p>
      <w:pPr>
        <w:spacing w:after="0" w:line="54" w:lineRule="exact"/>
        <w:rPr>
          <w:sz w:val="20"/>
          <w:szCs w:val="20"/>
          <w:color w:val="auto"/>
        </w:rPr>
      </w:pPr>
    </w:p>
    <w:p>
      <w:pPr>
        <w:ind w:left="620" w:right="20" w:hanging="307"/>
        <w:spacing w:after="0" w:line="236" w:lineRule="auto"/>
        <w:tabs>
          <w:tab w:leader="none" w:pos="61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reliance on international suppliers subjects the Company to regional regulatory, man-made or natural disasters, health epidemics, political or military conflicts, and economic and foreign currency exchange risk that could materially and adversely affect the Company’s operating results.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international trade activity subjects it to transportation risks.</w:t>
      </w:r>
    </w:p>
    <w:p>
      <w:pPr>
        <w:spacing w:after="0" w:line="14" w:lineRule="exact"/>
        <w:rPr>
          <w:rFonts w:ascii="Arial" w:cs="Arial" w:eastAsia="Arial" w:hAnsi="Arial"/>
          <w:sz w:val="21"/>
          <w:szCs w:val="21"/>
          <w:color w:val="auto"/>
        </w:rPr>
      </w:pPr>
    </w:p>
    <w:p>
      <w:pPr>
        <w:ind w:left="620" w:hanging="307"/>
        <w:spacing w:after="0" w:line="230"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depends on third-party manufacturers to produce the majority of its products, which presents quality control risks to the Company.</w:t>
      </w:r>
    </w:p>
    <w:p>
      <w:pPr>
        <w:spacing w:after="0" w:line="14" w:lineRule="exact"/>
        <w:rPr>
          <w:rFonts w:ascii="Arial" w:cs="Arial" w:eastAsia="Arial" w:hAnsi="Arial"/>
          <w:sz w:val="21"/>
          <w:szCs w:val="21"/>
          <w:color w:val="auto"/>
        </w:rPr>
      </w:pPr>
    </w:p>
    <w:p>
      <w:pPr>
        <w:ind w:left="620" w:hanging="307"/>
        <w:spacing w:after="0" w:line="230"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product costs are subject to price fluctuation.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risks</w:t>
      </w:r>
    </w:p>
    <w:p>
      <w:pPr>
        <w:spacing w:after="0" w:line="36" w:lineRule="exact"/>
        <w:rPr>
          <w:sz w:val="20"/>
          <w:szCs w:val="20"/>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loss of certain licenses or material changes in royalty rates could materially adversely affect the Company’s operating margin and cash flow.</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may not be able to adequately establish or protect its intellectual property rights, and the infringement or loss of the Company’s intellectual property rights could harm its business.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If the Company is unable to protect the confidentiality of its proprietary information and know-how, the value of the Company’s technology, products and services could be harmed significantly.</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brands are subject to reputational risks and damage to the Company’s brands or reputation could adversely affect its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and regulatory risks</w:t>
      </w:r>
    </w:p>
    <w:p>
      <w:pPr>
        <w:spacing w:after="0" w:line="36" w:lineRule="exact"/>
        <w:rPr>
          <w:sz w:val="20"/>
          <w:szCs w:val="20"/>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Interruptions in the Company’s operations caused by outside forces could cause material losses.</w:t>
      </w:r>
    </w:p>
    <w:p>
      <w:pPr>
        <w:spacing w:after="0" w:line="34"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international operations present special challenges that the Company may not be able to meet, and this could materially and adversely affect the Company’s financial results.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New and future laws and regulations governing the Internet and e-commerce could have a material adverse effect on the Company’s business, results of operations and financial condition.</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A failure in or compromise of the Company’s operating systems or infrastructure or those of third parties could disrupt the Company’s business and cause losses.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ind w:left="620" w:hanging="307"/>
        <w:spacing w:after="0" w:line="236"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is subject to cyber security and ransomware risks and may incur increasing costs in efforts to minimize those risks and to comply with regulatory standards.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sells consumer products which involve an inherent risk of product liability claims.</w:t>
      </w:r>
    </w:p>
    <w:p>
      <w:pPr>
        <w:spacing w:after="0" w:line="22" w:lineRule="exact"/>
        <w:rPr>
          <w:rFonts w:ascii="Arial" w:cs="Arial" w:eastAsia="Arial" w:hAnsi="Arial"/>
          <w:sz w:val="21"/>
          <w:szCs w:val="21"/>
          <w:color w:val="auto"/>
        </w:rPr>
      </w:pPr>
    </w:p>
    <w:p>
      <w:pPr>
        <w:ind w:left="620" w:hanging="307"/>
        <w:spacing w:after="0" w:line="243"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may incur material costs due to environmental liabilities which could have a material adverse effect on the Company’s business, financial condition and results of operations.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executives and other key employees are critical to the Company’s success. The loss of and/or failure to attract and maintain its highly skilled employees could adversely affect the Company’s business.</w:t>
      </w:r>
    </w:p>
    <w:p>
      <w:pPr>
        <w:spacing w:after="0" w:line="22"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As a result of the Company’s prior acquisition of Filament, Taylor Parent has significant influence over the Company and its interests may conflict with the Company’s or those of its stockholders in the future.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OTHER INFORMATION</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Times New Roman" w:cs="Times New Roman" w:eastAsia="Times New Roman" w:hAnsi="Times New Roman"/>
          <w:sz w:val="17"/>
          <w:szCs w:val="17"/>
          <w:i w:val="1"/>
          <w:iCs w:val="1"/>
          <w:u w:val="single" w:color="auto"/>
          <w:color w:val="auto"/>
        </w:rPr>
        <w:t>http://www.lifetimebrands.com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contained on this website is not a part of or incorporated by reference into this Annual Report. The Company makes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Times New Roman" w:cs="Times New Roman" w:eastAsia="Times New Roman" w:hAnsi="Times New Roman"/>
          <w:sz w:val="17"/>
          <w:szCs w:val="17"/>
          <w:i w:val="1"/>
          <w:iCs w:val="1"/>
          <w:u w:val="single" w:color="auto"/>
          <w:color w:val="auto"/>
        </w:rPr>
        <w:t>http://www.sec.gov</w:t>
      </w:r>
      <w:r>
        <w:rPr>
          <w:rFonts w:ascii="Times New Roman" w:cs="Times New Roman" w:eastAsia="Times New Roman" w:hAnsi="Times New Roman"/>
          <w:sz w:val="17"/>
          <w:szCs w:val="17"/>
          <w:i w:val="1"/>
          <w:iCs w:val="1"/>
          <w:color w:val="auto"/>
        </w:rPr>
        <w:t>.</w:t>
      </w:r>
    </w:p>
    <w:p>
      <w:pPr>
        <w:spacing w:after="0" w:line="177"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7"/>
          <w:szCs w:val="17"/>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0"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Company continually evaluates opportunities to expand the reach of its brands and to invest in other companies, both foreign and domestic, that own or license complementary brands.</w:t>
      </w:r>
    </w:p>
    <w:p>
      <w:pPr>
        <w:spacing w:after="0" w:line="15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Company has a presence in international markets through subsidiaries and affiliate companies that are based outside of the United States. In Europe, the Company operates two wholly-owned subsidiaries to sell the Company’s products in the United Kingdom (“U.K.”) and countries within the European Union. The brand development and design teams, administrative teams, and distribution for its international operations operate out of a state of the art facility in Aston, England as well as a third-party distribution facility located in Rotterdam, Netherlands.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also has a subsidiary in the People’s Republic of China (“China”) to supply the Company’s products to the Chinese market and subsidiaries based in Hong Kong, Australia and New Zealand to facilitate the sale of its products to Asia Pacific region and smaller markets elsewhere in the world. The Company has a presence in Canada through a strategic alliance with a Canadian company to distribute many of the Company’s products in Canada.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a Delaware corporation, incorporated on December 22, 1983.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top brands and their respective product categories as of December 31, 2024 are: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Brand</w:t>
            </w: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Licensed/Owned</w:t>
            </w:r>
          </w:p>
        </w:tc>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Product Category</w:t>
            </w:r>
          </w:p>
        </w:tc>
      </w:tr>
      <w:tr>
        <w:trPr>
          <w:trHeight w:val="32"/>
        </w:trPr>
        <w:tc>
          <w:tcPr>
            <w:tcW w:w="2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Farberware®</w:t>
            </w:r>
          </w:p>
        </w:tc>
        <w:tc>
          <w:tcPr>
            <w:tcW w:w="100" w:type="dxa"/>
            <w:vAlign w:val="bottom"/>
          </w:tcPr>
          <w:p>
            <w:pPr>
              <w:spacing w:after="0"/>
              <w:rPr>
                <w:sz w:val="18"/>
                <w:szCs w:val="18"/>
                <w:color w:val="auto"/>
              </w:rPr>
            </w:pPr>
          </w:p>
        </w:tc>
        <w:tc>
          <w:tcPr>
            <w:tcW w:w="1280" w:type="dxa"/>
            <w:vAlign w:val="bottom"/>
          </w:tcPr>
          <w:p>
            <w:pPr>
              <w:ind w:left="20"/>
              <w:spacing w:after="0" w:line="209" w:lineRule="exact"/>
              <w:rPr>
                <w:sz w:val="20"/>
                <w:szCs w:val="20"/>
                <w:color w:val="auto"/>
              </w:rPr>
            </w:pPr>
            <w:r>
              <w:rPr>
                <w:rFonts w:ascii="Times New Roman" w:cs="Times New Roman" w:eastAsia="Times New Roman" w:hAnsi="Times New Roman"/>
                <w:sz w:val="17"/>
                <w:szCs w:val="17"/>
                <w:color w:val="auto"/>
              </w:rPr>
              <w:t xml:space="preserve">Licensed </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Kitchenware</w:t>
            </w:r>
          </w:p>
        </w:tc>
      </w:tr>
      <w:tr>
        <w:trPr>
          <w:trHeight w:val="22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Mikasa®</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Tableware and Home Solutions</w:t>
            </w:r>
          </w:p>
        </w:tc>
      </w:tr>
      <w:tr>
        <w:trPr>
          <w:trHeight w:val="22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KitchenAid®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Licensed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Kitchenware</w:t>
            </w:r>
          </w:p>
        </w:tc>
      </w:tr>
      <w:tr>
        <w:trPr>
          <w:trHeight w:val="22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Taylor®</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Kitchenware and Home Solutions</w:t>
            </w:r>
          </w:p>
        </w:tc>
      </w:tr>
      <w:tr>
        <w:trPr>
          <w:trHeight w:val="22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Pfaltzgraff®</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Kitchenware, Tableware and Home Solutions</w:t>
            </w:r>
          </w:p>
        </w:tc>
      </w:tr>
      <w:tr>
        <w:trPr>
          <w:trHeight w:val="22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Fred® &amp; Friends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Kitchenware</w:t>
            </w:r>
          </w:p>
        </w:tc>
      </w:tr>
      <w:tr>
        <w:trPr>
          <w:trHeight w:val="22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Kamenstein®</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Kitchenware</w:t>
            </w:r>
          </w:p>
        </w:tc>
      </w:tr>
      <w:tr>
        <w:trPr>
          <w:trHeight w:val="22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BUILT NY®</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Home Solutions</w:t>
            </w:r>
          </w:p>
        </w:tc>
      </w:tr>
      <w:tr>
        <w:trPr>
          <w:trHeight w:val="220"/>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S'well®</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Home Solutions</w:t>
            </w:r>
          </w:p>
        </w:tc>
      </w:tr>
      <w:tr>
        <w:trPr>
          <w:trHeight w:val="223"/>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Rabbit®</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Kitchenware</w:t>
            </w:r>
          </w:p>
        </w:tc>
      </w:tr>
    </w:tbl>
    <w:p>
      <w:pPr>
        <w:spacing w:after="0" w:line="121" w:lineRule="exact"/>
        <w:rPr>
          <w:sz w:val="20"/>
          <w:szCs w:val="20"/>
          <w:color w:val="auto"/>
        </w:rPr>
      </w:pPr>
    </w:p>
    <w:p>
      <w:pPr>
        <w:ind w:left="460" w:right="460" w:hanging="457"/>
        <w:spacing w:after="0" w:line="217" w:lineRule="auto"/>
        <w:tabs>
          <w:tab w:leader="none" w:pos="44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has a royalty free license to utilize the Farberware® brand, primarily for its kitchenware products, for a term that expires in 2195, subject to earlier termination under certain circumstances.</w:t>
      </w:r>
    </w:p>
    <w:p>
      <w:pPr>
        <w:spacing w:after="0" w:line="20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Company sources almost all of its products from suppliers located outside the United States, primarily in China. The Company manufactures its sterling silver products at a leased facility in San Germán, Puerto Rico and fills canisters with spices and assembles spice racks at its owned distribution facility in Winchendon, Massachusetts. The Company has manufacturing operations in Mexico to manufacture certain of the Company’s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The Company has two reportable operating segments, U.S. and International. The U.S. segment includes the domestic operations of the Company’s business that design, market and distribute its products to retailers, distributors and directly to consumers through retail websites. The International segment consists of certain business operations conducted outside the U.S.</w:t>
      </w:r>
    </w:p>
    <w:p>
      <w:pPr>
        <w:spacing w:after="0" w:line="167"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Additional information regarding the Company’s reportable segments is included in NOTE 12 — BUSINESS SEGMENTS of the Notes to the consolidated financial statements included in Item 15.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Company’s wholesale customers include mass market merchants, specialty stores, department stores, warehouse clubs, grocery stores, off-price retailers, food service distributors, food and beverage outlets, corporate sales and e-commerce.</w:t>
      </w:r>
    </w:p>
    <w:p>
      <w:pPr>
        <w:spacing w:after="0" w:line="15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Company’s products are sold globally to a diverse customer base including mass market merchants (such as Walmart and Target), specialty stores (such as Williams Sonoma and Dunelm), department stores (such as Macy’s, Kohl’s and Belk), warehouse clubs (such as Costco, and BJs), grocery stores (such as Publix, Kroger, Meijer, and Winn-Dixie), off-price retailers (such as TJX Companies and Ross Stores), food service distributors (such as US Foods, Clark Food Service and Jetro), food and beverage outlets (such as Starbucks) and e-commerce (such as Amazon). The Company also does business with independent retailers, including through business-to-business websites aimed at independent retailers.</w:t>
      </w:r>
    </w:p>
    <w:p>
      <w:pPr>
        <w:spacing w:after="0" w:line="17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The Company also operates its own consumer websites that provide information about the Company’s products and offer consumers the opportunity to purchase a limited selection of the Company’s products directly.</w:t>
      </w:r>
    </w:p>
    <w:p>
      <w:pPr>
        <w:spacing w:after="0" w:line="1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2024, 2023 and 2022, Wal-Mart Stores, Inc. (“Walmart”), accounted for 19%, 21% and 19% of consolidated net sales, respectively. During the years ended December 31, 2024, 2023, and 2022, sales to Costco Wholesale Corporation (“Costco”) accounted for 11%, 11%, and 13% of consolidated net sales. During the year ended December 31, 2024, 2023 and 2022, Amazon.com Inc., (“Amazon”), accounted for 13%, 11% and 11% of consolidated net sales. Sales to Costco and Amazon are included in the Company’s U.S. and International segments. No other customers accounted for 10% or more of the Company’s sales during these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w:t>
      </w:r>
    </w:p>
    <w:p>
      <w:pPr>
        <w:spacing w:after="0" w:line="11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The Company sells its products directly to retailers and, to a lesser extent, to distributors. The Company also sells a limited quantity of the Company’s products to individual consumers and smaller retailers through its own websites. The Company operates distribution facilities at the following locations: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60" w:type="dxa"/>
            <w:vAlign w:val="bottom"/>
            <w:gridSpan w:val="2"/>
          </w:tcPr>
          <w:p>
            <w:pPr>
              <w:jc w:val="right"/>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Size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260" w:type="dxa"/>
            <w:vAlign w:val="bottom"/>
            <w:gridSpan w:val="2"/>
            <w:vMerge w:val="continue"/>
          </w:tcPr>
          <w:p>
            <w:pPr>
              <w:spacing w:after="0"/>
              <w:rPr>
                <w:sz w:val="11"/>
                <w:szCs w:val="11"/>
                <w:color w:val="auto"/>
              </w:rPr>
            </w:pPr>
          </w:p>
        </w:tc>
        <w:tc>
          <w:tcPr>
            <w:tcW w:w="960" w:type="dxa"/>
            <w:vAlign w:val="bottom"/>
            <w:gridSpan w:val="2"/>
          </w:tcPr>
          <w:p>
            <w:pPr>
              <w:jc w:val="right"/>
              <w:ind w:right="280"/>
              <w:spacing w:after="0" w:line="117" w:lineRule="exact"/>
              <w:rPr>
                <w:sz w:val="20"/>
                <w:szCs w:val="20"/>
                <w:color w:val="auto"/>
              </w:rPr>
            </w:pPr>
            <w:r>
              <w:rPr>
                <w:rFonts w:ascii="Times New Roman" w:cs="Times New Roman" w:eastAsia="Times New Roman" w:hAnsi="Times New Roman"/>
                <w:sz w:val="13"/>
                <w:szCs w:val="13"/>
                <w:color w:val="auto"/>
              </w:rPr>
              <w:t>(square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Rialto, California</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703,000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Robbinsville, New Jersey</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Aston, England</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228,000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Winchendon, Massachusetts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175,000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Las Cruces, New Mexico</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Medford, Massachusetts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5,600</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Additionally, the Company uses third-party operated distribution facilities to supplement its distribution capacity, including a distribution facility located in Rotterdam, Netherlands. As of December 31, 2024, the Company occupied 27,000 square feet of this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9"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The Company’s sales and marketing staff coordinates directly with its wholesale customers to devise marketing strategies and merchandising concepts and to furnish advice on advertising and product promotion. The Company has developed many promotional programs for use in the ordinary course of business to promote sales throughout the year.</w:t>
      </w:r>
    </w:p>
    <w:p>
      <w:pPr>
        <w:spacing w:after="0" w:line="16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Company’s sales and marketing efforts are supported from its principal office and showroom in Garden City, New York, as well as showrooms in New York, New York; Medford, Massachusetts; Atlanta, Georgia; Bentonville, Arkansas; Issaquah, Washington; Pawtucket, Rhode Island; Menomonee Falls, Wisconsin; and Aston, England.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180"/>
        <w:spacing w:after="0" w:line="288" w:lineRule="auto"/>
        <w:rPr>
          <w:sz w:val="20"/>
          <w:szCs w:val="20"/>
          <w:color w:val="auto"/>
        </w:rPr>
      </w:pPr>
      <w:r>
        <w:rPr>
          <w:rFonts w:ascii="Times New Roman" w:cs="Times New Roman" w:eastAsia="Times New Roman" w:hAnsi="Times New Roman"/>
          <w:sz w:val="17"/>
          <w:szCs w:val="17"/>
          <w:color w:val="auto"/>
        </w:rPr>
        <w:t>The Company generally collaborates with its largest wholesale customers and in many instances produces specific versions of the Company’s product lines with exclusive designs and/or packaging for them.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DESIGN AND INNOVATION</w:t>
      </w:r>
    </w:p>
    <w:p>
      <w:pPr>
        <w:spacing w:after="0" w:line="11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At the heart of the Company is a culture of innovation and new product development. The Company’s global in-house design and development teams currently consist of approximately 70 professional designers, artists and engineers. Utilizing the latest available design tools, technology and materials, these teams create new products, redesign existing products and create packaging and merchandising concepts.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SUPPLY</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sources its products from hundreds of suppliers, almost all of which are located outside the United States. Most of the Company’s suppliers are located in China. The Company also sources products from suppliers across various countries including, Hong Kong, Taiwan, Japan, South Korea, Vietnam, Cambodia, Malaysia, Philippines, Thailand, India, the United States, Canada, Mexico, Argentina, Chile, Paraguay, Uruguay, the U.K., Italy, Portugal, Netherlands, Poland, Turkey, Czech Republic, Indonesia, Australia and New Zealand. The Company orders products significantly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contracts with third parties to manufacture the vast majority of its products.</w:t>
      </w:r>
    </w:p>
    <w:p>
      <w:pPr>
        <w:spacing w:after="0" w:line="218"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Company manufactures its sterling silver products at a leased manufacturing facility in San Germán, Puerto Rico and fills jars and other containers with spices and assembles spice racks at an owned facility in Winchendon, Massachusetts. The Company has manufacturing operations in Mexico to manufacture certain of the Company’s products.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markets for kitchenware, tableware and other products used in the home are highly competitive and include numerous domestic and foreign competitors, some of which are larger than the Company. The primary competitive factors in selling such products are innovative products, brand, quality, aesthetic appeal to consumers, packaging, breadth of product line, distribution capability and selling price.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LICENSES</w:t>
      </w:r>
    </w:p>
    <w:p>
      <w:pPr>
        <w:spacing w:after="0" w:line="119"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Company owns approximately 1,050 design and utility patents. The Company does not believe that the expiration of any of its patents would have a material adverse effect on either of the Company’s segments.</w:t>
      </w:r>
    </w:p>
    <w:p>
      <w:pPr>
        <w:spacing w:after="0" w:line="1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Company holds certain rights to use the Farberware brand for kitchen tools, cutlery, cutting boards, shears and certain other products which together represent a material portion of its sales, through a fully-paid, royalty-free license for a term that expires in 2195, subject to earlier termination under certain circumstances. The Company also holds a license to use the KitchenAid brand for certain products, including products for kitchen tools, cutlery and bakeware, subject to a license agreement that will expire in December 2026. The Company originally entered into a licensing arrangement for use of the KitchenAid brand in 2000, and has renewed the license, typically for three to four year periods, since that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1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The Company aspires to hire and retain the best and brightest employees. At December 31, 2024, the Company had approximately 1,180 full-time employees, of whom approximately 130 were located in Asia, 190 were located in Europe and 860 were located in the United States and Puerto Rico. The Company also hires seasonal workers at its distribution centers through temporary staffing agencies. None of the Company’s employees are represented by a labor union or subject to collective bargaining agreements, except as required by local law.</w:t>
      </w:r>
    </w:p>
    <w:p>
      <w:pPr>
        <w:spacing w:after="0" w:line="17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Company believes in the importance of the retention, growth and development of our employees. The Company believes it offers competitive compensation and benefits packages to its employees. Further, the Company offers professional development opportunities to cultivate talent throughout the Company. The Company also aims to foster an inclusive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its affiliates are subject to significant regulation by various governmental, regulatory and other administrative authorities.</w:t>
      </w:r>
    </w:p>
    <w:p>
      <w:pPr>
        <w:spacing w:after="0" w:line="21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As a manufacturer and distributor of consumer products, the Company is subject to the Consumer Products Safety Act in the United States and the Consumer Protection Act in the U.K. Additionally, laws regulating certain consumer products exist in some cities and states, as well as in other countries in which the Company or its subsidiaries and affiliates sell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spice filling operation and other certain scale products are regulated by the U.S. Food and Drug Administration.</w:t>
      </w:r>
    </w:p>
    <w:p>
      <w:pPr>
        <w:spacing w:after="0" w:line="218"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The Company’s operations are also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spacing w:after="0" w:line="1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 is subject to risks and uncertainties associated with economic and political conditions around the world, including but not limited to, foreign government regulations, taxes including value-added taxes, import and export duties/tariffs and quotas, anti-dumping regulations, incidents and fears involving security, man-made or natural disasters, health epidemics, terrorism and wars, political unrest and other restrictions on trade and travel.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Company’s business and working capital needs are seasonal with a majority of sales occurring in the third and fourth quarters. In 2024, net sales for the third and fourth quarters accounted for 58% of total annual net sales, respectively. In anticipation of the pre-holiday shipping season, inventory levels increase primarily in the June through October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Company’s businesses, operations, liquidity and financial condition are subject to various risks. The Company’s business, financial condition or results of operation could be materially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 as of the date hereof. We have grouped the risk factors into categories for ease of reading, and without any reflection on the importance of, or likelihood of, any particular category.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risks</w:t>
      </w:r>
    </w:p>
    <w:p>
      <w:pPr>
        <w:spacing w:after="0" w:line="216"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may be materially adversely affected by market conditions and by global and economic conditions and other factors beyond its control.</w:t>
      </w:r>
    </w:p>
    <w:p>
      <w:pPr>
        <w:spacing w:after="0" w:line="4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others:</w:t>
      </w:r>
    </w:p>
    <w:p>
      <w:pPr>
        <w:spacing w:after="0" w:line="64" w:lineRule="exact"/>
        <w:rPr>
          <w:sz w:val="20"/>
          <w:szCs w:val="20"/>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recession, inflation, deflation, unemployment and other factors adversely affecting consumer spending patterns generally;</w:t>
      </w:r>
    </w:p>
    <w:p>
      <w:pPr>
        <w:spacing w:after="0" w:line="114" w:lineRule="exact"/>
        <w:rPr>
          <w:rFonts w:ascii="Times New Roman" w:cs="Times New Roman" w:eastAsia="Times New Roman" w:hAnsi="Times New Roman"/>
          <w:sz w:val="17"/>
          <w:szCs w:val="17"/>
          <w:color w:val="auto"/>
        </w:rPr>
      </w:pPr>
    </w:p>
    <w:p>
      <w:pPr>
        <w:ind w:left="940" w:right="80" w:hanging="316"/>
        <w:spacing w:after="0" w:line="288"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policies, including tax policies relating to value-added taxes, import and export duties and quotas, anti-dumping regulations and related tariffs, import and export controls and social compliance standards;</w:t>
      </w:r>
    </w:p>
    <w:p>
      <w:pPr>
        <w:spacing w:after="0" w:line="47"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affecting the retail environment for the home and other matters that influence consumer spending in the home retail industry specifically;</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affecting the housing markets;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credit availability and consumer debt levels;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input costs, including fuel and energy costs, freight costs, and labor cost inflation;</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translation;</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rates and the ability to hedge interest rate risks;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conflicts and terrorist activities;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epidemics, such as the COVID-19 pandemic;</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economic conditions in the United States, the U.K., continental Europe, Asia and elsewhere;</w:t>
      </w:r>
    </w:p>
    <w:p>
      <w:pPr>
        <w:spacing w:after="0" w:line="114" w:lineRule="exact"/>
        <w:rPr>
          <w:rFonts w:ascii="Times New Roman" w:cs="Times New Roman" w:eastAsia="Times New Roman" w:hAnsi="Times New Roman"/>
          <w:sz w:val="17"/>
          <w:szCs w:val="17"/>
          <w:color w:val="auto"/>
        </w:rPr>
      </w:pPr>
    </w:p>
    <w:p>
      <w:pPr>
        <w:ind w:left="940" w:hanging="316"/>
        <w:spacing w:after="0" w:line="288"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unrest, war, terrorism, geopolitical uncertainties, trade policies and sanctions, including the repercussions of the military conflict in Ukraine, Israel and surrounding areas (and any broadening of the conflict);</w:t>
      </w:r>
    </w:p>
    <w:p>
      <w:pPr>
        <w:spacing w:after="0" w:line="47" w:lineRule="exact"/>
        <w:rPr>
          <w:rFonts w:ascii="Times New Roman" w:cs="Times New Roman" w:eastAsia="Times New Roman" w:hAnsi="Times New Roman"/>
          <w:sz w:val="17"/>
          <w:szCs w:val="17"/>
          <w:color w:val="auto"/>
        </w:rPr>
      </w:pPr>
    </w:p>
    <w:p>
      <w:pPr>
        <w:ind w:left="940" w:right="660" w:hanging="316"/>
        <w:spacing w:after="0" w:line="288"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lack of legal regulation enforcement, civil unrest and potential accompanying shifts in laws and regulations; and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occurrence of negative events related to any of the foregoing may adversely impact the Company’s results of operations and financial condition</w:t>
      </w:r>
      <w:r>
        <w:rPr>
          <w:rFonts w:ascii="Times New Roman" w:cs="Times New Roman" w:eastAsia="Times New Roman" w:hAnsi="Times New Roman"/>
          <w:sz w:val="17"/>
          <w:szCs w:val="17"/>
          <w:b w:val="1"/>
          <w:bCs w:val="1"/>
          <w:color w:val="auto"/>
        </w:rPr>
        <w:t>.</w:t>
      </w:r>
    </w:p>
    <w:p>
      <w:pPr>
        <w:spacing w:after="0" w:line="216" w:lineRule="exact"/>
        <w:rPr>
          <w:sz w:val="20"/>
          <w:szCs w:val="20"/>
          <w:color w:val="auto"/>
        </w:rPr>
      </w:pPr>
    </w:p>
    <w:p>
      <w:pPr>
        <w:ind w:right="7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results of operations could be negatively impacted by inflation or deflation in supply chain costs, including raw materials, sourcing, transportation and energy</w:t>
      </w:r>
    </w:p>
    <w:p>
      <w:pPr>
        <w:spacing w:after="0" w:line="4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homeware goods and relies on third parties to manufacture its products who are, in turn, subject to changes in their underlying manufacturing costs. The Company also relies on third parties for transportation and is exposed to fluctuations in freight costs to transport goods as well as the price of fuel and gasoline. These prices may fluctuate based on a number of factors beyond the Company’s control, including from geopolitical conditions such as the military conflict in Ukraine and resulting sanctions imposed by the U.S. and other countries. Inflation has resulted and could continue to result in significant cost increases. If the Company is unable to mitigate any cost increases from the foregoing factors through various customer pricing actions and cost reduction initiatives, its financial condition may be adversely affected. Conversely, in the event that there is deflation, the Company may experience pressure from its customers to reduce prices. There can be no assurance that the Company would be able to reduce its cost base to offset any such price concessions, which could adversely impact its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may be materially adversely affected by the imposition of duties and tariffs and other trade barriers and retaliatory countermeasures implemented by the U.S. and other governments.</w:t>
      </w:r>
    </w:p>
    <w:p>
      <w:pPr>
        <w:spacing w:after="0" w:line="4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A majority of the Company’s products are sourced from vendors outside the U.S. During the last several years there have also been significant changes to U.S. trade policies, sanctions, legislation, treaties and tariffs, including, but not limited to, trade policies and tariffs affecting products from outside of the U.S. For example, in early 2025, the current U.S. presidential administration announced significant new tariffs on foreign imports into the U.S., specifically from Mexico, Canada, and China, and has proposed additional new tariffs that may be implemented in the future. Given the Company’s reliance upon non-domestic suppliers, any significant changes to the U.S. trade policies (and those of other countries in response) or changes without sufficient notice may cause a material adverse effect on its ability to source products from other countries or significantly increase the costs of obtaining such products, which could result in a material adverse effect on our financial results.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Any new or additional tariffs on goods imported to the U.S. from China, Mexico, Canada, or other countries, or products imported into the European Union or other non-U.S. markets,</w:t>
      </w:r>
    </w:p>
    <w:p>
      <w:pPr>
        <w:spacing w:after="0" w:line="1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could also increase the cost of some of our products and reduce our margins. In response to the tariffs, the Company may seek to increase prices to its customers, which may diminish demand for its products. The imposition of additional tariffs or other trade barriers could increase our costs in certain markets and may cause</w:t>
      </w:r>
    </w:p>
    <w:p>
      <w:pPr>
        <w:spacing w:after="0" w:line="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customers to find alternative sourcing or could make it more difficult for us to sell our products in some markets. Other countries where we operate or sell our products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w:t>
      </w:r>
    </w:p>
    <w:p>
      <w:pPr>
        <w:spacing w:after="0" w:line="167"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4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Company is generally not fully insured against all significant losses. For example, the Company is not fully insured against hurricane, earthquake, acts of war, and terrorism related losses. A loss for which the Company is not fully insured could have a material adverse effect on the business, financial condition, results of operations and prospects.</w:t>
      </w:r>
    </w:p>
    <w:p>
      <w:pPr>
        <w:spacing w:after="0" w:line="1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Insurance coverage may not continue to be available or may not be available at rates or on terms similar to those presently available to the Company. The Company’s ability to obtain insurance and the terms of any available insurance coverage could be materially adversely affected by international, national, state or local events and company-specific events, as well as the financial condition of insurers. If insurance coverage is not available or obtainable on acceptable terms, the Company may be required to pay costs associated with adverse future events.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financial risks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has substantial indebtedness and the highly seasonal nature of the Company’s business impacts its borrowing needs.</w:t>
      </w:r>
    </w:p>
    <w:p>
      <w:pPr>
        <w:spacing w:after="0" w:line="12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has a substantial amount of indebtedness and is dependent on the availability of its bank loan facilities to finance its liquidity needs. As of December 31, 2024, the Company had $185.2 million of consolidated debt outstanding under a senior secured term loan credit facility and senior secured asset-based revolving credit facility.</w:t>
      </w:r>
    </w:p>
    <w:p>
      <w:pPr>
        <w:spacing w:after="0" w:line="16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7"/>
          <w:szCs w:val="17"/>
          <w:color w:val="auto"/>
        </w:rPr>
        <w:t>The Company’s credit agreement, dated as of March 2, 2018 (as amended, the “ABL Agreement”) provides for, among other things, a maximum aggregate principal amount of $200.0 million and will mature on August 25, 2027. The Company’s loan agreement, dated as of March 2, 2018 (as amended, the “Term Loan”), has a principal amount of $150.0 million, and matures on August 26, 2027. The Term Loan will be repaid in quarterly payments of principal equal to</w:t>
      </w:r>
    </w:p>
    <w:p>
      <w:pPr>
        <w:spacing w:after="0" w:line="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1.25% of the original aggregate principal amount of the Term Loan, which payments commenced on March 31, 2024. The Term Loan requires the Company to make an annual mandatory prepayment of principal based upon excess cash flow (the “Excess Cash Flow”), if any. Per the Debt Agreements, when the Company makes an Excess Cash Flow payment, the payment is first applied to satisfy the future quarterly required payments in order of maturity. This amount is recorded in the current maturity of the Term Loan on the consolidated balance sheets. At December 31, 2024, borrowings under the Debt Agreements represented approximately 29% of total capital (indebtedness plus stockholders’ equity).</w:t>
      </w:r>
    </w:p>
    <w:p>
      <w:pPr>
        <w:spacing w:after="0" w:line="17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In 2018, the Company utilized the proceeds of borrowings under the Debt Agreements (collectively, the ABL Agreement and Term Loan) (i) to repay in full all existing indebtedness for borrowed money under its former credit agreement and (ii) to finance, in part, the acquisition of Filament, the refinancing of certain indebtedness of Filament and its subsidiaries, and the payment of fees and expenses in connection with the foregoing. In 2023, the Term Loan was amended to extend the maturity of $150 million of the Term Loan. The Company may be unable to generate cash sufficient to pay when due the principal of, interest on, or other amounts due with respect to, its indebtedness. In addition, the Company’s business is seasonal with a significant amount of its revenue realized during</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latter portion of the year. Therefore, the Company’s borrowing needs fluctuate widely based upon its seasonal working capital requirements.</w:t>
      </w:r>
    </w:p>
    <w:p>
      <w:pPr>
        <w:spacing w:after="0" w:line="21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Company’s leverage and the effects of seasonal fluctuations in its cash flow, borrowing requirements and ability to borrow could have significant negative consequences on the Company’s financial condition and results of operations, including:</w:t>
      </w:r>
    </w:p>
    <w:p>
      <w:pPr>
        <w:spacing w:after="0" w:line="48" w:lineRule="exact"/>
        <w:rPr>
          <w:sz w:val="20"/>
          <w:szCs w:val="20"/>
          <w:color w:val="auto"/>
        </w:rPr>
      </w:pPr>
    </w:p>
    <w:p>
      <w:pPr>
        <w:ind w:left="940" w:right="440" w:hanging="316"/>
        <w:spacing w:after="0" w:line="270"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impairing the Company’s ability to meet the financial covenants, if and when applicable, contained in the Debt Agreements or to generate cash sufficient to pay interest or principal due under its Debt Agreements, which could result in an acceleration of some or all of the Company’s outstanding debt;</w:t>
      </w:r>
    </w:p>
    <w:p>
      <w:pPr>
        <w:spacing w:after="0" w:line="63" w:lineRule="exact"/>
        <w:rPr>
          <w:rFonts w:ascii="Times New Roman" w:cs="Times New Roman" w:eastAsia="Times New Roman" w:hAnsi="Times New Roman"/>
          <w:sz w:val="17"/>
          <w:szCs w:val="17"/>
          <w:color w:val="auto"/>
        </w:rPr>
      </w:pPr>
    </w:p>
    <w:p>
      <w:pPr>
        <w:ind w:left="940" w:right="540" w:hanging="316"/>
        <w:spacing w:after="0" w:line="288"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ability to borrow money, dispose of assets or sell equity to fund the Company’s working capital, capital expenditures, dividend payments, debt service, strategic initiatives or for other obligations or purposes;</w:t>
      </w:r>
    </w:p>
    <w:p>
      <w:pPr>
        <w:spacing w:after="0" w:line="47" w:lineRule="exact"/>
        <w:rPr>
          <w:rFonts w:ascii="Times New Roman" w:cs="Times New Roman" w:eastAsia="Times New Roman" w:hAnsi="Times New Roman"/>
          <w:sz w:val="17"/>
          <w:szCs w:val="17"/>
          <w:color w:val="auto"/>
        </w:rPr>
      </w:pPr>
    </w:p>
    <w:p>
      <w:pPr>
        <w:ind w:left="940" w:right="320" w:hanging="316"/>
        <w:spacing w:after="0" w:line="288"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flexibility in planning for, or reacting to, changes in the economy, the markets, regulatory requirements, its operations or business;</w:t>
      </w:r>
    </w:p>
    <w:p>
      <w:pPr>
        <w:spacing w:after="0" w:line="47"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ability to enter into derivative agreements to hedge interest rate and foreign exchange risk;</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the Company more highly leveraged than some of its competitors, which may place the Company at a competitive disadvantage;</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the Company more vulnerable to downturns in the economy or its business;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 substantial portion of the Company’s cash flow from operations to make interest payments;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the Company to satisfy other obligations;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risking credit rating downgrades of the Company, which could increase future debt costs and limit the future availability of debt financing; and</w:t>
      </w:r>
    </w:p>
    <w:p>
      <w:pPr>
        <w:spacing w:after="0" w:line="114" w:lineRule="exact"/>
        <w:rPr>
          <w:rFonts w:ascii="Times New Roman" w:cs="Times New Roman" w:eastAsia="Times New Roman" w:hAnsi="Times New Roman"/>
          <w:sz w:val="17"/>
          <w:szCs w:val="17"/>
          <w:color w:val="auto"/>
        </w:rPr>
      </w:pPr>
    </w:p>
    <w:p>
      <w:pPr>
        <w:ind w:left="940" w:right="120" w:hanging="316"/>
        <w:spacing w:after="0" w:line="288"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Company from borrowing additional funds as needed or taking advantage of business opportunities as they arise, pay cash dividends or repurchase common stock.</w:t>
      </w:r>
    </w:p>
    <w:p>
      <w:pPr>
        <w:spacing w:after="0" w:line="15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spacing w:after="0" w:line="164" w:lineRule="exact"/>
        <w:rPr>
          <w:sz w:val="20"/>
          <w:szCs w:val="20"/>
          <w:color w:val="auto"/>
        </w:rPr>
      </w:pPr>
    </w:p>
    <w:p>
      <w:pPr>
        <w:ind w:right="7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failure to meet certain covenants or comply with other requirements of its Debt Agreements may materially and adversely affect the Company’s assets, financial position and cash flows.</w:t>
      </w:r>
    </w:p>
    <w:p>
      <w:pPr>
        <w:spacing w:after="0" w:line="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ABL Agreement, under certain circumstances, requires the Company to maintain a certain fixed charge coverage ratio. The Term Loan requires the Company to maintain a maximum Total Net Leverage Ratio of 5.00 to 1.00 as of the last day of its fiscal quarters. As a result of this and other covenants within the Debt Agreements, the Company may be limited in its ability to incur additional debt, make investments or undertake certain other business activities.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 may not be able to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spacing w:after="0" w:line="38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borrowings, and discount rate applied to sale of receivables, are subject to interest rate fluctuations and an increase in interest rates could adversely affect the Company’s financial results.</w:t>
      </w:r>
    </w:p>
    <w:p>
      <w:pPr>
        <w:spacing w:after="0" w:line="4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Company’s borrowings bear interest at floating rates. An increase in interest rates would adversely affect the Company’s profitability. For example, in 2024 interest expense increased by $0.5 million compared to the prior year as a result of a higher interest rate environment, partially offset by lower average outstanding borrowings. To the extent that the Company’s access to credit may be restricted because of its own performance, its bank lenders’ performances or conditions in the capital markets generally, the Company would not be able to operate normally.</w:t>
      </w:r>
    </w:p>
    <w:p>
      <w:pPr>
        <w:spacing w:after="0" w:line="17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Company’s Receivables Purchase Agreement also depends upon the Secured Overnight Financing rate (“SOFR”), as it is a component of the discount rate applicable to the agreement. If SOFR increases, the Company may not be able to rely on the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Receivables Purchase Agreement, which could have a material and adverse effect upon the Company’s financial condition, results of operations and cash flows.</w:t>
      </w:r>
    </w:p>
    <w:p>
      <w:pPr>
        <w:spacing w:after="0" w:line="212"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inability to complete future acquisitions or strategic alliances and/or integrate acquired businesses could have a material adverse effect on the Company’s business and results of operations.</w:t>
      </w:r>
    </w:p>
    <w:p>
      <w:pPr>
        <w:spacing w:after="0" w:line="4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has historically achieved growth through acquisitions, investments and joint ventures. The Company seeks acquisition opportunities that complement and expand its operations, some of which are based outside the United States. The Company may not be able to identify and successfully negotiate suitable acquisitions, obtain financing for future acquisitions on satisfactory terms, obtain regulatory approval or otherwise complete acquisitions in the future.</w:t>
      </w:r>
    </w:p>
    <w:p>
      <w:pPr>
        <w:spacing w:after="0" w:line="167"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Additionally, the Company may not be able to successfully integrate future acquired businesses into its existing business without substantial costs, delays or other operational or financial difficulties. Potential difficulties the Company may encounter as part of the integration process include the following:</w:t>
      </w:r>
    </w:p>
    <w:p>
      <w:pPr>
        <w:spacing w:after="0" w:line="48" w:lineRule="exact"/>
        <w:rPr>
          <w:sz w:val="20"/>
          <w:szCs w:val="20"/>
          <w:color w:val="auto"/>
        </w:rPr>
      </w:pPr>
    </w:p>
    <w:p>
      <w:pPr>
        <w:ind w:left="940" w:right="640" w:hanging="316"/>
        <w:spacing w:after="0" w:line="288"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spacing w:after="0" w:line="47"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inability to integrate acquired companies’ products and services;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leveraging the customer information and technology of the two companies;</w:t>
      </w:r>
    </w:p>
    <w:p>
      <w:pPr>
        <w:spacing w:after="0" w:line="114" w:lineRule="exact"/>
        <w:rPr>
          <w:rFonts w:ascii="Times New Roman" w:cs="Times New Roman" w:eastAsia="Times New Roman" w:hAnsi="Times New Roman"/>
          <w:sz w:val="17"/>
          <w:szCs w:val="17"/>
          <w:color w:val="auto"/>
        </w:rPr>
      </w:pPr>
    </w:p>
    <w:p>
      <w:pPr>
        <w:ind w:left="940" w:right="600" w:hanging="316"/>
        <w:spacing w:after="0" w:line="288"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effectuating the Company’s diversification strategy, including challenges achieving revenue growth from sales of each company’s products and services to the clients and customers of the other company;</w:t>
      </w:r>
    </w:p>
    <w:p>
      <w:pPr>
        <w:spacing w:after="0" w:line="47" w:lineRule="exact"/>
        <w:rPr>
          <w:rFonts w:ascii="Times New Roman" w:cs="Times New Roman" w:eastAsia="Times New Roman" w:hAnsi="Times New Roman"/>
          <w:sz w:val="17"/>
          <w:szCs w:val="17"/>
          <w:color w:val="auto"/>
        </w:rPr>
      </w:pPr>
    </w:p>
    <w:p>
      <w:pPr>
        <w:ind w:left="940" w:right="260" w:hanging="316"/>
        <w:spacing w:after="0" w:line="270"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w:t>
      </w:r>
    </w:p>
    <w:p>
      <w:pPr>
        <w:spacing w:after="0" w:line="63" w:lineRule="exact"/>
        <w:rPr>
          <w:rFonts w:ascii="Times New Roman" w:cs="Times New Roman" w:eastAsia="Times New Roman" w:hAnsi="Times New Roman"/>
          <w:sz w:val="17"/>
          <w:szCs w:val="17"/>
          <w:color w:val="auto"/>
        </w:rPr>
      </w:pPr>
    </w:p>
    <w:p>
      <w:pPr>
        <w:ind w:left="940" w:right="40" w:hanging="316"/>
        <w:spacing w:after="0" w:line="288"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locating and entering into agreements with third-party logistics providers to assist in certain locations or to develop strategies to address inventory surges; and</w:t>
      </w:r>
    </w:p>
    <w:p>
      <w:pPr>
        <w:spacing w:after="0" w:line="47"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unknown liabilities and unforeseen increased expenses or delays associated with the acquisition.</w:t>
      </w:r>
    </w:p>
    <w:p>
      <w:pPr>
        <w:spacing w:after="0" w:line="218"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variability and currency controls could materially adversely affect the Company’s operating results and financial condition.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especially its foreign subsidiaries and affiliates, transacts business in currencies other than the U.S. dollar, primarily U.K. pounds, and to a lesser degree, Chinese renminbi, Euros, Hong Kong dollars, Mexican peso and Canadian dollars. Such transactions affect the Company’s operating results and financial condition. Foreign operations expose the Company to foreign currency fluctuations, for both transactions and financial reporting translation purposes. In the consolidated financial statements, local currency financial results are translated into U.S. dollars based on the exchange rates prevailing during the reporting periods. During times of a strengthening U.S. dollar, the reported revenues and earnings of the Company’s international operations will be reduced because the local currencies will translate into fewer U.S. dollars. As described below, during times of a weakening U.S. dollar, the Company’s costs related to the supplies and inventory it sources internationally will increase.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vast majority of the Company’s inventory is purchased from Chinese suppliers in U.S. dollars, including inventory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international operations. The Company has entered into foreign exchange derivative contracts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strengthening renminbi will have on the Company’s cost of sales, and the Company may not be able to pass on these price increases to its customers. The Company is also subject to the risks of currency controls and devaluations. Currency controls may limit the Company’s ability to convert currencies into U.S. dollars or</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other currencies, as needed, to pay dividends or make other payments from funds held by subsidiaries in countries imposing such controls, which could adversely affect the Company’s liquidity.</w:t>
      </w:r>
    </w:p>
    <w:p>
      <w:pPr>
        <w:spacing w:after="0" w:line="15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If the Company expands its international operations, it will be subject to increased foreign exchange variability which could have a material adverse effect on the Company’s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business requires it to maintain large fixed costs that can affect its profitability.</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as they neither increase nor decrease proportionally with sales. Furthermore, the Company’s gross margins depend, in part, on its ability to spread sourcing costs, of which a significant portion are fixed, over its products sold. Decreased demand or the need to reduce inventories can lower the Company’s ability to absorb certain sourcing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reduction efforts may not be successful and restructuring benefits may not be realized.</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order to operate more efficiently and control costs, the Company may announce restructuring plans from time to time, including workforce reductions, global facility consolidations and other cost reduction initiatives that are intended to generate operating expense savings. The implementation of restructuring plans could be disruptive to the Company’s operations, result in higher than anticipated charges and otherwise adversely affect the Company’s results of operations and financial condition. In addition, the Company’s ability to complete restructuring plans and achieve the anticipated benefits from a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Company’s goodwill or other long-term assets become impaired, the Company will be required to record impairment charges, which may be significant.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 portion of the Company’s long-term assets consists of goodwill recorded as a result of the Company’s acquisitions; other identifiable intangible assets, including trade names; and long-lived assets. At December 31, 2024, goodwill, net of accumulated impairment charges totaled $33.2 million; finite-lived intangible assets, net of accumulated impairment charges and accumulated amortization totaled $150.3 million. The Company does not amortize goodwill but rather reviews it for impairment on an annual basis or more frequently when events or changes in circumstances indicate that its carrying value may not be recoverable. If the carrying value of a reporting unit exceeds its current fair value as determined based on the discounted future cash flows of the reporting unit or comparable market sales and earnings multiples, the goodwill or intangible asset is considered impaired and is reduced to fair value. Events and conditions that could result in impairment include a prolonged period of global economic weakness, a decline in economic conditions and/or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the Company’s reported earnings. If the future operating performance of one or more of the Company’s operating segments does not meet expectations, the Company may be required to record a significant charge during the period in which any impairment of the Company’s goodwill or other long-term assets is determined.</w:t>
      </w:r>
    </w:p>
    <w:p>
      <w:pPr>
        <w:spacing w:after="0" w:line="18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further recognition of an impairment of the Company’s goodwill or any of the Company’s assets would negatively affect the Company’s results of operations and total capitalization, the effect of which could be material.</w:t>
      </w:r>
    </w:p>
    <w:p>
      <w:pPr>
        <w:spacing w:after="0" w:line="145"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projections of product demand, sales and net income are highly subjective in nature and the Company’s future sales and net income could vary materially from the Company’s projections.</w:t>
      </w:r>
    </w:p>
    <w:p>
      <w:pPr>
        <w:spacing w:after="0" w:line="4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 are highly subjective since sales can fluctuate substantially based on the demands of retail customers and due to other risks described in this Annual Report. Additionally, changes in retailer inventory management strategies could make the Company’s inventory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management more difficult. Because the Company’s ability to forecast product demand and the timing of related sales requires significant subjective input, future sales and net income could vary materially from the Company’s projections.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the cost of employee benefits could materially adversely impact the Company’s financial results and cash flows.</w:t>
      </w:r>
    </w:p>
    <w:p>
      <w:pPr>
        <w:spacing w:after="0" w:line="1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and other employee demographics could result in an increase in medical costs beyond what the Company has experienced or expects. The Company has stop-loss coverage in place for catastrophic events, but the aggregate impact of a high number of claims up to the Company’s stop-loss limit may have an effect on the Company’s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inherent limitations on the effectiveness of the Company’s controls.</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 does not expect that its disclosure controls or the Company’s internal controls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are revised, as necessary, due to changes in conditions or deterioration in the degree of compliance with policies or procedures. If in the future the Company’s controls become inadequate, it could fail to meet its financial reporting obligations, its reputation may be adversely affected, its business and operating results could be harmed, and the market price of its stock could decline.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risks</w:t>
      </w:r>
    </w:p>
    <w:p>
      <w:pPr>
        <w:spacing w:after="0" w:line="216"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4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markets for the Company’s products are intensely competitive with the principal competitive factors being product innovation, brand name, product quality, aesthetic appeal to customers, packaging, breadth of product offerings, distribution capability, delivery 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 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the Company’s customer purchasing practices could materially adversely affect the Company’s operating results.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Company’s wholesale customers include mass market merchants, specialty stores, department stores, warehouse clubs, grocery stores, off-price retailers, food service distributors, food and beverage outlets, corporate sales and e-commerce.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a result of the desire of retailers to more closely manage inventory levels and optimize their supply chains, retailers may evaluate suppliers based on their ability to deliver orders at the quantity and schedule specified, which is known as the "on-time-in-full" delivery metric. Supply-chain complexity and customer demand for on-shelf availability creates additional pressure on delivery performance, which in turn can add strain on distribution channels.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spacing w:after="0" w:line="17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spacing w:after="0" w:line="167"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Many of the Company’s wholesale customers are significantly larger than the Company, have greater financial and other resources and also purchase goods directly from vendors in Asia and elsewhere. Decisions by large customers to increase their purchases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directly from overseas vendors could have a material adverse effect on the Company’s business, results of operations and financial condition. Significant changes or financial difficulties, including consolidations of ownership, restructurings, bankruptcies, 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spacing w:after="0" w:line="176"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spacing w:after="0" w:line="164"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Changes at the Company’s large customers, or actions taken by them, and consolidation in the retail industry could materially adversely affect the Company’s operating results.</w:t>
      </w:r>
    </w:p>
    <w:p>
      <w:pPr>
        <w:spacing w:after="0" w:line="4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2024, 2023 and 2022, Wal-Mart Stores, Inc. (“Walmart”), accounted for 19%, 21% and 19% of consolidated net sales, respectively. During the years ended December 31, 2024, 2023 and 2022, sales to Costco Wholesale Corporation (“Costco”) accounted for 11%, 11%, and 13% of consolidated net sales. During the year ended December 31, 2024, 2023 and 2022, Amazon.com Inc., (“Amazon”), accounted for 13%, 11% and 11% of consolidated net sales. Sales to Costco and Amazon are included in the Company’s U.S. and International segments. No other customers accounted for 10% or more of the Company’s sales during these periods.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material reduction in sales to the aforementioned or other top customers in the aggregate, could have a significant adverse effect on the Company’s business and operating results. In addition, pressures by such customers that would cause the Company to materially reduce the price of its products could result in reduced sales and operating margin.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 with respect to such customers. In particular, the concentration of the Company’s business with Walmart, Costco and Amazon extends to its international business as well as through the Company’s strategic alliance in Canada, due to the market presence of Walmart, Costco and Amazon in these foreign countries. Any changes in purchasing practices or decline in the financial condition, of Walmart, Costco and Amazon or other large customers, may have a material adverse impact on the business, results of operations and financial condition of the Company.</w:t>
      </w:r>
    </w:p>
    <w:p>
      <w:pPr>
        <w:spacing w:after="0" w:line="17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spacing w:after="0" w:line="17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Company’s customers could carry products that directly compete with the Company’s products for retail space and consumer purchases. There is a risk that these customers could give higher priority to products of, or form alliances with, the Company’s competitors. The failure of customers to provide the Company’s products with similar or better levels of promotional support and retail space as competitors receive could have a material adverse effect on the Company’s business, results of operations and financial condition.</w:t>
      </w:r>
    </w:p>
    <w:p>
      <w:pPr>
        <w:spacing w:after="0" w:line="164"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4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The retail environment is highly competitive and rapidly evolving with the increase pace of technological development. Consumers are increasingly embracing shopping online. As a result, an increasing portion of total consumer expenditures with retailers is occurring online and through mobile commerce applications. This overall trend has negatively affected many brick-and-mortar retailers. If the Company’s brick-and-mortar retail customers fail to maintain or grow their overall market position through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integration of physical retail presence and digital retail, these customers 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Company is unable to effectively manage its existing online business, the Company's reputation and operating results may be harmed.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success of the Company’s online business depends, in part, on factors over which the Company may have limited control. The Company must successfully respond to changing consumer preferences and online buying trends. The Company is also vulnerable to certain additional risks and uncertainties associated with operating an online business, including: changes in required technology interfaces, website downtime and other technical failures, costs and technical issues as the Company upgrades its website software, computer viruses, changes in applicable federal and state regulations, security breaches, data breaches, and consumer privacy concerns. In addition, the Company must keep up to date with competitive technology trends, including the use of improved technology, creative user interfaces and other online marketing tools such as paid search, which may increase its costs and which may not succeed in increasing sales or attracting customers. The Company’s failure to successfully respond to these risks and uncertainties might adversely affect the sales in its online business, as well as damage the Company’s reputation and brands.</w:t>
      </w:r>
    </w:p>
    <w:p>
      <w:pPr>
        <w:spacing w:after="0" w:line="173" w:lineRule="exact"/>
        <w:rPr>
          <w:sz w:val="20"/>
          <w:szCs w:val="20"/>
          <w:color w:val="auto"/>
        </w:rPr>
      </w:pPr>
    </w:p>
    <w:p>
      <w:pPr>
        <w:ind w:right="7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Demand for new products and the inability to develop and introduce new competitive products at favorable profit margins could adversely affect the Company’s performance and prospects for future growth.</w:t>
      </w:r>
    </w:p>
    <w:p>
      <w:pPr>
        <w:spacing w:after="0" w:line="4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New product introductions and product innovation are significant contributors to the Company’s growth strategy and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the market demands and the costs of development and production may impede the successful development and introduction of new products. Acceptance of the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chain risks</w:t>
      </w:r>
    </w:p>
    <w:p>
      <w:pPr>
        <w:spacing w:after="0" w:line="216"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reliance on international suppliers subject the Company to regional regulatory, man-made or natural disasters, health epidemics, political or military conflicts, economic and foreign currency exchange risk that could materially and adversely affect the Company’s operating results.</w:t>
      </w:r>
    </w:p>
    <w:p>
      <w:pPr>
        <w:spacing w:after="0" w:line="42" w:lineRule="exact"/>
        <w:rPr>
          <w:sz w:val="20"/>
          <w:szCs w:val="20"/>
          <w:color w:val="auto"/>
        </w:rPr>
      </w:pPr>
    </w:p>
    <w:p>
      <w:pPr>
        <w:spacing w:after="0" w:line="210" w:lineRule="exact"/>
        <w:rPr>
          <w:sz w:val="20"/>
          <w:szCs w:val="20"/>
          <w:color w:val="auto"/>
        </w:rPr>
      </w:pPr>
      <w:r>
        <w:rPr>
          <w:rFonts w:ascii="Times New Roman" w:cs="Times New Roman" w:eastAsia="Times New Roman" w:hAnsi="Times New Roman"/>
          <w:sz w:val="17"/>
          <w:szCs w:val="17"/>
          <w:color w:val="auto"/>
        </w:rPr>
        <w:t>The Company sources its products from suppliers located principally in Asia, Europe and the United States, which subjects the Company to various risks, including man-made or natural disasters, adverse macroeconomic conditions (including inflation, slower growth, and recession), and foreign currency changes, all of which could create disruptions in our supply chain. Similarly, geopolitical risks, including instability resulting from civil unrest, political demonstrations, strikes and armed conflict or other crises, such as conflicts in Ukraine, Israel and surrounding areas (and any broadening of the conflict), and resulting sanctions could change the global supply chain dynamics and demand. Additionally, the Company’s vendors in Asia, from whom a substantial majority of the Company’s products are sourced, are located primarily in China, which subjects the Company to regional risks including regulatory, social and other risks in addition to the risks resulting from tensions between the United States and China involving trade policies and certain regulatory actions.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 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in China or in other countries in which the Company does business, which could have a material adverse effect on the Company’s operations and/or those of the Company’s suppliers. In addition, any indirect supply chain disruptions due to the conflict in Ukraine, Israel and surrounding areas (and any broadening of the conflict), may further complicate existing supply chain constraints. Specifically, in connection with the conflict in Israel and the surrounding areas, the Houthi movement, which controls parts of Yemen, has launched a number of attacks on marine vessels in the Red Sea. The Red Sea is an important maritime route for international trade. As a result of such disruptions, the Company may experience in the future extended lead times, delays in supplier deliveries, and increased freight costs. The risk of ongoing supply disruptions may further result in delayed deliveries of our products. Changes in currency exchange rates might negatively affect the Company and its overseas vendors’ profitability and business prospects. The Company does not have access to its vendors’ financial information and the Company is unable to assess its vendors’ financial condition, including their liquidity. Interruption of supplies from any of the Company’s vendors, or the loss of one or more key vendors, could have a negative effect on the Company’s business and operating results. A disruption in deliveries to or from suppliers or decreased availability of materials could have an adverse effect on our ability to meet our commitments to customers or increase our operating costs. A disruption from such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suppliers,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manufacturers or service providers, capacity constraints, production disruptions, price increases, quality control issues, recalls or other decreased availability of parts and products could adversely affect our ability to meet our commitments to customers and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international trade activity subjects it to transportation risks.</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 imports its products for delivery to its distribution centers, as well as arranges for its customers to import goods to which title has passed overseas or at a port of entry. For purchases that are to be delivered to its distribution facilities, the Company arranges for transportation, primarily by sea, from ports in Asia and Europe to ports in the United States, principally New York/Newark/Elizabeth and Los Angeles/Long Beach, and in the U.K., principally Felixstowe. Accordingly, the Company is subject to risks incidental to such transportation. These risks include, but are not limited to, increases in fuel costs, fuel shortages, the availability of ships, increased security restrictions, transportation reroutes in response to geopolitical conflict, work stoppages, weather disruptions and carriers’ ability to provide delivery services to meet the Company’s shipping needs. Transportation disruptions and increased transportation costs could materially adversely affect the Company’s business, results of operations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depends on third-party manufacturers to produce the vast majority of its products, which presents quality control risks to the Company.</w:t>
      </w:r>
    </w:p>
    <w:p>
      <w:pPr>
        <w:spacing w:after="0" w:line="121"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With the exception of the Company’s sterling silver products, the Company sources almost all of its products from suppliers located outside the United States, primarily in China, which restricts the Company’s ability to monitor and control their manufacture of the Company’s goods.</w:t>
      </w:r>
    </w:p>
    <w:p>
      <w:pPr>
        <w:spacing w:after="0" w:line="15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third party manufacturers may not continue to meet the Company’s quality standards, social standards regarding its workforce that are expected in the United States or legislation and regulations that apply to the products the Company contracts to manufacture. There is also no assurance that the Company’s quality control program will adequately audit, analyze and evaluate the quality standards of third party manufacturers. Failure by the Company’s 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product costs are subject to price fluctuation.</w:t>
      </w:r>
    </w:p>
    <w:p>
      <w:pPr>
        <w:spacing w:after="0" w:line="1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For example, freight costs significantly increased in 2022 and began to return to lower levels in 2023.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risks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certain licenses or material changes in royalty rates could materially adversely affect the Company’s operating margin and cash flow.</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Significant portions of the Company’s business are dependent on trade names, trademarks and patents, some of which are licensed from third parties. In 2024, sales of licensed brands accounted for approximately 18%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spacing w:after="0" w:line="1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holds certain rights to use the Farberware brand for kitchen tools, cutlery, cutting boards, shears and certain other products which together represent a material portion of its sales, through a fully-paid, royalty-free license for a term that expires in 2195, subject to earlier termination under certain circumstances. The licensor is a joint venture of which the Company is a 50% 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If the Company were to lose the Farberware license for kitchen tools, cutlery, cutting boards, shears and certain other products through termination as a result of an uncured breach, its business, results of operations and financial condition would be materially adversely affected.</w:t>
      </w:r>
    </w:p>
    <w:p>
      <w:pPr>
        <w:spacing w:after="0" w:line="15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Sales of KitchenAid branded products, to a lesser extent, also represent a material portion of the Company’s sales. The Company also holds a license to use the KitchenAid brand for certain products, including products for kitchen tools, cutlery and bakeware, subject to a license agreement that will expire in December 2026.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spacing w:after="0" w:line="171"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 may not be able to adequately establish or protect its intellectual property rights, and the infringement or loss of the Company’s intellectual property rights could harm its business.</w:t>
      </w:r>
    </w:p>
    <w:p>
      <w:pPr>
        <w:spacing w:after="0" w:line="4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spacing w:after="0" w:line="17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 or interference proceedings before the U.S. Patent and Trademark Office 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The costs associated with protecting intellectual property rights, including costs associated with litigation or administrative proceedings, may be material and there can be no assurance that any such litigation or administrative proceedings will be successful. Any such matters or 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 Company’s competitors may independently develop technologies that are substantially equivalent or superior to the Company’s technology.</w:t>
      </w:r>
    </w:p>
    <w:p>
      <w:pPr>
        <w:spacing w:after="0" w:line="18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spacing w:after="0" w:line="171"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the Company is unable to protect the confidentiality of its proprietary information and know-how, the value of the Company’s technology, products and services could be harmed significantly.</w:t>
      </w:r>
    </w:p>
    <w:p>
      <w:pPr>
        <w:spacing w:after="0" w:line="4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addition to registered intellectual property, the Company relies on know-how and other proprietary information in operating its business. If this information is not adequately protected, then it may be disclosed or used in an unauthorized manner. To the extent that consultants, vendors, key employees or other third parties apply technology independently developed by them or by others to the Company’s proposed products in the absence of a valid license or suitable non-disclosure or assignment of inventions provisions, disputes may arise as to the ownership of or rights to use such technology, which may not be resolved in the Company’s favor. If other parties breach confidentiality or other agreements, or if the Company’s registered intellectual property is not protected in the U.S. or foreign jurisdictions, this could harm the Company by enabling the Company’s competitors and other entities, who may have greater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experience and financial resources, to copy or use the Company’s proprietary information in the advancement of their products, methods or technologies.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brands are subject to reputational risks and damage to the Company’s brands or reputation could adversely affect its business.</w:t>
      </w:r>
    </w:p>
    <w:p>
      <w:pPr>
        <w:spacing w:after="0" w:line="12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The Company’s brands and its reputation are among its most important assets. The Company’s ability to attract and retain customers depends, in part, upon external perceptions of the Company, the quality of its products and its corporate and management integrity. The consumer goods industry is by its nature more prone to reputational risks than other industries. This has been compounded in recent years by the free flow of unverified information on the Internet and, in particular, on social media. Damage to the Company’s brands or reputation or negative publicity or perceptions about the Company could adversely affect its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and regulatory risks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Interruptions in the Company’s operations caused by outside forces could cause material losses.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worldwide operations could be subject to natural and man-made disasters, telecommunications failures, water shortages, tsunamis, floods, earthquakes,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spacing w:after="0" w:line="171"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Company’s international operations present special challenges that the Company may not be able to meet, and this could materially and adversely affect the Company’s financial results.</w:t>
      </w:r>
    </w:p>
    <w:p>
      <w:pPr>
        <w:spacing w:after="0" w:line="4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The Company conducts business outside of the United States through subsidiaries, affiliates and joint ventures. These entities have operations and assets in the U.K., Mexico, Netherlands, Canada, China and Hong Kong. Therefore, the Company is subject to increases and decreases in its investments in these entities resulting from the impact of fluctuations in foreign currency exchange rates. These entities also bear risks similar to those risks faced by the Company. However, there are specific additional risks related to these organizations, such as the failure of the Company’s partners or other investors to meet their obligations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spacing w:after="0" w:line="177"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In addition, the Company sells its products in foreign countries and seeks to increase its level of international business activity. Accordingly, the Company is subject to various risks, including:</w:t>
      </w:r>
    </w:p>
    <w:p>
      <w:pPr>
        <w:spacing w:after="0" w:line="48" w:lineRule="exact"/>
        <w:rPr>
          <w:sz w:val="20"/>
          <w:szCs w:val="20"/>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U.S.-imposed embargoes of sales to specific countries;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import controls (which may be arbitrarily imposed or enforced);</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regulations and duties;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regulations (which require the Company to comply with stringent licensing regimes);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anti-dumping regulations;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currency controls;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rate fluctuations;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remittance restrictions;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expropriation of assets;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civil uprisings and riots;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instability;</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necessity of obtaining governmental approval for new and continuing products and operations;</w:t>
      </w:r>
    </w:p>
    <w:p>
      <w:pPr>
        <w:spacing w:after="0" w:line="114" w:lineRule="exact"/>
        <w:rPr>
          <w:rFonts w:ascii="Times New Roman" w:cs="Times New Roman" w:eastAsia="Times New Roman" w:hAnsi="Times New Roman"/>
          <w:sz w:val="17"/>
          <w:szCs w:val="17"/>
          <w:color w:val="auto"/>
        </w:rPr>
      </w:pPr>
    </w:p>
    <w:p>
      <w:pPr>
        <w:ind w:left="940" w:right="900" w:hanging="316"/>
        <w:spacing w:after="0" w:line="288"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systems or decrees, laws, taxes, regulations, interpretations and court decisions that are not always fully developed and that may be retroactively or arbitrarily applied;</w:t>
      </w:r>
    </w:p>
    <w:p>
      <w:pPr>
        <w:spacing w:after="0" w:line="47"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and integration of the Company's European operations;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epidemics;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920" w:hanging="296"/>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income taxes, excise duties, import taxes, export taxes or other governmental assessments</w:t>
      </w:r>
    </w:p>
    <w:p>
      <w:pPr>
        <w:spacing w:after="0" w:line="114" w:lineRule="exact"/>
        <w:rPr>
          <w:rFonts w:ascii="Times New Roman" w:cs="Times New Roman" w:eastAsia="Times New Roman" w:hAnsi="Times New Roman"/>
          <w:sz w:val="17"/>
          <w:szCs w:val="17"/>
          <w:color w:val="auto"/>
        </w:rPr>
      </w:pPr>
    </w:p>
    <w:p>
      <w:pPr>
        <w:ind w:left="940" w:right="440" w:hanging="316"/>
        <w:spacing w:after="0" w:line="288"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locating and entering into agreements with third-party logistics providers to assist in certain locations outside the United States. In addition, the development of additional distribution space abroad involves significant financial and operational risks; and</w:t>
      </w:r>
    </w:p>
    <w:p>
      <w:pPr>
        <w:spacing w:after="0" w:line="47"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a global enterprise.</w:t>
      </w:r>
    </w:p>
    <w:p>
      <w:pPr>
        <w:spacing w:after="0" w:line="21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Any significant violations of regulations or the occurrence of the events listed above could result in civil or criminal sanctions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Any of these events could result in a loss of business or other unexpected costs that could reduce sales or profits and have a material adverse effect on the Company’s financial condition, results of operations and cash flows.</w:t>
      </w:r>
    </w:p>
    <w:p>
      <w:pPr>
        <w:spacing w:after="0" w:line="167"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4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that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 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spacing w:after="0" w:line="184"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New and future laws and regulations governing the Internet and e-commerce could have a material adverse effect on the Company’s business, results of operations and financial condition.</w:t>
      </w:r>
    </w:p>
    <w:p>
      <w:pPr>
        <w:spacing w:after="0" w:line="4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 xml:space="preserve">The Company is subject to laws and regulations governing the Internet and e-commerce. These existing and future laws and regulations may impede the growth of the Internet, e-commerce or other online services. These regulations and laws may cover taxation,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 For example, in 2018, the U.S. Supreme Court ruling in </w:t>
      </w:r>
      <w:r>
        <w:rPr>
          <w:rFonts w:ascii="Times New Roman" w:cs="Times New Roman" w:eastAsia="Times New Roman" w:hAnsi="Times New Roman"/>
          <w:sz w:val="17"/>
          <w:szCs w:val="17"/>
          <w:i w:val="1"/>
          <w:iCs w:val="1"/>
          <w:color w:val="auto"/>
        </w:rPr>
        <w:t>South Dakota v. Wayfair, Inc. et al</w:t>
      </w:r>
      <w:r>
        <w:rPr>
          <w:rFonts w:ascii="Times New Roman" w:cs="Times New Roman" w:eastAsia="Times New Roman" w:hAnsi="Times New Roman"/>
          <w:sz w:val="17"/>
          <w:szCs w:val="17"/>
          <w:color w:val="auto"/>
        </w:rPr>
        <w:t xml:space="preserve"> reversed longstanding precedent that remote sellers are not required to collect state and local sales taxes and established that a state may enforce or adopt laws requiring online retailers to collect and remit sales tax if there is a substantial nexus between the online retailer’s activity and the state, even if the retailer has no physical presence within the taxing state. While the Company now collects, remits and reports sales tax in states that it does business, it is possible that Company’s effective income tax rate, the cost of the Company’s e-commerce business, and the growth of its e-commerce business could be materially adversely effected other new laws or regulations governing the Internet and e-commerce. This potential negative impact on the Company’s e-commerce business could have a material adverse effect on the Company’s overall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 failure in or compromise of the Company’s operating systems or infrastructure or those of third parties could disrupt the Company’s business and cause losses.</w:t>
      </w:r>
    </w:p>
    <w:p>
      <w:pPr>
        <w:spacing w:after="0" w:line="4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 received directly 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or compromise of any of these systems or technologies could have a material adverse effect on the Company’s business and results of operations.</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January 2025, the Company announced the relocation of its east coast distribution facility currently located in Robbinsville, NJ (the “Robbinsville Facility”) to a warehouse and distribution space in Hagerstown, Maryland (the “Hagerstown Facility”). The Hagerstown Facility is a new built to suit distribution center and will require an investment of capital expenditures of approximately $10 million for equipment and certain leasehold improvements. The Company expects to incur one-time costs to close its Robbinsville Facility of up to $7 million as well as one-time relocation costs of up to $7 million. Additionally, the Company’s purchases that are to be delivered this new distribution facility will require the Company to arrange for transportation, primarily by sea, from ports in Asia and Europe to a new port in the United States. The relocation subjects the Company to certain risks such as delays in construction, increase in exit and relocation costs, and transportation risks. Failure to successfully navigate these risks could have a material adverse effect on the Company’s business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subject to cyber security risks and may incur increasing costs in efforts to minimize those risks and to comply with regulatory standards.</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 employs information technology systems and operates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 of possible cyber-attacks, including, but not limited to, data breaches, and is continuously working to upgrade its existing information technology systems and provide employee awareness training around phishing, malware, and other cyber risks to ensure that the Company is protected, to the greatest extent possible, against cyber risks and security breaches. Despite our continuous efforts to ensure the security of the Company’s computer networks, any future cyber incidents could compromise our information technology systems, which could impact operations and confidential information could be misappropriated. Additionally, as Artificial Intelligence ("AI") continues to evolve, cyber-attackers could also use AI to develop malicious code and sophisticated phishing attempts. Although we believe that we have robust information security procedures, controls and other safeguards in place, as cyber threats continue to evolve, we may be required to expend additional resources to continue to enhance our information security measures and/or to investigate and remediate information security vulnerabilities. Any cybersecurity incidents could lead to negative publicity, loss of sales and profits or cause the Company to incur significant costs to reimburse third- parties for damages, which could adversely impact profits.</w:t>
      </w:r>
    </w:p>
    <w:p>
      <w:pPr>
        <w:spacing w:after="0" w:line="17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Additionally, the Company must comply with increasingly complex and rigorous regulatory standards enacted to protect businesses and personal data, including the General Data Protection Regulation (“GDPR”) and the California Consumer Privacy Act. GDPR is a comprehensive European Union privacy and data protection reform, effective in 2018, which applies to companies that are organized in the European Union or otherwise provide services to consumers who reside in the European Union, and imposes strict standards regarding the sharing, storage, use, disclosure and protection of end user data and significant penalties (monetary and otherwise) for non-compliance. The California Consumer Privacy Act, which became effective in January 2020, created new data privacy rights, including a new private right of action for data breaches and requires companies that process information on California residents to make new disclosures to consumers about their data collection, use and sharing practices and allow consumers to opt out of certain data sharing with third parties. Any failure to comply with GDPR, the California Consumer Privacy Act,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spacing w:after="0" w:line="18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Company is in the process of transitioning the Company’s Systems, Applications and Products and other critical systems to cloud-based technologies. As the Company transitions to cloud-based technologies, the Company may be exposed to additional cyber threats as the Company migrates from legacy systems to cloud-based solutions. The Company’s increased dependence on third parties for cloud-based systems may also subject the Company to further cyber threats. There can be no assurance that the Company will not suffer a material adverse effect resulting from vulnerabilities in widely deployed software used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sells consumer products which involve an inherent risk of product liability claims.</w:t>
      </w:r>
    </w:p>
    <w:p>
      <w:pPr>
        <w:spacing w:after="0" w:line="12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7"/>
          <w:szCs w:val="17"/>
          <w:color w:val="auto"/>
        </w:rPr>
        <w:t>The marketing of certain of the Company’s consumer products involve an inherent risk of product liability claims or recalls or other regulatory or enforcement actions initiated by the U.S. Consumer Product Safety Commission, by the Office of Fair Trading in the U.K., by other regulatory authorities or through private causes of action. The Company has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Additionally, the Company’s product standards could be impacted by new or revised environmental rules and regulations or other social initiatives.</w:t>
      </w:r>
    </w:p>
    <w:p>
      <w:pPr>
        <w:spacing w:after="0" w:line="171" w:lineRule="exact"/>
        <w:rPr>
          <w:sz w:val="20"/>
          <w:szCs w:val="20"/>
          <w:color w:val="auto"/>
        </w:rPr>
      </w:pPr>
    </w:p>
    <w:p>
      <w:pPr>
        <w:ind w:right="4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 may incur material costs due to environmental liabilities which could have a material adverse effect on the Company’s business, financial condition and results of operations.</w:t>
      </w:r>
    </w:p>
    <w:p>
      <w:pPr>
        <w:spacing w:after="0" w:line="42"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The Company is subject to a broad range of federal, state, local, foreign and multi-national laws and regulations relating to the environment. These include laws and regulations that govern:</w:t>
      </w:r>
    </w:p>
    <w:p>
      <w:pPr>
        <w:spacing w:after="0" w:line="48" w:lineRule="exact"/>
        <w:rPr>
          <w:sz w:val="20"/>
          <w:szCs w:val="20"/>
          <w:color w:val="auto"/>
        </w:rPr>
      </w:pPr>
    </w:p>
    <w:p>
      <w:pPr>
        <w:ind w:left="920" w:hanging="296"/>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discharges into the air, water and land;</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handling and disposal of solid and hazardous substances and wastes; and</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remediation of contamination associated with release of hazardous substances at the Company’s facilities and at off-site disposal locations.</w:t>
      </w:r>
    </w:p>
    <w:p>
      <w:pPr>
        <w:spacing w:after="0" w:line="2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the Company’s products, such as by requiring investment in new pollution control equipment or changing the ways in which certain of the Company’s products are made. The Company may incur some of these costs directly, while other costs may be passed on to the Company from its third-party suppliers. The Company also may incur costs associated with government inquiries and investigations. For example, in August 2021 a wholly-owned subsidiary of the Company received a Notice of Liability from the Department of Justice on behalf of the EPA. Negotiations in connection with the Notice culminated in a Consent Decree for Remedial Design and Remedial Action at Operable Unit One of the San German Groundwater Contamination Site (“Consent Decree”). For further discussion of the Company’s legal proceedings refer to NOTE 13 — COMMITMENTS AND CONTINGENCIES to the Company’s consolidated financial statements included in this Annual Report on Form 10-K. Any finding that the Company is not in compliance with applicable environmental laws and regulations or any new laws and regulations in the future could have a material adverse effect on the Company’s business, financial condition and results of operations.</w:t>
      </w:r>
    </w:p>
    <w:p>
      <w:pPr>
        <w:spacing w:after="0" w:line="179"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Company’ executives and other key employees are critical to the Company’s success. The loss of and/or failure to attract and maintain its highly skilled employees could adversely affect the Company’s business.</w:t>
      </w:r>
    </w:p>
    <w:p>
      <w:pPr>
        <w:spacing w:after="0" w:line="4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as well as growing pressure to increase wages for skilled personnel in the industry. The Company may not be able to attract and retain skilled personnel or may incur significant costs in order to do so.</w:t>
      </w:r>
    </w:p>
    <w:p>
      <w:pPr>
        <w:spacing w:after="0" w:line="171"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As a result of the Company’s prior acquisition of Filament, Taylor Parent has significant influence over the Company and its interests may conflict with the Company’s or its stockholders in the future.</w:t>
      </w:r>
    </w:p>
    <w:p>
      <w:pPr>
        <w:spacing w:after="0" w:line="4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As a result of the issuance of common stock to Taylor Parent, Taylor Parent has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spacing w:after="0" w:line="1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for a transaction that would result in a change of control of the Company; (ii) consummate any transaction for the sale of all or substantially all of the Company’s assets; (iii) file for reorganization pursuant to Chapter 11, or for liquidation pursuant to Chapter 7, of the U.S. Bankruptcy Code; (iv) liquidate or dissolve the business and affairs of the Company; (v) take any Board of Directors action 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w:t>
      </w:r>
    </w:p>
    <w:p>
      <w:pPr>
        <w:spacing w:after="0" w:line="4" w:lineRule="exact"/>
        <w:rPr>
          <w:sz w:val="20"/>
          <w:szCs w:val="20"/>
          <w:color w:val="auto"/>
        </w:rPr>
      </w:pPr>
    </w:p>
    <w:p>
      <w:pPr>
        <w:ind w:firstLine="3"/>
        <w:spacing w:after="0" w:line="256" w:lineRule="auto"/>
        <w:tabs>
          <w:tab w:leader="none" w:pos="29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debt in excess of $100 million in the aggregate, subject to certain exceptions; (vii) acquire or dispose of assets or a business, in each case with an individual value in excess of $100 million; or (viii)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spacing w:after="0" w:line="179"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Accordingly, Taylor Parent’s influence over the Company and the consequences of such control could have a material adverse effect on the Company’s business and business prospects and negatively impact the trading price of its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1"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Company recognizes the critical importance of developing, implementing, and maintaining robust cybersecurity measures to safeguard its information systems and to protect the confidentiality, integrity, and availability of its data.</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has integrated cybersecurity risk management into its broader enterprise risk management (“ERM”) through defined training and incident response plans. The incident response plan defines the objectives, roles and responsibilities and scope of our incident response program, is designed to detect actual or potential cybersecurity events and is triggered by Endpoint Detection and Response (“EDR”) system behavior monitoring. Once initiated, the incident response plan consists of several phases, which includes i) detecting a significant observable event, ii) examining a security related event with potential negative IT consequences for the company and iii) analyzing the risk of the event and the degree of remediation required. The Company has developed an incident management plan that operates within the incident response plan to help define the objectives, roles, responsibilities, and scope of our incident response plan.</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 addition, the Company’s training and response methodology includes regular end user cybersecurity updates, phishing tests and online trainings. We believe that these measures helps promote a company-wide culture of appropriate cybersecurity risk management, as well as ensure that cybersecurity considerations are an integral part of the Company’s ERM decision-making processes at every level. The Company considers industry best practices to continuously evaluate and address cybersecurity risks in alignment with its business objectives and operational needs.</w:t>
      </w:r>
    </w:p>
    <w:p>
      <w:pPr>
        <w:spacing w:after="0" w:line="170"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full Board of Directors is responsible for the oversight of the Company’s cybersecurity risk management. The Board is updated by the EVP, Global Supply Chain &amp; Import regularly to remain informed on the Company’s efforts in managing risks associated with cybersecurity threats.</w:t>
      </w:r>
    </w:p>
    <w:p>
      <w:pPr>
        <w:spacing w:after="0" w:line="151"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7"/>
          <w:szCs w:val="17"/>
          <w:color w:val="auto"/>
        </w:rPr>
        <w:t>The Company’s Infrastructure Director is responsible for managing cybersecurity risks, including the prevention, detection, mitigation, and remediation of cybersecurity incidents. The Infrastructure Director has 20 years of experience in the creation and management of enterprise security risk programs. The Infrastructure Director reports to the EVP, Global Supply Chain &amp; Import, who oversees the Company’s management of cybersecurity risk. Through these activities and monitoring, both internally and externally, any events or incidents identified will be escalated to the appropriate Business Team Member in accordance with the Company’s Incident Management Plan.</w:t>
      </w:r>
    </w:p>
    <w:p>
      <w:pPr>
        <w:spacing w:after="0" w:line="17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Company engages with third-party experts, including cybersecurity focused Security Operations Center (SOC) and leading-edge EDR providers, to assist in evaluating and detecting security risk and initiate corrective actions. These partnerships enable the Company to leverage specialized knowledge and insights, ensuring cybersecurity strategies and processes remain aligned with industry best practices. The collaboration with these third parties includes regular audits, threat assessments, and consultation on security enhancements.</w:t>
      </w:r>
    </w:p>
    <w:p>
      <w:pPr>
        <w:spacing w:after="0" w:line="17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Company uses third-party service providers in various functions throughout its business. The Company has stringent processes to oversee and manage risk with these third parties. The Company’s process includes risk assessment activities, such as security assessments of all third-party providers, policies such as “minimum required access” to ensure compliance with current cybersecurity standards and monitoring activities, such as the review of potential cyber breaches announcements made by the third-party service providers.</w:t>
      </w:r>
    </w:p>
    <w:p>
      <w:pPr>
        <w:spacing w:after="0" w:line="17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Notwithstanding the approach we take to cybersecurity risk management, we may be unsuccessful in preventing or mitigating a cybersecurity incident that could have a material adverse effect on us. While the Company maintains cybersecurity insurance, the costs related to cybersecurity threats or disruptions may not be fully insured. See Item 1A. “Risk Factors” for a discussion of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lists the principal properties at which the Company operated its business at December 31, 2024:</w:t>
      </w:r>
    </w:p>
    <w:p>
      <w:pPr>
        <w:sectPr>
          <w:pgSz w:w="11900" w:h="16838" w:orient="portrait"/>
          <w:cols w:equalWidth="0" w:num="1">
            <w:col w:w="11220"/>
          </w:cols>
          <w:pgMar w:left="320" w:top="123" w:right="359" w:bottom="1440"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r>
        <w:trPr>
          <w:trHeight w:val="209"/>
        </w:trPr>
        <w:tc>
          <w:tcPr>
            <w:tcW w:w="3300" w:type="dxa"/>
            <w:vAlign w:val="bottom"/>
          </w:tcPr>
          <w:p>
            <w:pPr>
              <w:ind w:left="20"/>
              <w:spacing w:after="0" w:line="209" w:lineRule="exact"/>
              <w:rPr>
                <w:sz w:val="20"/>
                <w:szCs w:val="20"/>
                <w:color w:val="auto"/>
              </w:rPr>
            </w:pPr>
            <w:r>
              <w:rPr>
                <w:rFonts w:ascii="Times New Roman" w:cs="Times New Roman" w:eastAsia="Times New Roman" w:hAnsi="Times New Roman"/>
                <w:sz w:val="17"/>
                <w:szCs w:val="17"/>
                <w:color w:val="auto"/>
              </w:rPr>
              <w:t xml:space="preserve">Rialto, California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Coast warehouse and distribution facility</w:t>
            </w:r>
          </w:p>
        </w:tc>
      </w:tr>
      <w:tr>
        <w:trPr>
          <w:trHeight w:val="26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Robbinsville, New Jersey </w:t>
            </w:r>
            <w:r>
              <w:rPr>
                <w:rFonts w:ascii="Times New Roman" w:cs="Times New Roman" w:eastAsia="Times New Roman" w:hAnsi="Times New Roman"/>
                <w:sz w:val="22"/>
                <w:szCs w:val="22"/>
                <w:color w:val="auto"/>
                <w:vertAlign w:val="superscript"/>
              </w:rPr>
              <w:t>(1)(4)</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East Coast warehouse and distribution</w:t>
            </w:r>
          </w:p>
        </w:tc>
      </w:tr>
      <w:tr>
        <w:trPr>
          <w:trHeight w:val="139"/>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Pr>
          <w:p>
            <w:pPr>
              <w:ind w:left="20"/>
              <w:spacing w:after="0" w:line="138" w:lineRule="exact"/>
              <w:rPr>
                <w:sz w:val="20"/>
                <w:szCs w:val="20"/>
                <w:color w:val="auto"/>
              </w:rPr>
            </w:pPr>
            <w:r>
              <w:rPr>
                <w:rFonts w:ascii="Times New Roman" w:cs="Times New Roman" w:eastAsia="Times New Roman" w:hAnsi="Times New Roman"/>
                <w:sz w:val="16"/>
                <w:szCs w:val="16"/>
                <w:color w:val="auto"/>
              </w:rPr>
              <w:t>facility</w:t>
            </w:r>
          </w:p>
        </w:tc>
      </w:tr>
      <w:tr>
        <w:trPr>
          <w:trHeight w:val="186"/>
        </w:trPr>
        <w:tc>
          <w:tcPr>
            <w:tcW w:w="34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6"/>
                <w:szCs w:val="16"/>
                <w:color w:val="auto"/>
              </w:rPr>
              <w:t xml:space="preserve">Aston, England </w:t>
            </w:r>
            <w:r>
              <w:rPr>
                <w:rFonts w:ascii="Times New Roman" w:cs="Times New Roman" w:eastAsia="Times New Roman" w:hAnsi="Times New Roman"/>
                <w:sz w:val="21"/>
                <w:szCs w:val="21"/>
                <w:color w:val="auto"/>
                <w:vertAlign w:val="superscript"/>
              </w:rPr>
              <w:t>(2)</w:t>
            </w:r>
          </w:p>
        </w:tc>
        <w:tc>
          <w:tcPr>
            <w:tcW w:w="344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Offices, showroom, warehouse and distribution</w:t>
            </w:r>
          </w:p>
        </w:tc>
      </w:tr>
      <w:tr>
        <w:trPr>
          <w:trHeight w:val="215"/>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w:t>
            </w:r>
          </w:p>
        </w:tc>
      </w:tr>
      <w:tr>
        <w:trPr>
          <w:trHeight w:val="26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Winchendon, Massachusetts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Warehouse and distribution facility, and spice</w:t>
            </w:r>
          </w:p>
        </w:tc>
      </w:tr>
      <w:tr>
        <w:trPr>
          <w:trHeight w:val="134"/>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packing line</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Garden City, New York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headquarters/main showroom</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Las Cruces, New Mexico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warehouse and distribution facility</w:t>
            </w:r>
          </w:p>
        </w:tc>
      </w:tr>
      <w:tr>
        <w:trPr>
          <w:trHeight w:val="224"/>
        </w:trPr>
        <w:tc>
          <w:tcPr>
            <w:tcW w:w="340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San Germán, Puerto Rico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Sterling silver manufacturing facility</w:t>
            </w:r>
          </w:p>
        </w:tc>
      </w:tr>
      <w:tr>
        <w:trPr>
          <w:trHeight w:val="26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Medford, Massachusetts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showroom, warehouse and distribution</w:t>
            </w:r>
          </w:p>
        </w:tc>
      </w:tr>
      <w:tr>
        <w:trPr>
          <w:trHeight w:val="134"/>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facility</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Oak Brook, Illinois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Seattle, Washington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Shanghai,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24"/>
        </w:trPr>
        <w:tc>
          <w:tcPr>
            <w:tcW w:w="340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New York, New York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showrooms</w:t>
            </w:r>
          </w:p>
        </w:tc>
      </w:tr>
      <w:tr>
        <w:trPr>
          <w:trHeight w:val="21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Chihuahua, Mexico</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Manufacturing facility</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Atlanta, Georgia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Showrooms</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Guangzhou,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Bentonville, Arkansas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Newtown, Pennsylvania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Pawtucket, Rhode Island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Menomonee Falls, Wisconsin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Tianjin,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Minneapolis, Minnesota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20"/>
        </w:trPr>
        <w:tc>
          <w:tcPr>
            <w:tcW w:w="3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Kowloon, Hong Kong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9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Issaquah, Washington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14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88"/>
        </w:trPr>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(square feet)</w:t>
            </w:r>
          </w:p>
        </w:tc>
        <w:tc>
          <w:tcPr>
            <w:tcW w:w="14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Leased</w:t>
            </w:r>
          </w:p>
        </w:tc>
      </w:tr>
      <w:tr>
        <w:trPr>
          <w:trHeight w:val="221"/>
        </w:trPr>
        <w:tc>
          <w:tcPr>
            <w:tcW w:w="2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703,000</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07"/>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401"/>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401"/>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Owned</w:t>
            </w:r>
          </w:p>
        </w:tc>
      </w:tr>
      <w:tr>
        <w:trPr>
          <w:trHeight w:val="306"/>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3"/>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1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06"/>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3"/>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bl>
    <w:p>
      <w:pPr>
        <w:spacing w:after="0" w:line="83" w:lineRule="exact"/>
        <w:rPr>
          <w:sz w:val="20"/>
          <w:szCs w:val="20"/>
          <w:color w:val="auto"/>
        </w:rPr>
      </w:pPr>
    </w:p>
    <w:p>
      <w:pPr>
        <w:sectPr>
          <w:pgSz w:w="11900" w:h="16838" w:orient="portrait"/>
          <w:cols w:equalWidth="0" w:num="2">
            <w:col w:w="6840" w:space="100"/>
            <w:col w:w="4280"/>
          </w:cols>
          <w:pgMar w:left="320" w:top="123" w:right="359" w:bottom="1440" w:gutter="0" w:footer="0" w:header="0"/>
          <w:type w:val="continuous"/>
        </w:sectPr>
      </w:pPr>
    </w:p>
    <w:p>
      <w:pPr>
        <w:ind w:left="460" w:hanging="457"/>
        <w:spacing w:after="0"/>
        <w:tabs>
          <w:tab w:leader="none" w:pos="46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Location primarily used by the U.S. segment.</w:t>
      </w:r>
    </w:p>
    <w:p>
      <w:pPr>
        <w:ind w:left="460" w:hanging="457"/>
        <w:spacing w:after="0"/>
        <w:tabs>
          <w:tab w:leader="none" w:pos="4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Location used by the International segment.</w:t>
      </w:r>
    </w:p>
    <w:p>
      <w:pPr>
        <w:spacing w:after="0" w:line="3" w:lineRule="exact"/>
        <w:rPr>
          <w:rFonts w:ascii="Times New Roman" w:cs="Times New Roman" w:eastAsia="Times New Roman" w:hAnsi="Times New Roman"/>
          <w:sz w:val="9"/>
          <w:szCs w:val="9"/>
          <w:color w:val="auto"/>
        </w:rPr>
      </w:pPr>
    </w:p>
    <w:p>
      <w:pPr>
        <w:ind w:left="460" w:hanging="457"/>
        <w:spacing w:after="0"/>
        <w:tabs>
          <w:tab w:leader="none" w:pos="4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Location used by both segments.</w:t>
      </w:r>
    </w:p>
    <w:p>
      <w:pPr>
        <w:spacing w:after="0" w:line="6" w:lineRule="exact"/>
        <w:rPr>
          <w:rFonts w:ascii="Times New Roman" w:cs="Times New Roman" w:eastAsia="Times New Roman" w:hAnsi="Times New Roman"/>
          <w:sz w:val="9"/>
          <w:szCs w:val="9"/>
          <w:color w:val="auto"/>
        </w:rPr>
      </w:pPr>
    </w:p>
    <w:p>
      <w:pPr>
        <w:ind w:left="460" w:right="120" w:hanging="457"/>
        <w:spacing w:after="0" w:line="228" w:lineRule="auto"/>
        <w:tabs>
          <w:tab w:leader="none" w:pos="448"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January 2025, the Company entered into a lease agreement for warehouse and distribution space in Hagerstown, Maryland (the “Hagerstown Facility”). The Company expects that the facility will be operational by the second quarter of 2026. The Facility will serve as the Company’s primary east coast distribution facility primarily for its U.S. segment, which will replace the Company’s existing Robbinsville, New Jersey facility, the lease for which expires in November 2026.</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For a description of our legal proceedings, please see NOTE 13 — COMMITMENTS AND CONTINGENCIES, to the Company's consolidated financial statements included in this Annual Report on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00"/>
          </w:cols>
          <w:pgMar w:left="320" w:top="123" w:right="9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1" w:lineRule="exact"/>
        <w:rPr>
          <w:sz w:val="20"/>
          <w:szCs w:val="20"/>
          <w:color w:val="auto"/>
        </w:rPr>
      </w:pPr>
    </w:p>
    <w:p>
      <w:pPr>
        <w:ind w:right="2220"/>
        <w:spacing w:after="0" w:line="419" w:lineRule="auto"/>
        <w:rPr>
          <w:sz w:val="20"/>
          <w:szCs w:val="20"/>
          <w:color w:val="auto"/>
        </w:rPr>
      </w:pPr>
      <w:r>
        <w:rPr>
          <w:rFonts w:ascii="Times New Roman" w:cs="Times New Roman" w:eastAsia="Times New Roman" w:hAnsi="Times New Roman"/>
          <w:sz w:val="17"/>
          <w:szCs w:val="17"/>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7"/>
          <w:szCs w:val="17"/>
          <w:color w:val="auto"/>
        </w:rPr>
        <w:t>The Company’s common stock is traded under the symbol “LCUT” on the Nasdaq Global Select Market (“Nasdaq”).</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February 28, 2025, the Company estimates that there were approximately 3,782 record holders of the Company’s common stock.</w:t>
      </w:r>
    </w:p>
    <w:p>
      <w:pPr>
        <w:spacing w:after="0" w:line="218"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Company is authorized to issue 100 shares of Series A Preferred stock and 2,000,000 shares of Series B Preferred stock, none of which were issued or outstanding at December 31, 2024.</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For a discussion of dividends paid by the Company in 2024 and 2023, refer to Item 7. Management’s Discussion and Analysis of Financial Condition and Results of Operations – Liquidity and Capital Resources – Dividends. The Board of Directors currently intends to continue paying cash dividends for the foreseeable future, although the Board of Directors may in its discretion determine to modify or eliminate such dividends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119"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The following chart compares the cumulative total return on the Company’s common stock with the Nasdaq Market Index, the Hemscott Group Index for Housewares &amp; Accessories, the Company’s peer group, which is comprised of companies that we believe have comparable characteristics and are in the same industry or line-of-business. The comparisons in this chart are required by the SEC and are not intended to forecast or be indicative of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5907405" cy="3134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07405" cy="313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Lifetime</w:t>
            </w:r>
          </w:p>
        </w:tc>
        <w:tc>
          <w:tcPr>
            <w:tcW w:w="220" w:type="dxa"/>
            <w:vAlign w:val="bottom"/>
          </w:tcPr>
          <w:p>
            <w:pPr>
              <w:spacing w:after="0"/>
              <w:rPr>
                <w:sz w:val="13"/>
                <w:szCs w:val="13"/>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Hemscott</w:t>
            </w:r>
          </w:p>
        </w:tc>
        <w:tc>
          <w:tcPr>
            <w:tcW w:w="260" w:type="dxa"/>
            <w:vAlign w:val="bottom"/>
          </w:tcPr>
          <w:p>
            <w:pPr>
              <w:spacing w:after="0"/>
              <w:rPr>
                <w:sz w:val="13"/>
                <w:szCs w:val="13"/>
                <w:color w:val="auto"/>
              </w:rPr>
            </w:pPr>
          </w:p>
        </w:tc>
        <w:tc>
          <w:tcPr>
            <w:tcW w:w="1200" w:type="dxa"/>
            <w:vAlign w:val="bottom"/>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New Peer</w:t>
            </w:r>
          </w:p>
        </w:tc>
        <w:tc>
          <w:tcPr>
            <w:tcW w:w="340" w:type="dxa"/>
            <w:vAlign w:val="bottom"/>
          </w:tcPr>
          <w:p>
            <w:pPr>
              <w:spacing w:after="0"/>
              <w:rPr>
                <w:sz w:val="13"/>
                <w:szCs w:val="13"/>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Old Peer</w:t>
            </w:r>
          </w:p>
        </w:tc>
        <w:tc>
          <w:tcPr>
            <w:tcW w:w="280" w:type="dxa"/>
            <w:vAlign w:val="bottom"/>
          </w:tcPr>
          <w:p>
            <w:pPr>
              <w:spacing w:after="0"/>
              <w:rPr>
                <w:sz w:val="13"/>
                <w:szCs w:val="13"/>
                <w:color w:val="auto"/>
              </w:rPr>
            </w:pPr>
          </w:p>
        </w:tc>
        <w:tc>
          <w:tcPr>
            <w:tcW w:w="116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Nasdaq</w:t>
            </w:r>
          </w:p>
        </w:tc>
        <w:tc>
          <w:tcPr>
            <w:tcW w:w="0" w:type="dxa"/>
            <w:vAlign w:val="bottom"/>
          </w:tcPr>
          <w:p>
            <w:pPr>
              <w:spacing w:after="0"/>
              <w:rPr>
                <w:sz w:val="1"/>
                <w:szCs w:val="1"/>
                <w:color w:val="auto"/>
              </w:rPr>
            </w:pPr>
          </w:p>
        </w:tc>
      </w:tr>
      <w:tr>
        <w:trPr>
          <w:trHeight w:val="142"/>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0" w:type="dxa"/>
            <w:vAlign w:val="bottom"/>
          </w:tcPr>
          <w:p>
            <w:pPr>
              <w:spacing w:after="0"/>
              <w:rPr>
                <w:sz w:val="1"/>
                <w:szCs w:val="1"/>
                <w:color w:val="auto"/>
              </w:rPr>
            </w:pPr>
          </w:p>
        </w:tc>
      </w:tr>
      <w:tr>
        <w:trPr>
          <w:trHeight w:val="188"/>
        </w:trPr>
        <w:tc>
          <w:tcPr>
            <w:tcW w:w="3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Brands, Inc.</w:t>
            </w: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Group Index</w:t>
            </w:r>
          </w:p>
        </w:tc>
        <w:tc>
          <w:tcPr>
            <w:tcW w:w="260" w:type="dxa"/>
            <w:vAlign w:val="bottom"/>
          </w:tcPr>
          <w:p>
            <w:pPr>
              <w:spacing w:after="0"/>
              <w:rPr>
                <w:sz w:val="16"/>
                <w:szCs w:val="16"/>
                <w:color w:val="auto"/>
              </w:rPr>
            </w:pPr>
          </w:p>
        </w:tc>
        <w:tc>
          <w:tcPr>
            <w:tcW w:w="12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34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Group</w:t>
            </w:r>
          </w:p>
        </w:tc>
        <w:tc>
          <w:tcPr>
            <w:tcW w:w="280" w:type="dxa"/>
            <w:vAlign w:val="bottom"/>
          </w:tcPr>
          <w:p>
            <w:pPr>
              <w:spacing w:after="0"/>
              <w:rPr>
                <w:sz w:val="16"/>
                <w:szCs w:val="16"/>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0" w:type="dxa"/>
            <w:vAlign w:val="bottom"/>
          </w:tcPr>
          <w:p>
            <w:pPr>
              <w:spacing w:after="0"/>
              <w:rPr>
                <w:sz w:val="1"/>
                <w:szCs w:val="1"/>
                <w:color w:val="auto"/>
              </w:rPr>
            </w:pPr>
          </w:p>
        </w:tc>
      </w:tr>
      <w:tr>
        <w:trPr>
          <w:trHeight w:val="218"/>
        </w:trPr>
        <w:tc>
          <w:tcPr>
            <w:tcW w:w="3160" w:type="dxa"/>
            <w:vAlign w:val="bottom"/>
            <w:tcBorders>
              <w:top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12/31/2019 </w:t>
            </w:r>
            <w:r>
              <w:rPr>
                <w:rFonts w:ascii="Times New Roman" w:cs="Times New Roman" w:eastAsia="Times New Roman" w:hAnsi="Times New Roman"/>
                <w:sz w:val="22"/>
                <w:szCs w:val="22"/>
                <w:color w:val="auto"/>
                <w:vertAlign w:val="superscript"/>
              </w:rPr>
              <w:t>(1)(2)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100.00</w:t>
            </w:r>
          </w:p>
        </w:tc>
        <w:tc>
          <w:tcPr>
            <w:tcW w:w="3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12/31/2020</w:t>
            </w:r>
          </w:p>
        </w:tc>
        <w:tc>
          <w:tcPr>
            <w:tcW w:w="120" w:type="dxa"/>
            <w:vAlign w:val="bottom"/>
          </w:tcPr>
          <w:p>
            <w:pPr>
              <w:spacing w:after="0"/>
              <w:rPr>
                <w:sz w:val="19"/>
                <w:szCs w:val="19"/>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118.80</w:t>
            </w:r>
          </w:p>
        </w:tc>
        <w:tc>
          <w:tcPr>
            <w:tcW w:w="120" w:type="dxa"/>
            <w:vAlign w:val="bottom"/>
          </w:tcPr>
          <w:p>
            <w:pPr>
              <w:spacing w:after="0"/>
              <w:rPr>
                <w:sz w:val="19"/>
                <w:szCs w:val="19"/>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133.63</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124.02</w:t>
            </w:r>
          </w:p>
        </w:tc>
        <w:tc>
          <w:tcPr>
            <w:tcW w:w="120" w:type="dxa"/>
            <w:vAlign w:val="bottom"/>
          </w:tcPr>
          <w:p>
            <w:pPr>
              <w:spacing w:after="0"/>
              <w:rPr>
                <w:sz w:val="19"/>
                <w:szCs w:val="19"/>
                <w:color w:val="auto"/>
              </w:rPr>
            </w:pP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144.92</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12/31/2021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155.76</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177.06</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12/31/2022</w:t>
            </w:r>
          </w:p>
        </w:tc>
        <w:tc>
          <w:tcPr>
            <w:tcW w:w="120" w:type="dxa"/>
            <w:vAlign w:val="bottom"/>
          </w:tcPr>
          <w:p>
            <w:pPr>
              <w:spacing w:after="0"/>
              <w:rPr>
                <w:sz w:val="19"/>
                <w:szCs w:val="19"/>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79.15</w:t>
            </w:r>
          </w:p>
        </w:tc>
        <w:tc>
          <w:tcPr>
            <w:tcW w:w="120" w:type="dxa"/>
            <w:vAlign w:val="bottom"/>
          </w:tcPr>
          <w:p>
            <w:pPr>
              <w:spacing w:after="0"/>
              <w:rPr>
                <w:sz w:val="19"/>
                <w:szCs w:val="19"/>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92.38</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105.86</w:t>
            </w:r>
          </w:p>
        </w:tc>
        <w:tc>
          <w:tcPr>
            <w:tcW w:w="120" w:type="dxa"/>
            <w:vAlign w:val="bottom"/>
          </w:tcPr>
          <w:p>
            <w:pPr>
              <w:spacing w:after="0"/>
              <w:rPr>
                <w:sz w:val="19"/>
                <w:szCs w:val="19"/>
                <w:color w:val="auto"/>
              </w:rPr>
            </w:pP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12/31/2023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103.84</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172.77</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12/31/2024</w:t>
            </w:r>
          </w:p>
        </w:tc>
        <w:tc>
          <w:tcPr>
            <w:tcW w:w="120" w:type="dxa"/>
            <w:vAlign w:val="bottom"/>
          </w:tcPr>
          <w:p>
            <w:pPr>
              <w:spacing w:after="0"/>
              <w:rPr>
                <w:sz w:val="19"/>
                <w:szCs w:val="19"/>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64.94</w:t>
            </w:r>
          </w:p>
        </w:tc>
        <w:tc>
          <w:tcPr>
            <w:tcW w:w="120" w:type="dxa"/>
            <w:vAlign w:val="bottom"/>
          </w:tcPr>
          <w:p>
            <w:pPr>
              <w:spacing w:after="0"/>
              <w:rPr>
                <w:sz w:val="19"/>
                <w:szCs w:val="19"/>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75.92</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108.50</w:t>
            </w:r>
          </w:p>
        </w:tc>
        <w:tc>
          <w:tcPr>
            <w:tcW w:w="120" w:type="dxa"/>
            <w:vAlign w:val="bottom"/>
          </w:tcPr>
          <w:p>
            <w:pPr>
              <w:spacing w:after="0"/>
              <w:rPr>
                <w:sz w:val="19"/>
                <w:szCs w:val="19"/>
                <w:color w:val="auto"/>
              </w:rPr>
            </w:pP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223.87</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60" w:right="20" w:hanging="457"/>
        <w:spacing w:after="0" w:line="251" w:lineRule="auto"/>
        <w:tabs>
          <w:tab w:leader="none" w:pos="448"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graph assumes $100 was invested as of the close of trading on December 31, 2019 and dividends were reinvested. Measurement points are at the last trading day of each of the fiscal years ended December 31, 2020, 2021, 2022, 2023 and 2024. The material in this chart is not soliciting material, is not deemed filed with the SEC and is not incorporated by reference in any filing of the Company under the Securities Act of 1933, as amended, or the Securities Exchange Act of 1934, as amended, irrespective of any general incorporation by reference language in such filing. A list of the companies included in the Company’s Hemscott Group Index will be furnished by the Company to any stockholder upon written request to the Chief Financial Officer of the Company. New peer group comprises of The Buckle, Inc., Delta Apparel, Inc., Unifi, Inc., Universal Electronics Inc., iRobot Corporation, Hamilton Beach Brands Holding Company, Helen of Troy Limited, Vera Bradley, Inc., Johnson Outdoors Inc., Lands’ End, Movado Group, Inc., Oxford Industries, Inc., JAKKS Pacific, Inc., YETI Holdings, Inc., Solo Brands, Inc., Superior Group of Companies. Old peer Group comprises of Acushnet Holdings Corp., Crocs, Inc., Hamilton Beach Brands Holding Co., Helen of Troy Ltd., Lands’ End, Inc., Johnson Outdoors Inc., Movado Group, Inc., Oxford Industries, Inc., The Buckle, Inc. and Tupperware Brands Corp., Unifi, Inc., Universal Electronics Inc., Vera Bradley, Inc., YETI Holdings, Inc.</w:t>
      </w:r>
    </w:p>
    <w:p>
      <w:pPr>
        <w:spacing w:after="0" w:line="35" w:lineRule="exact"/>
        <w:rPr>
          <w:rFonts w:ascii="Times New Roman" w:cs="Times New Roman" w:eastAsia="Times New Roman" w:hAnsi="Times New Roman"/>
          <w:sz w:val="9"/>
          <w:szCs w:val="9"/>
          <w:color w:val="auto"/>
        </w:rPr>
      </w:pPr>
    </w:p>
    <w:p>
      <w:pPr>
        <w:ind w:left="460" w:hanging="457"/>
        <w:spacing w:after="0" w:line="217" w:lineRule="auto"/>
        <w:tabs>
          <w:tab w:leader="none" w:pos="448"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graph was prepared by Zacks Investment Research, Inc. Used with permission. All rights reserved. Copyright 1980-2024. Index Data: Copyright NASDAQ OMX, Inc. Used with permission. All rights reserved.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consolidated financial statements for the Company and Notes thereto set forth in Item 15. 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“Risk Factors Summary” under Item 1A “Risk Factors” and under Item 7A “Quantitative and Qualitative Disclosures Regarding Market Risk.” The Company undertakes no obligation to update publicly any forward-looking statements for any reason, even if new information becomes available or other events occur in the future, other than as required by law.</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THE COMPANY</w:t>
      </w:r>
    </w:p>
    <w:p>
      <w:pPr>
        <w:spacing w:after="0" w:line="11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 KitchenAid®, Mikasa®, Taylor®, Pfaltzgraff® , BUILT NY®, S'well®, Fred® &amp; Friends, KitchenCraft® , Rabbit®, and Kamenstein®.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 The Company has segmented its operations to reflect the manner in which management reviews and evaluates its results of operations.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9"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The Company’s business and working capital needs are seasonal, with a majority of sales occurring in the third and fourth quarters. In 2024, 2023 and 2022, net sales for the third and fourth quarters accounted for 58%, 57% and 54% of total annual net sales, respectively. In anticipation of the pre-holiday shipping season, inventory levels increase primarily in the June through October time period.</w:t>
      </w:r>
    </w:p>
    <w:p>
      <w:pPr>
        <w:spacing w:after="0" w:line="167"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Consistent with the seasonality of the Company’s net sales and inventory levels, the Company also experiences seasonality in its inventory turnover and turnover days from one quarter to the next.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w:t>
      </w:r>
    </w:p>
    <w:p>
      <w:pPr>
        <w:spacing w:after="0" w:line="119"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During the year ended December 31, 2023, the Company incurred $0.8 million of restructuring expense in connection with the termination of the Company’s Executive Chairman as described below.</w:t>
      </w:r>
    </w:p>
    <w:p>
      <w:pPr>
        <w:spacing w:after="0" w:line="15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2022, the Company’s international segment incurred $0.4 million of restructuring expenses related to severance associated with the reorganization of the International segment’s workforce. The reorganization was the result of the Company’s efforts to realign the management and operating structure of the European business in response to changing market conditions.</w:t>
      </w:r>
    </w:p>
    <w:p>
      <w:pPr>
        <w:spacing w:after="0" w:line="167" w:lineRule="exact"/>
        <w:rPr>
          <w:sz w:val="20"/>
          <w:szCs w:val="20"/>
          <w:color w:val="auto"/>
        </w:rPr>
      </w:pPr>
    </w:p>
    <w:p>
      <w:pPr>
        <w:ind w:right="900"/>
        <w:spacing w:after="0" w:line="288" w:lineRule="auto"/>
        <w:rPr>
          <w:sz w:val="20"/>
          <w:szCs w:val="20"/>
          <w:color w:val="auto"/>
        </w:rPr>
      </w:pPr>
      <w:r>
        <w:rPr>
          <w:rFonts w:ascii="Times New Roman" w:cs="Times New Roman" w:eastAsia="Times New Roman" w:hAnsi="Times New Roman"/>
          <w:sz w:val="17"/>
          <w:szCs w:val="17"/>
          <w:color w:val="auto"/>
        </w:rPr>
        <w:t>In 2022, the Company’s U.S. segment incurred $0.4 million of restructuring expense in connection with the reorganization of the U.S. segment’s sales management structure. The payment was made in 2023.</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2022, the Company incurred $0.6 million of unallocated expense related to the termination payment with its Executive Chairman, Jeffrey Siegel. On November 1, 2022, the Company entered into a transition agreement with Jeffrey Siegel, which terminated his employment with the Company, effective March 31, 2023. The transition agreement amended Mr. Siegel’s employment agreement which was to expire on December 31, 2022. The employment agreement provided for a one-time payment, which was paid on April 7, 2023. The one-time payment of $1.4 million, was recognized over the remaining employment period with $0.6 million recognized in the fourth quarter of 2023 and the remaining $0.8 million recognized in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early 2025, the U.S. government announced and, in some cases, implemented additional tariffs on certain foreign goods, including certain finished products and raw materials such as steel and aluminum. These tariffs are likely to result in increased prices for these imported goods and materials and may limit the amount of these goods and materials that may be imported into the U.S. The Company purchases a high concentration of products from unaffiliated manufacturers located in China and other counties outside the U.S. This concentration exposes the Company to risks associated with doing business globally, including risks relating to tariffs.</w:t>
      </w:r>
    </w:p>
    <w:p>
      <w:pPr>
        <w:spacing w:after="0" w:line="17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 January 2025, the Company announced the relocation of the Company’s east coast distribution facility currently located in Robbinsville, NJ (the “Robbinsville Facility”) to a warehouse and distribution space in Hagerstown, Maryland (the “Hagerstown Facility”). In connection with the relocation, the Company will exit the Robbinsville Facility. The Company expects to incur one-time exit costs up to $7.0 million for employee severance, certain employee relocation costs, and remaining lease costs for the Robbinsville Facility, which costs are expected to be incurred in 2025 and 2026.</w:t>
      </w:r>
    </w:p>
    <w:p>
      <w:pPr>
        <w:spacing w:after="0" w:line="1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Hagerstown Facility will require capital expenditures for equipment and certain leasehold improvements of approximately $10.0 million. One-time relocation costs are estimated to be up to $7.0 million, which includes recruitment, relocation of inventory, set up costs and lease expenses prior to the Hagerstown Facility being fully operational. These one-time costs are expected to be incurred in 2026. The Company expects that the Hagerstown Facility will be operational by the second quarter of 2026. Additionally, in connection with the relocation to the Hagerstown Facility, the Company will receive tax abatement and incentives over the term of the Lease from the State of Maryland and Washington County, Maryland totaling approximately $13 million. These incentives include real property tax abatement, employee state withholding tax credit, conditional grants and income tax credits.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ADOPTION OF ACCOUNTING PRINCIPLES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Adopted accounting pronouncements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 December 2024, the Company adopted Accounting Standards Update No. (“ASU”) 2023-07, Segment Reporting (Topic 280): Improvements to Reportable Segment Disclosures: which enhances the disclosures required for operating segments in the Company’s annual and interim consolidated financial statements. The Company adopted this guidance on a retrospective basis and the adoption did not have a material impact on the Company’s consolidated financial statements. Refer to NOTE 12 — BUSINESS SEGMENTS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19"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Updates not listed below were assessed and either determined to not be applicable or are expected to have a minimal effect on the Company’s financial position, results of operations, and disclosures.</w:t>
      </w:r>
    </w:p>
    <w:p>
      <w:pPr>
        <w:spacing w:after="0" w:line="15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spacing w:after="0" w:line="17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9"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The results of operations below focuses on the results of the year ended December 31, 2024 compared to the year ended December 31, 2023. For a discussion of 2023 compared to 2022 refer to “Management's Discussion and Analysis of Financial Condition and Results of Operations”, in Part II, Item 7 of the Company’s Annual Report on Form 10-K for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statement of operations data of the Company as a percentage of net sales for the periods indicated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6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top w:val="single" w:sz="8" w:color="auto"/>
            </w:tcBorders>
            <w:gridSpan w:val="2"/>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9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440" w:type="dxa"/>
            <w:vAlign w:val="bottom"/>
            <w:gridSpan w:val="2"/>
          </w:tcPr>
          <w:p>
            <w:pPr>
              <w:jc w:val="right"/>
              <w:ind w:right="136"/>
              <w:spacing w:after="0"/>
              <w:rPr>
                <w:sz w:val="20"/>
                <w:szCs w:val="20"/>
                <w:color w:val="auto"/>
              </w:rPr>
            </w:pPr>
            <w:r>
              <w:rPr>
                <w:rFonts w:ascii="Times New Roman" w:cs="Times New Roman" w:eastAsia="Times New Roman" w:hAnsi="Times New Roman"/>
                <w:sz w:val="17"/>
                <w:szCs w:val="17"/>
                <w:color w:val="auto"/>
              </w:rPr>
              <w:t>61.8</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64.2</w:t>
            </w:r>
          </w:p>
        </w:tc>
        <w:tc>
          <w:tcPr>
            <w:tcW w:w="0" w:type="dxa"/>
            <w:vAlign w:val="bottom"/>
          </w:tcPr>
          <w:p>
            <w:pPr>
              <w:spacing w:after="0"/>
              <w:rPr>
                <w:sz w:val="1"/>
                <w:szCs w:val="1"/>
                <w:color w:val="auto"/>
              </w:rPr>
            </w:pPr>
          </w:p>
        </w:tc>
      </w:tr>
      <w:tr>
        <w:trPr>
          <w:trHeight w:val="21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9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expenses</w:t>
            </w:r>
          </w:p>
        </w:tc>
        <w:tc>
          <w:tcPr>
            <w:tcW w:w="3440" w:type="dxa"/>
            <w:vAlign w:val="bottom"/>
            <w:gridSpan w:val="2"/>
          </w:tcPr>
          <w:p>
            <w:pPr>
              <w:jc w:val="right"/>
              <w:ind w:right="136"/>
              <w:spacing w:after="0"/>
              <w:rPr>
                <w:sz w:val="20"/>
                <w:szCs w:val="20"/>
                <w:color w:val="auto"/>
              </w:rPr>
            </w:pPr>
            <w:r>
              <w:rPr>
                <w:rFonts w:ascii="Times New Roman" w:cs="Times New Roman" w:eastAsia="Times New Roman" w:hAnsi="Times New Roman"/>
                <w:sz w:val="17"/>
                <w:szCs w:val="17"/>
                <w:color w:val="auto"/>
              </w:rPr>
              <w:t>10.8</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23.4</w:t>
            </w:r>
          </w:p>
        </w:tc>
        <w:tc>
          <w:tcPr>
            <w:tcW w:w="1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expenses</w:t>
            </w:r>
          </w:p>
        </w:tc>
        <w:tc>
          <w:tcPr>
            <w:tcW w:w="198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Wallace facility remediation expense</w:t>
            </w:r>
          </w:p>
        </w:tc>
        <w:tc>
          <w:tcPr>
            <w:tcW w:w="19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980" w:type="dxa"/>
            <w:vAlign w:val="bottom"/>
          </w:tcPr>
          <w:p>
            <w:pPr>
              <w:spacing w:after="0"/>
              <w:rPr>
                <w:sz w:val="18"/>
                <w:szCs w:val="18"/>
                <w:color w:val="auto"/>
              </w:rPr>
            </w:pPr>
          </w:p>
        </w:tc>
        <w:tc>
          <w:tcPr>
            <w:tcW w:w="14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4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7"/>
                <w:szCs w:val="17"/>
                <w:color w:val="auto"/>
              </w:rPr>
              <w:t>(3.3)</w:t>
            </w:r>
          </w:p>
        </w:tc>
        <w:tc>
          <w:tcPr>
            <w:tcW w:w="15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 to market (loss) gain on interest rate derivatives</w:t>
            </w:r>
          </w:p>
        </w:tc>
        <w:tc>
          <w:tcPr>
            <w:tcW w:w="3440" w:type="dxa"/>
            <w:vAlign w:val="bottom"/>
            <w:gridSpan w:val="2"/>
          </w:tcPr>
          <w:p>
            <w:pPr>
              <w:ind w:left="2940"/>
              <w:spacing w:after="0"/>
              <w:rPr>
                <w:sz w:val="20"/>
                <w:szCs w:val="20"/>
                <w:color w:val="auto"/>
              </w:rPr>
            </w:pPr>
            <w:r>
              <w:rPr>
                <w:rFonts w:ascii="Times New Roman" w:cs="Times New Roman" w:eastAsia="Times New Roman" w:hAnsi="Times New Roman"/>
                <w:sz w:val="17"/>
                <w:szCs w:val="17"/>
                <w:color w:val="auto"/>
              </w:rPr>
              <w:t>(0.1)</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extinguishments of debt, net</w:t>
            </w:r>
          </w:p>
        </w:tc>
        <w:tc>
          <w:tcPr>
            <w:tcW w:w="19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equity securities</w:t>
            </w:r>
          </w:p>
        </w:tc>
        <w:tc>
          <w:tcPr>
            <w:tcW w:w="3440" w:type="dxa"/>
            <w:vAlign w:val="bottom"/>
            <w:gridSpan w:val="2"/>
          </w:tcPr>
          <w:p>
            <w:pPr>
              <w:ind w:left="294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 and equity in losses</w:t>
            </w:r>
          </w:p>
        </w:tc>
        <w:tc>
          <w:tcPr>
            <w:tcW w:w="19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440" w:type="dxa"/>
            <w:vAlign w:val="bottom"/>
            <w:gridSpan w:val="2"/>
          </w:tcPr>
          <w:p>
            <w:pPr>
              <w:ind w:left="2940"/>
              <w:spacing w:after="0"/>
              <w:rPr>
                <w:sz w:val="20"/>
                <w:szCs w:val="20"/>
                <w:color w:val="auto"/>
              </w:rPr>
            </w:pPr>
            <w:r>
              <w:rPr>
                <w:rFonts w:ascii="Times New Roman" w:cs="Times New Roman" w:eastAsia="Times New Roman" w:hAnsi="Times New Roman"/>
                <w:sz w:val="17"/>
                <w:szCs w:val="17"/>
                <w:color w:val="auto"/>
              </w:rPr>
              <w:t>(0.5)</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losses, net of taxes</w:t>
            </w:r>
          </w:p>
        </w:tc>
        <w:tc>
          <w:tcPr>
            <w:tcW w:w="344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7"/>
                <w:szCs w:val="17"/>
                <w:color w:val="auto"/>
              </w:rPr>
              <w:t>(0.3)</w:t>
            </w:r>
          </w:p>
        </w:tc>
        <w:tc>
          <w:tcPr>
            <w:tcW w:w="15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98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980" w:type="dxa"/>
            <w:vAlign w:val="bottom"/>
            <w:vMerge w:val="restart"/>
          </w:tcPr>
          <w:p>
            <w:pPr>
              <w:jc w:val="right"/>
              <w:ind w:right="854"/>
              <w:spacing w:after="0"/>
              <w:rPr>
                <w:sz w:val="20"/>
                <w:szCs w:val="20"/>
                <w:color w:val="auto"/>
              </w:rPr>
            </w:pPr>
            <w:r>
              <w:rPr>
                <w:rFonts w:ascii="Times New Roman" w:cs="Times New Roman" w:eastAsia="Times New Roman" w:hAnsi="Times New Roman"/>
                <w:sz w:val="17"/>
                <w:szCs w:val="17"/>
                <w:color w:val="auto"/>
              </w:rPr>
              <w:t>31</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6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8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2024 COMPARED TO 2023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7"/>
          <w:szCs w:val="17"/>
          <w:color w:val="auto"/>
        </w:rPr>
        <w:t>Net sales for the year ended December 31, 2024 were $683.0 million, a decrease of $3.7 million, or 0.5%, compared to net sales of $686.7 million in 2023. In constant currency, a non-GAAP financial measure, which excludes the impact of foreign exchange fluctuations and was determined by applying 2024 average rates to 2023 local currency amounts, net sales decreased $5.1 million, or 0.7%, as compared to consolidated net sales in the corresponding period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for the U.S. segment in 2024 were $627.2 million, a decrease of $5.9 million, or 0.9%, compared to net sales of $633.1 million in 2023.</w:t>
      </w:r>
    </w:p>
    <w:p>
      <w:pPr>
        <w:spacing w:after="0" w:line="21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Net sales for the U.S. segment’s Kitchenware product category in 2024 were $384.3 million, a decrease of $2.4 million, or 0.6%, compared to net sales of $386.7 million in 2023. The net sales decrease in the U.S. segment’s Kitchenware product category was driven by lower sales for kitchen tools and barware products. The decrease was partially offset by higher sales for cutlery and board, and bakeware products driven by new warehouse programs in 2024 and the launch of new product lines.</w:t>
      </w:r>
    </w:p>
    <w:p>
      <w:pPr>
        <w:spacing w:after="0" w:line="17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Net sales for the U.S. segment’s Tableware product category in 2024 were $132.8 million, a decrease of $5.5 million, or 4.0%, compared to net sales of $138.3 million for 2023. The decrease was attributable to lower warehouse club programs in 2024 as well as other brick-and-mortar customers. This decline was partially offset by sales e-commerce customers.</w:t>
      </w:r>
    </w:p>
    <w:p>
      <w:pPr>
        <w:spacing w:after="0" w:line="16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Net sales for the U.S. segment’s Home Solutions products category in 2024 were $110.1 million, an increase of $2.0 million, or 1.9%, compared to net sales of $108.1 million in 2023. The increase was driven by higher sales for Home Décor products driven by a new warehouse club program in 2024 and sales of a new licensed product brand, partially offset by lower hydration product sales and Taylor branded bath measurement products.</w:t>
      </w:r>
    </w:p>
    <w:p>
      <w:pPr>
        <w:spacing w:after="0" w:line="16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Net sales for the International segment in 2024 were $55.8 million, an increase of $2.2 million, or 4.1%, compared to net sales of $53.6 million for 2023. In constant currency, a non-GAAP financial measure, which excludes the impact of foreign exchange fluctuations and was determined by applying 2024 average exchange rates to 2023 local currency amounts, net sales increased approximately 1.6%. The increase was driven by higher sales with global trading business in Asia.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margin for 2024 was $260.7 million, or 38.2%, compared to $254.6 million, or 37.1%, for the corresponding period in 2023.</w:t>
      </w:r>
    </w:p>
    <w:p>
      <w:pPr>
        <w:spacing w:after="0" w:line="218"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17"/>
          <w:szCs w:val="17"/>
          <w:color w:val="auto"/>
        </w:rPr>
        <w:t>Gross margin for the U.S. segment was $240.3 million, or 38.3%, for 2024, compared to $236.5 million, or 37.4%, for 2023. The increase in gross margin percentage was due to lower inbound freight costs and favorable product mix.</w:t>
      </w:r>
    </w:p>
    <w:p>
      <w:pPr>
        <w:spacing w:after="0" w:line="151"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Gross margin for the International segment was $20.4 million, or 36.6%, for 2024, compared to $18.1 million, or 33.8%, for 2023. The increase in gross margin percentage was driven by lower inventory reserves in the current period.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expenses</w:t>
      </w:r>
    </w:p>
    <w:p>
      <w:pPr>
        <w:spacing w:after="0" w:line="11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Distribution expenses were $73.8 million for the 2024 period as compared to $69.2 million for the 2023 period. Distribution expenses as a percentage of net sales were 10.8% and 10.1% in 2024 and 2023.</w:t>
      </w:r>
    </w:p>
    <w:p>
      <w:pPr>
        <w:spacing w:after="0" w:line="1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Distribution expenses as a percentage of net sales for the U.S. segment were approximately 9.6% in 2024 and 8.8% in 2023. Distribution expenses in 2024 and 2023 included $1.0 million and $0.6 million, respectively, for redesign costs related to the Company’s U.S. warehouses. As a percentage of sales shipped from the Company’s warehouses, excluding warehouse redesign expenses, distribution expenses were 9.7% and 9.4% for 2024 and 2023. The increase in the expenses as a percentage of sales was a result of higher depreciation expense due to changes in asset retirement obligation estimates and less labor management efficiencies resulting in an increase of employee expenses, partially offset by lower storage expenses.</w:t>
      </w:r>
    </w:p>
    <w:p>
      <w:pPr>
        <w:spacing w:after="0" w:line="17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Distribution expenses as a percentage of net sales for the International segment were approximately 24.7% in 2024 and 25.0% in 2023, respectively. As a percentage of sales shipped from the Company’s international warehouses, distribution expenses were 22.1% and 22.3% for 2024 and 2023, respectively. The decrease in the expense as a percentage of sales was primarily attributed to favorable freight rates, partially offset by lower shipment volume in U.K. resulting in an unfavorable impact of fixed warehouse expenses.</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119"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Selling, general and administrative (“SG&amp;A”) expenses for 2024 were $159.8 million, an increase of $7.2 million, or 4.7%, as compared to $152.6 million for 2023.</w:t>
      </w:r>
    </w:p>
    <w:p>
      <w:pPr>
        <w:spacing w:after="0" w:line="1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SG&amp;A expenses for 2024 for the U.S. segment were $123.0 million, an increase of $5.6 million, or 4.8%, compared to $117.4 million for 2023. As a percentage of net sales, SG&amp;A expenses were 19.6% for 2024, compared to 18.5% for 2023. The increase in the expenses was attributable to higher employee expenses, amortization expense related to an indefinite trade name, which was reclassified to a definite lived trade name in 2024, expenses related to the start-up of the Company’s manufacturing operations in Mexico, legal expenses, and inflationary increases across several expense categories. This was partially offset by a decrease in the provision for doubtful accounts in the current period.</w:t>
      </w:r>
    </w:p>
    <w:p>
      <w:pPr>
        <w:spacing w:after="0" w:line="173"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SG&amp;A expenses for 2024 for the International segment were $17.2 million, an increase of $1.5 million, or 9.6%, compared to $15.7 million for 2023. As a percentage of net sales, SG&amp;A expenses were 30.8% for 2024, compared to 29.3% for 2023. The increase in the expenses was primarily attributable to higher employee expenses, penalties related to tax filings incurred in the current period, and higher foreign currency exchange losses.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Unallocated corporate expenses for 2024 were $19.6 million, compared to $19.5 million for 2023. The increase was driven by lower insurance expenses.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 expenses</w:t>
      </w:r>
    </w:p>
    <w:p>
      <w:pPr>
        <w:spacing w:after="0" w:line="119"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During the year ended December 31, 2023, the Company incurred $0.8 million of unallocated corporate expenses related to the termination payment with its Executive Chairman.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Interest expense for 2024 was $22.2 million, compared to $21.7 million for 2023. The increase was a result of higher interest rates on outstanding borrowings in the current period, partially offset by lower average outstanding borrowings.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to market (loss) gain on interest rate derivatives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Mark to market loss on interest rate derivatives was $0.5 million for both the year ended December 31, 2024, and December 31, 2023. The mark to market amount represents the change in the fair value on the Company’s interest rate derivatives that have not been designated as hedging instruments. These derivatives were entered into for purposes of locking-in a fixed interest rate on the Company's variable interest rate debt. As of December 31, 2024, the intent of the Company is to hold these derivative contracts until their maturity.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 on extinguishments of debt, net</w:t>
      </w:r>
    </w:p>
    <w:p>
      <w:pPr>
        <w:spacing w:after="0" w:line="11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Gain on extinguishments of debt, net was $0.8 million for the year ended December 31, 2023, consisting of a $1.5 million gain in connection with the repurchase of $47.2 million in principal amount of the Term Loan, and $0.7 million of loss recorded on the prepayment of Term Loan principal in connection with Amendment No. 2 to the Term Loan. Refer to NOTE 7 — DEBT for further details of these transactions.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on equity securities</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Loss on equity securities was $14.2 million for the year ended December 31, 2024. In the second quarter of 2024, the Company lost significant influence over its investment in Vasconia and discontinued the equity method of accounting. This change resulted in the reclassification of previously recognized accumulated other comprehensive losses to the investment balance and subsequently resulted in a non-cash loss of $14.2 million, to reduce the investment to its fair value. NOTE 5 — EQUITY INVESTMENTS for additional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0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color w:val="auto"/>
        </w:rPr>
        <w:t>The income tax provision was $3.3 million in 2024 and $6.2 million in 2023. The Company’s effective tax rate for 2024 was (34.2)%, compared to 59.4% for 2023. The negative rate for 2024 reflects tax expense on pretax financial reporting loss. The effective tax rate in 2024 differs from the federal statutory rate primarily due to state and local tax expense, nondeductible expenses and losses, and UK foreign losses for which no tax benefit is recognized as such amounts are fully offset with a valuation allowance, offset by a reduction in the Company’s accrual for uncertain tax positions and the release of the valuation allowance on foreign losses in the Netherlands.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15"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7"/>
          <w:szCs w:val="17"/>
          <w:color w:val="auto"/>
        </w:rPr>
        <w:t>The effective tax rate in 2023 differs from the federal statutory rate primarily due to state and local tax expense, nondeductible expenses, and foreign losses for which no tax benefit is recognized as such amounts are fully offset with a valuation allowance.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 losses, net of taxes</w:t>
      </w:r>
    </w:p>
    <w:p>
      <w:pPr>
        <w:spacing w:after="0" w:line="11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Equity in losses of Vasconia, net of taxes, was $2.1 million for the year ended December 31, 2024, as compared to $12.7 million for the year ended December 31, 2023. During the year ended December 31, 2023, equity in losses included a non-cash impairment charge of $6.8 million, to reduce the carrying value of the Company’s investment in Vasconia to its fair value.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Management’s Discussion and Analysis of Financial Condition and Results of Operations </w:t>
      </w:r>
      <w:r>
        <w:rPr>
          <w:rFonts w:ascii="Times New Roman" w:cs="Times New Roman" w:eastAsia="Times New Roman" w:hAnsi="Times New Roman"/>
          <w:sz w:val="17"/>
          <w:szCs w:val="17"/>
          <w:color w:val="auto"/>
        </w:rPr>
        <w:t>discusses the Company’s audited consolidated financial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estimates for unpaid healthcare claims, impairment of goodwill, tangible and intangible assets, stock compensation expense, accruals related to the Company’s tax positions and tax valuation allowances. Actual results may differ from these estimates using different assumptions and under different conditions and changes in these estimates are recorded when known. The Company’s significant accounting policies are more fully described in NOTE 1 — SIGNIFICANT ACCOUNTING POLICIES in the Notes to the consolidated financial statements included in Item</w:t>
      </w:r>
    </w:p>
    <w:p>
      <w:pPr>
        <w:spacing w:after="0" w:line="1" w:lineRule="exact"/>
        <w:rPr>
          <w:sz w:val="20"/>
          <w:szCs w:val="20"/>
          <w:color w:val="auto"/>
        </w:rPr>
      </w:pPr>
    </w:p>
    <w:p>
      <w:pPr>
        <w:ind w:right="80" w:firstLine="3"/>
        <w:spacing w:after="0" w:line="267" w:lineRule="auto"/>
        <w:tabs>
          <w:tab w:leader="none" w:pos="25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intangible assets and long-lived assets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instead, are subject to an annual impairment assessment on October 1. Additionally, if events or conditions were to indicate the carrying value of a reporting unit may not be recoverable, the Company would evaluate goodwill and other intangible assets for impairment at that time.</w:t>
      </w:r>
    </w:p>
    <w:p>
      <w:pPr>
        <w:spacing w:after="0" w:line="1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ASC Topic 350, Intangibles – Goodwill and Other. If, after assessing qualitative factors, the Company determines that it is more likely than not that the fair value of a reporting unit exceed its carrying amount, then no further testing is performed for that reporting unit.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170"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7"/>
          <w:szCs w:val="17"/>
          <w:color w:val="auto"/>
        </w:rPr>
        <w:t>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17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w:t>
      </w:r>
    </w:p>
    <w:p>
      <w:pPr>
        <w:spacing w:after="0"/>
        <w:rPr>
          <w:sz w:val="20"/>
          <w:szCs w:val="20"/>
          <w:color w:val="auto"/>
        </w:rPr>
      </w:pPr>
      <w:r>
        <w:rPr>
          <w:rFonts w:ascii="Times New Roman" w:cs="Times New Roman" w:eastAsia="Times New Roman" w:hAnsi="Times New Roman"/>
          <w:sz w:val="17"/>
          <w:szCs w:val="17"/>
          <w:color w:val="auto"/>
        </w:rPr>
        <w:t>reporting unit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also evaluates qualitative factors to determine whether or not its indefinite-lived intangible have been impaired and then performs quantitative tests if required. These tests can include the relief from royalty model or other valuation models. The significant assumptions used in the relief from royalty model are future net sales for the related brand, royalty rate and the cost of capital to determine the fair value of the indefinite lived intangible. Projected net sales for the related brand and royalty rate were determined to be significant assumptions because they are the primary drivers of the projected cash flows in the relief from royalty model. Cost of capital was also determined to be a significant assumption as it is the discount rate used to calculate the current fair value of those projected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Company performed its annual impairment assessment of its U.S. reporting unit as of October 1, 2024 by comparing the fair value of the reporting unit with its carrying value. The Company performed the analysis using a discounted cash flow and market multiple method. As of October 1, 2024, the fair value of the U.S. reporting unit exceeded the carrying value of goodwill by 5.4%.</w:t>
      </w:r>
    </w:p>
    <w:p>
      <w:pPr>
        <w:spacing w:after="0" w:line="1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December 31, 2024, the Company assessed the carrying value of goodwill and determined, based on qualitative factors, that no impairment indicators existed for goodwill.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value of the goodwill for the U.S reporting unit was $33.2 million as of December 31,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trade name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bypassed the optional qualitative impairment analysis for its indefinite-lived trade name asset annual October 1, 2024 impairment test. The Company completed the quantitative impairment analysis by comparing the fair value of the indefinite-lived trade name to its carrying value using a relief from royalty approach, which assumes the value of the trade name is the discounted cash flows of the amount that would be paid by a hypothetical market participant had they not owned the trade name and instead licensed the trade name from another company. The Company determined that the fair value exceeded its carrying value as of October 1, 2024, and therefore the indefinite-lived intangible asset was not impaired. As of October 1, 2024, the fair value of the Company’s indefinite-lived trade name exceeded its carrying value by 2.4%. In connection with the annual impairment analysis, the Company determined that the trade name, previously estimated to contribute to cash flows indefinitely, has a definite life. Accordingly, the trade name was reclassified from indefinite-lived to finite-lived or amortizable intangible asset as of October 1, 2024. The trade name will be amortized over an estimated useful life of 15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Long-lived assets</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taxing authorities.</w:t>
      </w:r>
    </w:p>
    <w:p>
      <w:pPr>
        <w:spacing w:after="0" w:line="17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net sales in the Company’s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terms vary by customer, but generally range from 30 to 90 days or at the point of sale for the Company’s retail direct sales.</w:t>
      </w:r>
    </w:p>
    <w:p>
      <w:pPr>
        <w:spacing w:after="0" w:line="2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Company’s principal sources of funds consists of cash provided by operating activities, borrowings available under its revolving credit facility and from time-to-time working capital reductions. The Company’s primary uses of funds consist of payments of principal and interest on its debt, working capital requirements, capital expenditures and dividends. From time-to-time uses also include acquisitions and repurchases of its common stock.</w:t>
      </w:r>
    </w:p>
    <w:p>
      <w:pPr>
        <w:spacing w:after="0" w:line="167"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At December 31, 2024 and 2023, the Company had cash and cash equivalents of $2.9 million and $16.2 million, respectively, and working capital of $221.8 million at December 31, 2024, compared to $224.4 million at December 31, 2023. The current ratio (current assets to current liabilities) was 2.5 to 1.0 at December 31, 2024, and December 31, 2023. The current ratio has remained relatively consistent.</w:t>
      </w:r>
    </w:p>
    <w:p>
      <w:pPr>
        <w:spacing w:after="0" w:line="167"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At December 31, 2024, borrowings under the Company’s ABL Agreement were $42.7 million and $142.5 million was outstanding under the Term Loan. At December 31, 2023, borrowings under the Company’s ABL Agreement were $60.4 million and $150.0 million was outstanding under the Term Loan.</w:t>
      </w:r>
    </w:p>
    <w:p>
      <w:pPr>
        <w:spacing w:after="0" w:line="151"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Liquidity as of December 31, 2024 was $111.7 million, consisting of $2.9 million of cash and cash equivalents, $82.8 million of availability under the ABL Agreement, limited by the Term Loan financial covenant, and $26.0 million of available funding under the Receivables Purchase Agreement.</w:t>
      </w:r>
    </w:p>
    <w:p>
      <w:pPr>
        <w:spacing w:after="0" w:line="15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December 31, 2024 inventory turnover was 2.4 times, or 150 days, as compared to 2.5 times, or 145 days, for the three months ended December 31, 2023. Inventory turns have remained relatively consistent. The increase in inventory levels at December 31, 2024 compared to December 31, 2023 was due to a proactive measure to mitigate impact of the tariffs expected in 2025.</w:t>
      </w:r>
    </w:p>
    <w:p>
      <w:pPr>
        <w:spacing w:after="0" w:line="17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On January 19, 2025, in connection with the lease agreement for the Hagerstown Facility, the Company provided financial assurance of $2.7 million in the form of a letter of credit. This reduced the availability under the revolving credit facility by the same amount.</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believes that availability under the revolving credit facility under its ABL Agreement, cash on hand and cash flows from operations are sufficient to fund the Company’s operations for the next 12 months. However, if circumstances were to adversely change, the Company may seek alternative sources of liquidity including debt and/or equity financing. However, there can be no assurance that any such alternative sources would be available or sufficient.</w:t>
      </w:r>
    </w:p>
    <w:p>
      <w:pPr>
        <w:spacing w:after="0" w:line="16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11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spacing w:after="0" w:line="170"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spacing w:after="0" w:line="1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Term Loan will be repaid in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quarterly required payments of the Term Loan in order of maturity and then to the remaining scheduled installments on a pro rata basis.</w:t>
      </w:r>
    </w:p>
    <w:p>
      <w:pPr>
        <w:spacing w:after="0" w:line="2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and 2023, the total availability under the ABL Agreement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176,329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181,919</w:t>
            </w:r>
          </w:p>
        </w:tc>
      </w:tr>
      <w:tr>
        <w:trPr>
          <w:trHeight w:val="220"/>
        </w:trPr>
        <w:tc>
          <w:tcPr>
            <w:tcW w:w="7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borrowings under the ABL Agreement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(60,395)</w:t>
            </w:r>
          </w:p>
        </w:tc>
      </w:tr>
      <w:tr>
        <w:trPr>
          <w:trHeight w:val="220"/>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w:t>
            </w:r>
          </w:p>
        </w:tc>
      </w:tr>
      <w:tr>
        <w:trPr>
          <w:trHeight w:val="213"/>
        </w:trPr>
        <w:tc>
          <w:tcPr>
            <w:tcW w:w="740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124,808</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118,630</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December 31, 2024, the availability under the ABL Agreement, limited by the Term Loan financial covenant, was $82.8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current and non-current portions of the Company’s Term Loan included in the consolidated balance sheets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Pr>
          <w:p>
            <w:pPr>
              <w:spacing w:after="0"/>
              <w:rPr>
                <w:sz w:val="18"/>
                <w:szCs w:val="18"/>
                <w:color w:val="auto"/>
              </w:rPr>
            </w:pPr>
          </w:p>
        </w:tc>
        <w:tc>
          <w:tcPr>
            <w:tcW w:w="196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0"/>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3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04"/>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 Loan payment</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1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Estimated unamortized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19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portion of Term Loan</w:t>
            </w: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4,891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5"/>
        </w:trPr>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0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portion of Term Loan:</w:t>
            </w: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Term Loan, net of current portion</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142,500</w:t>
            </w:r>
          </w:p>
        </w:tc>
      </w:tr>
      <w:tr>
        <w:trPr>
          <w:trHeight w:val="204"/>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Estimated unamortized debt issuance costs</w:t>
            </w:r>
          </w:p>
        </w:tc>
        <w:tc>
          <w:tcPr>
            <w:tcW w:w="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w:t>
            </w:r>
          </w:p>
        </w:tc>
      </w:tr>
      <w:tr>
        <w:trPr>
          <w:trHeight w:val="225"/>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portion of Term Loan</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130,949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135,834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estimated 2024 excess cash flow payment of $1.3 million will be applied to the 2025 scheduled quarterly payments of the Term Loan, per the terms of the debt agreement.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of December 31, 2024, the future principal payments of the Term Loan are as follows (in thousands):</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vMerge w:val="restart"/>
          </w:tcPr>
          <w:p>
            <w:pPr>
              <w:spacing w:after="0"/>
              <w:rPr>
                <w:sz w:val="20"/>
                <w:szCs w:val="20"/>
                <w:color w:val="auto"/>
              </w:rPr>
            </w:pPr>
          </w:p>
        </w:tc>
        <w:tc>
          <w:tcPr>
            <w:tcW w:w="9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 w:type="dxa"/>
            <w:vAlign w:val="bottom"/>
            <w:vMerge w:val="continue"/>
          </w:tcPr>
          <w:p>
            <w:pPr>
              <w:spacing w:after="0"/>
              <w:rPr>
                <w:sz w:val="19"/>
                <w:szCs w:val="19"/>
                <w:color w:val="auto"/>
              </w:rPr>
            </w:pPr>
          </w:p>
        </w:tc>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142,500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spacing w:after="0" w:line="1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SOFR plus 1.0% as of a specified date in advance of the determination, but in each case not less than 1.0%, plus a margin of 0.25% to 0.5%,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December 31, 2024 was between 4.29% and 7.88%. The Company paid a commitment fee of 0.25% on the unused portion of the ABL Agreement during the year ended December 31, 2024.</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 plus 1.0%, plus a margin of 4.5% or (ii) Adjusted Term SOFR (Term SOFR plus the Term SOFR Adjustment) for the applicable interest period, but not less than 1.0%, plus a margin of 5.5%. The interest rate on outstanding borrowings under the Term Loan at December 31, 2024 was 10.06%.</w:t>
      </w:r>
    </w:p>
    <w:p>
      <w:pPr>
        <w:spacing w:after="0" w:line="1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was in compliance with the covenants of the Debt Agreements at December 31, 2024.</w:t>
      </w:r>
    </w:p>
    <w:p>
      <w:pPr>
        <w:spacing w:after="0" w:line="21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was $1.5 million, net of fees and expenses.</w:t>
      </w:r>
    </w:p>
    <w:p>
      <w:pPr>
        <w:spacing w:after="0" w:line="1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In connection with the Term Loan Amendment, the Company reduced its outstanding principal by a net amount of $48.7 million through a voluntary prepayment of principal (in accordance with the terms of the original Term Loan Agreement), net of the issuance of new proceeds and an extension of a portion of existing Term Loan. In connection with the Term Loan Amendment that Company incurred fees of $9.1 million, which will be amortized over the life of the debt using the effective interest method. The Company recognized a loss of $0.7 million of unamortized debt issuance costs on the partial extinguishment for the portion of the Term Loan that was repaid.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Covenant Calculations</w:t>
      </w:r>
    </w:p>
    <w:p>
      <w:pPr>
        <w:spacing w:after="0" w:line="119"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Non-GAAP financial measure</w:t>
      </w:r>
    </w:p>
    <w:p>
      <w:pPr>
        <w:spacing w:after="0" w:line="119"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Adjusted EBITDA is a non-GAAP financial measure within the meaning of Regulation G and Item 10(e) of Regulation S-K, each promulgated by the SEC. This measure is provided because management of the Company uses this financial measure in evaluating the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Company’s on-going financial results and trends.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1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following is a reconciliation of net (loss) income as reported to adjusted EBITDA for the years ended December 31, 2024 and 2023 and each fiscal quarter of 2024 and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9"/>
        </w:trPr>
        <w:tc>
          <w:tcPr>
            <w:tcW w:w="46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(15,165)</w:t>
            </w:r>
          </w:p>
        </w:tc>
      </w:tr>
      <w:tr>
        <w:trPr>
          <w:trHeight w:val="204"/>
        </w:trPr>
        <w:tc>
          <w:tcPr>
            <w:tcW w:w="46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Loss on equity securities</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14,152</w:t>
            </w:r>
          </w:p>
        </w:tc>
      </w:tr>
      <w:tr>
        <w:trPr>
          <w:trHeight w:val="210"/>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Equity in losses, net of taxes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r>
      <w:tr>
        <w:trPr>
          <w:trHeight w:val="204"/>
        </w:trPr>
        <w:tc>
          <w:tcPr>
            <w:tcW w:w="46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r>
      <w:tr>
        <w:trPr>
          <w:trHeight w:val="210"/>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5,834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22,208</w:t>
            </w:r>
          </w:p>
        </w:tc>
      </w:tr>
      <w:tr>
        <w:trPr>
          <w:trHeight w:val="204"/>
        </w:trPr>
        <w:tc>
          <w:tcPr>
            <w:tcW w:w="46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6,408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22,314</w:t>
            </w:r>
          </w:p>
        </w:tc>
      </w:tr>
      <w:tr>
        <w:trPr>
          <w:trHeight w:val="210"/>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Mark to market loss (gain) on interest rate derivatives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04"/>
        </w:trPr>
        <w:tc>
          <w:tcPr>
            <w:tcW w:w="46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r>
      <w:tr>
        <w:trPr>
          <w:trHeight w:val="210"/>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07"/>
        </w:trPr>
        <w:tc>
          <w:tcPr>
            <w:tcW w:w="4600" w:type="dxa"/>
            <w:vAlign w:val="bottom"/>
            <w:tcBorders>
              <w:bottom w:val="single" w:sz="8" w:color="CCEEFF"/>
            </w:tcBorders>
          </w:tcPr>
          <w:p>
            <w:pPr>
              <w:ind w:left="640"/>
              <w:spacing w:after="0" w:line="207" w:lineRule="exact"/>
              <w:rPr>
                <w:sz w:val="20"/>
                <w:szCs w:val="20"/>
                <w:color w:val="auto"/>
              </w:rPr>
            </w:pPr>
            <w:r>
              <w:rPr>
                <w:rFonts w:ascii="Times New Roman" w:cs="Times New Roman" w:eastAsia="Times New Roman" w:hAnsi="Times New Roman"/>
                <w:sz w:val="16"/>
                <w:szCs w:val="16"/>
                <w:color w:val="auto"/>
              </w:rPr>
              <w:t>Warehouse redesign expenses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25"/>
        </w:trPr>
        <w:tc>
          <w:tcPr>
            <w:tcW w:w="4600" w:type="dxa"/>
            <w:vAlign w:val="bottom"/>
            <w:tcBorders>
              <w:bottom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7,689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16,935</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40" w:hanging="137"/>
        <w:spacing w:after="0"/>
        <w:tabs>
          <w:tab w:leader="none" w:pos="14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year ended December 31, 2024, the warehouse redesign expenses were related to the U.S. segment.</w:t>
      </w:r>
    </w:p>
    <w:p>
      <w:pPr>
        <w:spacing w:after="0" w:line="42" w:lineRule="exact"/>
        <w:rPr>
          <w:rFonts w:ascii="Times New Roman" w:cs="Times New Roman" w:eastAsia="Times New Roman" w:hAnsi="Times New Roman"/>
          <w:sz w:val="17"/>
          <w:szCs w:val="17"/>
          <w:color w:val="auto"/>
          <w:vertAlign w:val="superscript"/>
        </w:rPr>
      </w:pPr>
    </w:p>
    <w:p>
      <w:pPr>
        <w:ind w:firstLine="3"/>
        <w:spacing w:after="0" w:line="265" w:lineRule="auto"/>
        <w:tabs>
          <w:tab w:leader="none" w:pos="132"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is a non-GAAP financial measure that is defined in the Company’s debt agreements. Adjusted EBITDA is defined as net (loss) income, adjusted to exclude loss on equity securities, equity in losses, net of taxes, income tax provision (benefit), interest expense, depreciation and amortization, mark to market loss (gain) on interest rate derivatives, stock compensation expense, and other items detailed in the table above that are consistent with exclusions permitted by our debt agreements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81"/>
        </w:trPr>
        <w:tc>
          <w:tcPr>
            <w:tcW w:w="4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5"/>
        </w:trPr>
        <w:tc>
          <w:tcPr>
            <w:tcW w:w="44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w:t>
            </w:r>
          </w:p>
        </w:tc>
      </w:tr>
      <w:tr>
        <w:trPr>
          <w:trHeight w:val="204"/>
        </w:trPr>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Equity in losses, net of taxes</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12,665</w:t>
            </w:r>
          </w:p>
        </w:tc>
      </w:tr>
      <w:tr>
        <w:trPr>
          <w:trHeight w:val="210"/>
        </w:trPr>
        <w:tc>
          <w:tcPr>
            <w:tcW w:w="4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6,222</w:t>
            </w:r>
          </w:p>
        </w:tc>
      </w:tr>
      <w:tr>
        <w:trPr>
          <w:trHeight w:val="204"/>
        </w:trPr>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21,728</w:t>
            </w:r>
          </w:p>
        </w:tc>
      </w:tr>
      <w:tr>
        <w:trPr>
          <w:trHeight w:val="210"/>
        </w:trPr>
        <w:tc>
          <w:tcPr>
            <w:tcW w:w="4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19,571</w:t>
            </w:r>
          </w:p>
        </w:tc>
      </w:tr>
      <w:tr>
        <w:trPr>
          <w:trHeight w:val="204"/>
        </w:trPr>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Mark to market loss (gain) on interest rate derivatives</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10"/>
        </w:trPr>
        <w:tc>
          <w:tcPr>
            <w:tcW w:w="4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r>
      <w:tr>
        <w:trPr>
          <w:trHeight w:val="204"/>
        </w:trPr>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Contingent consideration fair value adjustment</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0"/>
        </w:trPr>
        <w:tc>
          <w:tcPr>
            <w:tcW w:w="4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 loss on extinguishments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04"/>
        </w:trPr>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r>
      <w:tr>
        <w:trPr>
          <w:trHeight w:val="210"/>
        </w:trPr>
        <w:tc>
          <w:tcPr>
            <w:tcW w:w="4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Restructuring expenses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07"/>
        </w:trPr>
        <w:tc>
          <w:tcPr>
            <w:tcW w:w="4480" w:type="dxa"/>
            <w:vAlign w:val="bottom"/>
            <w:tcBorders>
              <w:bottom w:val="single" w:sz="8" w:color="CCEEFF"/>
            </w:tcBorders>
          </w:tcPr>
          <w:p>
            <w:pPr>
              <w:ind w:left="640"/>
              <w:spacing w:after="0" w:line="207" w:lineRule="exact"/>
              <w:rPr>
                <w:sz w:val="20"/>
                <w:szCs w:val="20"/>
                <w:color w:val="auto"/>
              </w:rPr>
            </w:pPr>
            <w:r>
              <w:rPr>
                <w:rFonts w:ascii="Times New Roman" w:cs="Times New Roman" w:eastAsia="Times New Roman" w:hAnsi="Times New Roman"/>
                <w:sz w:val="16"/>
                <w:szCs w:val="16"/>
                <w:color w:val="auto"/>
              </w:rPr>
              <w:t xml:space="preserve">Warehouse redesign expenses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25"/>
        </w:trPr>
        <w:tc>
          <w:tcPr>
            <w:tcW w:w="4480" w:type="dxa"/>
            <w:vAlign w:val="bottom"/>
            <w:tcBorders>
              <w:bottom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5,465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57,308</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40" w:hanging="137"/>
        <w:spacing w:after="0"/>
        <w:tabs>
          <w:tab w:leader="none" w:pos="140" w:val="left"/>
        </w:tabs>
        <w:numPr>
          <w:ilvl w:val="0"/>
          <w:numId w:val="23"/>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3"/>
          <w:szCs w:val="13"/>
          <w:color w:val="auto"/>
        </w:rPr>
        <w:t>For the year ended December 31, 2023, the warehouse redesign expenses related to the U.S. segment.</w:t>
      </w:r>
    </w:p>
    <w:p>
      <w:pPr>
        <w:spacing w:after="0" w:line="42" w:lineRule="exact"/>
        <w:rPr>
          <w:rFonts w:ascii="Times New Roman" w:cs="Times New Roman" w:eastAsia="Times New Roman" w:hAnsi="Times New Roman"/>
          <w:sz w:val="17"/>
          <w:szCs w:val="17"/>
          <w:b w:val="1"/>
          <w:bCs w:val="1"/>
          <w:color w:val="auto"/>
          <w:vertAlign w:val="superscript"/>
        </w:rPr>
      </w:pPr>
    </w:p>
    <w:p>
      <w:pPr>
        <w:ind w:firstLine="3"/>
        <w:spacing w:after="0" w:line="253" w:lineRule="auto"/>
        <w:tabs>
          <w:tab w:leader="none" w:pos="139"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is a non-GAAP financial measure which is defined in the Company’s debt agreements. Adjusted EBITDA is defined as net (loss) income, adjusted to exclude equity in losses, net of taxes, income tax (benefit) provision, interest expense, depreciation and amortization, mark to market loss (gain) on interest rate derivatives, stock compensation expense, (gain) loss on extinguishments of debt, net, and other items detailed in the table above that are consistent with exclusions permitted by our debt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expenditures for the year ended December 31, 2024 were $2.2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11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The Company’s risk management strategy includes the use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spacing w:after="0" w:line="1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anticipate non-performance by any of its counterparties.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Swap Agreements</w:t>
      </w:r>
    </w:p>
    <w:p>
      <w:pPr>
        <w:spacing w:after="0" w:line="11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spacing w:after="0" w:line="16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 June 2019 the Company entered into interest rate swap agreements, with an aggregate notional value of $25.0 million and expire in February 2025. In March 2024 and October 2024, the Company entered into new interest rate swap agreements, each with an aggregate notion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$75.0 million at December 31, 2024.</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Company’s interest rate swaps that were designated as cash flow hedges of the Company’s exposure to the variability of the payment of interest on a portion of its Term Loan borrowings expired in March 2023. The Company has no designated interest rate swaps at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Contracts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reduce the impact of changes in foreign currency exchange rates on its results, from time to time the Company is a party to certain foreign exchange contracts,</w:t>
      </w:r>
    </w:p>
    <w:p>
      <w:pPr>
        <w:spacing w:after="0" w:line="50"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primarily to offset the earnings impact related to fluctuations in foreign currency exchange rates associated with inventory purchases. The Company designates these contracts for accounting purposes as cash flow hedges. The Company purchases foreign currency forward contracts with terms less than 18 months. The aggregate gross notional values of foreign exchange contracts at December 31, 2024 and 2023 was $8.0 million and $9.8 million,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were declared in 2024 and 2023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28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 of record</w:t>
            </w:r>
          </w:p>
        </w:tc>
        <w:tc>
          <w:tcPr>
            <w:tcW w:w="25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3"/>
        </w:trPr>
        <w:tc>
          <w:tcPr>
            <w:tcW w:w="2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8, 2023</w:t>
            </w:r>
          </w:p>
        </w:tc>
        <w:tc>
          <w:tcPr>
            <w:tcW w:w="340" w:type="dxa"/>
            <w:vAlign w:val="bottom"/>
            <w:shd w:val="clear" w:color="auto" w:fill="CCEEFF"/>
          </w:tcPr>
          <w:p>
            <w:pPr>
              <w:spacing w:after="0"/>
              <w:rPr>
                <w:sz w:val="18"/>
                <w:szCs w:val="18"/>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 2023</w:t>
            </w: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15, 2023</w:t>
            </w:r>
          </w:p>
        </w:tc>
      </w:tr>
      <w:tr>
        <w:trPr>
          <w:trHeight w:val="220"/>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22, 2023</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2023</w:t>
            </w:r>
          </w:p>
        </w:tc>
      </w:tr>
      <w:tr>
        <w:trPr>
          <w:trHeight w:val="22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2, 2023</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2023</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2023</w:t>
            </w:r>
          </w:p>
        </w:tc>
      </w:tr>
      <w:tr>
        <w:trPr>
          <w:trHeight w:val="220"/>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7, 2023</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2024</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15, 2024</w:t>
            </w:r>
          </w:p>
        </w:tc>
      </w:tr>
      <w:tr>
        <w:trPr>
          <w:trHeight w:val="22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8, 2024</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 2024</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15, 2024</w:t>
            </w:r>
          </w:p>
        </w:tc>
      </w:tr>
      <w:tr>
        <w:trPr>
          <w:trHeight w:val="220"/>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20, 2024</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2024</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2024</w:t>
            </w:r>
          </w:p>
        </w:tc>
      </w:tr>
      <w:tr>
        <w:trPr>
          <w:trHeight w:val="22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6, 2024</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2024</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2024</w:t>
            </w: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5, 2024</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January 31, 2025</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14, 2025</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11, 2025, the Board of Directors declared a quarterly dividend of $0.0425 per share payable on May 15, 2025 to shareholders of record on May 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provided by operating activities</w:t>
      </w:r>
    </w:p>
    <w:p>
      <w:pPr>
        <w:spacing w:after="0" w:line="11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$18.6 million in 2024, compared to $56.4 million in 2023. The decrease from 2024 compared to 2023 was attributable to increased use of cash related to inventory purchases, and timing of payments for accounts payable and accrued expenses, partially offset by timing of collections related to the Company’s accounts receivable.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used in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used in investing activities was $2.2 million in 2024, compared to $2.8 million in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used in financing activities</w:t>
      </w:r>
    </w:p>
    <w:p>
      <w:pPr>
        <w:spacing w:after="0" w:line="11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was $29.5 million in 2024 compared to $61.1 million in 2023. The change from 2024 compared to 2023 was attributable to higher repayments of the Term Loan in the 2023 period and financing costs incurred in connection with the Amendment No. 2 to the Term Loan. This was partially offset by higher proceeds from the revolving credit facility in the 2023 and no stock repurchases activities in the 2024 period.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material cash requirements include the following: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w:t>
      </w:r>
    </w:p>
    <w:p>
      <w:pPr>
        <w:spacing w:after="0" w:line="11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As of December 31, 2024, the Company had an outstanding Term Loan facility, which matures on August 26, 2027, for an aggregate principal amount of $142.5 million, with $7.5 million amounts due within 12 months. Future interest obligations associated with debt and interest rate swaps total $40.9 million, with $17.1 million payable within 12 months. The future interest obligations are estimated by assuming the amounts outstanding under the Company’s debt agreements and the interest rates as of December 31, 2024 remain consistent to the end of the debt agreements. Actual amounts borrowed and interest rates may vary over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Company has operating leases for corporate offices, distribution facilities, manufacturing plants, and certain vehicles. As of December 31, 2024, the Company had fixed lease payment obligations of $85.7 million, with $19.2 million payable within 12 months.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Royalties</w:t>
      </w:r>
    </w:p>
    <w:p>
      <w:pPr>
        <w:spacing w:after="0" w:line="119"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The Company has license agreements that require the payment of minimum royalties on sales of licensed products. As of December 31, 2024, the estimated minimum royalties payable under the noncancellable term of these agreements amounted to $8.2 million payable within 12 months.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Post-retirement benefit</w:t>
      </w:r>
    </w:p>
    <w:p>
      <w:pPr>
        <w:spacing w:after="0" w:line="119"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Company assumed retirement benefit obligations, which are paid to certain former executives of a business acquired in 2006. As of December 31, 2024, the estimated discounted obligations under the agreements with the former executives amounted to $4.7 million, with $0.4 million payable within 12 months.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Wallace EPA Matter</w:t>
      </w:r>
    </w:p>
    <w:p>
      <w:pPr>
        <w:spacing w:after="0" w:line="11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As of December 31, 2024, in connection with the Wallace EPA Matter, the Company’s estimated remediation liability amounted to $5.4 million, with $1.0 million is expected to be paid within 12 months. On February 7, 2024, the Company provided financial assurance of $5.6 million in the form of a letter of credit.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Hagerstown Facility Relocation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relocation of the Company’s east coast distribution center to Hagerstown Facility the Company expects to incur the following:</w:t>
      </w:r>
    </w:p>
    <w:p>
      <w:pPr>
        <w:spacing w:after="0" w:line="115" w:lineRule="exact"/>
        <w:rPr>
          <w:sz w:val="20"/>
          <w:szCs w:val="20"/>
          <w:color w:val="auto"/>
        </w:rPr>
      </w:pPr>
    </w:p>
    <w:p>
      <w:pPr>
        <w:ind w:left="620" w:right="40" w:firstLine="4"/>
        <w:spacing w:after="0" w:line="288" w:lineRule="auto"/>
        <w:tabs>
          <w:tab w:leader="none" w:pos="76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lease payment obligations of $123.4 million, with $5.0 million payable in within the first 12 months of the lease which is expected to commence in March 2026.</w:t>
      </w:r>
    </w:p>
    <w:p>
      <w:pPr>
        <w:spacing w:after="0" w:line="47" w:lineRule="exact"/>
        <w:rPr>
          <w:rFonts w:ascii="Times New Roman" w:cs="Times New Roman" w:eastAsia="Times New Roman" w:hAnsi="Times New Roman"/>
          <w:sz w:val="17"/>
          <w:szCs w:val="17"/>
          <w:color w:val="auto"/>
        </w:rPr>
      </w:pPr>
    </w:p>
    <w:p>
      <w:pPr>
        <w:ind w:left="620" w:firstLine="4"/>
        <w:spacing w:after="0" w:line="288" w:lineRule="auto"/>
        <w:tabs>
          <w:tab w:leader="none" w:pos="8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of approximately $10.0 million related to equipment and certain leasehold improvements, of which $6.0 million is expected to be purchased in 2025.</w:t>
      </w:r>
    </w:p>
    <w:p>
      <w:pPr>
        <w:spacing w:after="0" w:line="47" w:lineRule="exact"/>
        <w:rPr>
          <w:rFonts w:ascii="Times New Roman" w:cs="Times New Roman" w:eastAsia="Times New Roman" w:hAnsi="Times New Roman"/>
          <w:sz w:val="17"/>
          <w:szCs w:val="17"/>
          <w:color w:val="auto"/>
        </w:rPr>
      </w:pPr>
    </w:p>
    <w:p>
      <w:pPr>
        <w:ind w:left="620" w:right="280" w:firstLine="4"/>
        <w:spacing w:after="0" w:line="270" w:lineRule="auto"/>
        <w:tabs>
          <w:tab w:leader="none" w:pos="86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expects to incur one-time exit costs to close its operations in Robbinsville of up to $7.0 million. This includes employee severance, certain employee relocation costs and remaining lease costs for the Robbinsville Facility through the end of the term. These costs are expected to be incurred in 2025.</w:t>
      </w:r>
    </w:p>
    <w:p>
      <w:pPr>
        <w:spacing w:after="0" w:line="63"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retirement obligations related to the Robbinsville fixed assets of $1.3 million is expected to be paid 2026.</w:t>
      </w:r>
    </w:p>
    <w:p>
      <w:pPr>
        <w:spacing w:after="0" w:line="115" w:lineRule="exact"/>
        <w:rPr>
          <w:sz w:val="20"/>
          <w:szCs w:val="20"/>
          <w:color w:val="auto"/>
        </w:rPr>
      </w:pPr>
    </w:p>
    <w:p>
      <w:pPr>
        <w:ind w:left="620" w:right="20" w:firstLine="4"/>
        <w:spacing w:after="0" w:line="288" w:lineRule="auto"/>
        <w:tabs>
          <w:tab w:leader="none" w:pos="85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expects to one-time relocation costs to be up to $7.0 million, which includes recruitment, relocation of inventory, set up costs and lease expenses prior to the Hagerstown Facility being fully operational. These one-time costs are expected to be incurred in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Market risk represents the risk of loss that may impact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Company’s functional currency is the U.S. dollar. The Company has foreign operations through its acquisitions, investments and strategic alliances in the U.K., Netherlands, Mexico, Canada, Australia, New Zealand, Hong Kong and China; therefore, the Company is subject to increases and decreases in its investments resulting from the impact of fluctuations in foreign currency exchange rates. Additional transactions exposing the Company to exchange rate risk include sales, certain inventory purchases and operating expenses. Through its subsidiaries, portions of the Company’s cash, trade accounts receivable and trade accounts payable are denominated in foreign currencies. For the year ended December 31, 2024, approximately 7% of the Company’s net sales revenue was in foreign currencies, compared to 8% for the year ended December 31, 2023. These sales were primarily denominated in U.K. pounds, Euros and Canadian dollars. The Company makes most of its inventory purchases from Asia and uses the U.S. dollar for such purchases. In the Company’s consolidated statements of operations, foreign exchange gains and losses are recognized in SG&amp;A expense. A hypothetical 10% change in exchange rates, with the U.S. dollar as the functional and reporting currency, would result in an increase of approximately $0.8 million in SG&amp;A expenses.</w:t>
      </w:r>
    </w:p>
    <w:p>
      <w:pPr>
        <w:spacing w:after="0" w:line="17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 The Company designates these contracts for accounting purposes as cash flow hedges. The Company purchases foreign currency forward contracts with terms less than 18 months. The aggregate gross notional values of foreign exchange contracts at December 31, 2024 and 2023 was $8.0 million and $9.8 million, respectively.</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Company’s ABL Agreement and Term Loan bear interest at variable rates. The Credit Agreement provides for interest rates linked to one of the SOFR, the Prime Rate or the Federal Funds Rate; therefore, the Company is subject to increases and decreases in interest expense resulting from fluctuations in interest rates. The Company entered into interest rate swap agreements in June 2019, March 2024, and October 2024, to manage interest rate exposure in connection with its variable interest rate borrowings with an aggregate notional value of $75.0 million at December 31, 2024. As of December 31, 2024, approximately $110.2 million of the Company’s debt carries a variable rate of interest, as compared to $185.4 million at December 31, 2023. The remainder of the debt at December 31, 2024 (approximately $75.0 million) carries a fixed rate of interest through the use of interest rate swaps. A hypothetical and instantaneous 100 basis point increase in the Company’s variable interest rates would increase interest expense by approximately $2.2 million over a twelve month period. The sensitivity analysis above assumes interest rate changes are instantaneous and parallel shifts in the yield curve occur.</w:t>
      </w:r>
    </w:p>
    <w:p>
      <w:pPr>
        <w:spacing w:after="0" w:line="17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enter into derivative financial instruments for trading purposes.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19"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17"/>
          <w:szCs w:val="17"/>
          <w:color w:val="auto"/>
        </w:rPr>
        <w:t>The Company’s consolidated financial statements and accompanying notes listed in Part IV, Item 15 commencing on page F-1 are incorporated herein by reference.</w:t>
      </w:r>
    </w:p>
    <w:p>
      <w:pPr>
        <w:spacing w:after="0" w:line="250" w:lineRule="exact"/>
        <w:rPr>
          <w:sz w:val="20"/>
          <w:szCs w:val="20"/>
          <w:color w:val="auto"/>
        </w:rPr>
      </w:pPr>
    </w:p>
    <w:p>
      <w:pPr>
        <w:ind w:right="4120"/>
        <w:spacing w:after="0" w:line="419" w:lineRule="auto"/>
        <w:rPr>
          <w:sz w:val="20"/>
          <w:szCs w:val="20"/>
          <w:color w:val="auto"/>
        </w:rPr>
      </w:pPr>
      <w:r>
        <w:rPr>
          <w:rFonts w:ascii="Times New Roman" w:cs="Times New Roman" w:eastAsia="Times New Roman" w:hAnsi="Times New Roman"/>
          <w:sz w:val="17"/>
          <w:szCs w:val="17"/>
          <w:b w:val="1"/>
          <w:bCs w:val="1"/>
          <w:color w:val="auto"/>
        </w:rPr>
        <w:t xml:space="preserve">Item 9. Changes in and Disagreements with Accountants on Accounting and Financial Disclosure </w:t>
      </w:r>
      <w:r>
        <w:rPr>
          <w:rFonts w:ascii="Times New Roman" w:cs="Times New Roman" w:eastAsia="Times New Roman" w:hAnsi="Times New Roman"/>
          <w:sz w:val="17"/>
          <w:szCs w:val="17"/>
          <w:color w:val="auto"/>
        </w:rPr>
        <w:t>None.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Chief Executive Officer and the Chief Financial Officer of the Company (its principal executive officer and principal financial officer, respectively) have concluded, based on their evaluation as of December 31, 2024, that the Company’s controls and procedures are effective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Controls</w:t>
      </w:r>
    </w:p>
    <w:p>
      <w:pPr>
        <w:spacing w:after="0" w:line="119" w:lineRule="exact"/>
        <w:rPr>
          <w:sz w:val="20"/>
          <w:szCs w:val="20"/>
          <w:color w:val="auto"/>
        </w:rPr>
      </w:pPr>
    </w:p>
    <w:p>
      <w:pPr>
        <w:ind w:right="740"/>
        <w:spacing w:after="0" w:line="288"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Management of the Company is responsible for establishing and maintaining effective internal control over financial reporting and for performing an assessment of the effectiveness of internal control over financial reporting as of December 31, 2024.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Internal control over financial reporting includes those policies and procedures that:</w:t>
      </w:r>
    </w:p>
    <w:p>
      <w:pPr>
        <w:spacing w:after="0" w:line="115" w:lineRule="exact"/>
        <w:rPr>
          <w:sz w:val="20"/>
          <w:szCs w:val="20"/>
          <w:color w:val="auto"/>
        </w:rPr>
      </w:pPr>
    </w:p>
    <w:p>
      <w:pPr>
        <w:ind w:left="620" w:right="360" w:firstLine="4"/>
        <w:spacing w:after="0" w:line="288" w:lineRule="auto"/>
        <w:tabs>
          <w:tab w:leader="none" w:pos="72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acquisitions and dispositions of the assets of the Company;</w:t>
      </w:r>
    </w:p>
    <w:p>
      <w:pPr>
        <w:spacing w:after="0" w:line="47" w:lineRule="exact"/>
        <w:rPr>
          <w:rFonts w:ascii="Times New Roman" w:cs="Times New Roman" w:eastAsia="Times New Roman" w:hAnsi="Times New Roman"/>
          <w:sz w:val="17"/>
          <w:szCs w:val="17"/>
          <w:color w:val="auto"/>
        </w:rPr>
      </w:pPr>
    </w:p>
    <w:p>
      <w:pPr>
        <w:ind w:left="620" w:right="280" w:firstLine="4"/>
        <w:spacing w:after="0" w:line="270" w:lineRule="auto"/>
        <w:tabs>
          <w:tab w:leader="none" w:pos="72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620" w:right="260" w:firstLine="4"/>
        <w:spacing w:after="0" w:line="288" w:lineRule="auto"/>
        <w:tabs>
          <w:tab w:leader="none" w:pos="72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All internal control systems, no matter how well designed, have inherent limitations. Because of the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Accordingly, even those systems determined to be effective can provide only reasonable assurance with respect to financial statement preparation and presentation.</w:t>
      </w:r>
    </w:p>
    <w:p>
      <w:pPr>
        <w:spacing w:after="0" w:line="17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Management performed an assessment of the effectiveness of the Company’s internal control over financial reporting as of December 31, 2024 using the criteria set forth in the Internal Control-Integrated Framework issued by the Committee of Sponsoring Organizations of the Treadway Commission (2013 framework). Based on this assessment, management has determined that the Company’s internal control over financial reporting as of December 31, 2024 was effective.</w:t>
      </w:r>
    </w:p>
    <w:p>
      <w:pPr>
        <w:spacing w:after="0" w:line="16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2024 has been audited by Ernst &amp; Young LLP, an independent registered public accounting firm, as stated in their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3"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Lifetime Brands,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have audited Lifetime Brands, Inc.’s internal control over financial reporting as of December 31, 2024, based on criteria established in Internal Control— Integrated Framework issued by the Committee of Sponsoring Organizations of the Treadway Commission (2013 framework) (the COSO criteria). In our opinion, Lifetime Brands, Inc. (the Company) maintained, in all material respects, effective internal control over financial reporting as of December 31, 2024, based on the COSO criteria.</w:t>
      </w:r>
    </w:p>
    <w:p>
      <w:pPr>
        <w:spacing w:after="0" w:line="170"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2024 consolidated financial statements of the Company and our report dated March 13, 2025 expressed an unqualified opinion thereon.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2025</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119"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None of the Company’s directors or officers adopted, modified, or terminated a Rule 10b5-1 trading arrangement or a non-Rule 10b5-1 trading arrangement during the Company’s fiscal quarter ended December 31, 2024.</w:t>
      </w:r>
    </w:p>
    <w:p>
      <w:pPr>
        <w:spacing w:after="0" w:line="250" w:lineRule="exact"/>
        <w:rPr>
          <w:sz w:val="20"/>
          <w:szCs w:val="20"/>
          <w:color w:val="auto"/>
        </w:rPr>
      </w:pPr>
    </w:p>
    <w:p>
      <w:pPr>
        <w:ind w:right="5540"/>
        <w:spacing w:after="0" w:line="419"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10, 11, 12, 13 and 14</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information required under these items is contained in the Company’s 2025 Proxy Statement, which will be filed with the SEC within 120 days after the close of the Company’s fiscal year covered by this Annual Report on Form 10-K and is incorporated herein by reference.</w:t>
      </w:r>
    </w:p>
    <w:p>
      <w:pPr>
        <w:spacing w:after="0" w:line="15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The Company has adopted insider trading policies and procedures regarding securities transactions (the “Insider Trading Policy”) that apply to all officers, directors, employees, consultants and contractors of the Company and its subsidiaries, as well as the Company itself. The Company believes that the Insider Trading Policy is reasonably designed to promote compliance with insider trading laws, rules and regulations with respect to the purchase, sale and/or other dispositions of the Company’s securities, as well as the applicable rules and regulations of Nasdaq. A copy of the Insider Trading Policy is filed as Exhibit 19 to this Annual Report on Form 10-K.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19" w:lineRule="exact"/>
        <w:rPr>
          <w:sz w:val="20"/>
          <w:szCs w:val="20"/>
          <w:color w:val="auto"/>
        </w:rPr>
      </w:pPr>
    </w:p>
    <w:p>
      <w:pPr>
        <w:ind w:left="460" w:hanging="457"/>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Financial Statements and Financial Statement Schedule on page F-1.</w:t>
      </w:r>
    </w:p>
    <w:p>
      <w:pPr>
        <w:spacing w:after="0" w:line="114"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9720" w:type="dxa"/>
            <w:vAlign w:val="bottom"/>
            <w:gridSpan w:val="6"/>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w:t>
            </w:r>
          </w:p>
        </w:tc>
        <w:tc>
          <w:tcPr>
            <w:tcW w:w="954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Agreement and Plan of Merger, dated as of December 22, 2017, by and among the Company, TPP Acquisition I Corp., TPP Acquisition II</w:t>
              </w:r>
            </w:hyperlink>
          </w:p>
        </w:tc>
        <w:tc>
          <w:tcPr>
            <w:tcW w:w="180" w:type="dxa"/>
            <w:vAlign w:val="bottom"/>
          </w:tcPr>
          <w:p>
            <w:pPr>
              <w:spacing w:after="0"/>
              <w:rPr>
                <w:sz w:val="22"/>
                <w:szCs w:val="22"/>
                <w:color w:val="auto"/>
              </w:rPr>
            </w:pPr>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720" w:type="dxa"/>
            <w:vAlign w:val="bottom"/>
            <w:tcBorders>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LLC, Taylor Parent, LLC, Taylor Holdco, LLC, and CP Taylor GP, LLC. (incorporated by reference to Exhibit 2.1 to the Company’s Current</w:t>
              </w:r>
            </w:hyperlink>
          </w:p>
        </w:tc>
      </w:tr>
      <w:tr>
        <w:trPr>
          <w:trHeight w:val="161"/>
        </w:trPr>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720" w:type="dxa"/>
            <w:vAlign w:val="bottom"/>
            <w:gridSpan w:val="6"/>
          </w:tcPr>
          <w:p>
            <w:pPr>
              <w:spacing w:after="0" w:line="161"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Report on Form 8-K filed on December 29, 2017) Holdco, LLC, and CP Taylor GP, LLC. (incorporated by reference to Exhibit 2.1 to the</w:t>
              </w:r>
            </w:hyperlink>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60" w:type="dxa"/>
            <w:vAlign w:val="bottom"/>
            <w:tcBorders>
              <w:top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Company’s Current Report on Form 8-K filed on December 29, 2017)</w:t>
              </w:r>
            </w:hyperlink>
          </w:p>
        </w:tc>
        <w:tc>
          <w:tcPr>
            <w:tcW w:w="260" w:type="dxa"/>
            <w:vAlign w:val="bottom"/>
            <w:gridSpan w:val="2"/>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1">
            <w:col w:w="11240"/>
          </w:cols>
          <w:pgMar w:left="320" w:top="123"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242424"/>
        </w:rPr>
        <w:t>3.1</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42424"/>
        </w:rPr>
        <w:t>3.2</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br w:type="column"/>
      </w:r>
    </w:p>
    <w:p>
      <w:pPr>
        <w:ind w:right="560"/>
        <w:spacing w:after="0" w:line="272" w:lineRule="auto"/>
        <w:rPr>
          <w:rFonts w:ascii="Times New Roman" w:cs="Times New Roman" w:eastAsia="Times New Roman" w:hAnsi="Times New Roman"/>
          <w:sz w:val="17"/>
          <w:szCs w:val="17"/>
          <w:u w:val="single" w:color="auto"/>
          <w:color w:val="0000FF"/>
        </w:rPr>
      </w:pPr>
      <w:hyperlink r:id="rId63">
        <w:r>
          <w:rPr>
            <w:rFonts w:ascii="Times New Roman" w:cs="Times New Roman" w:eastAsia="Times New Roman" w:hAnsi="Times New Roman"/>
            <w:sz w:val="17"/>
            <w:szCs w:val="17"/>
            <w:u w:val="single" w:color="auto"/>
            <w:color w:val="0000FF"/>
          </w:rPr>
          <w:t>Second Restated Certificate of Incorporation of the Company (incorporated by reference to Exhibit 3.2 to the Company’s Annual Report on</w:t>
        </w:r>
      </w:hyperlink>
      <w:r>
        <w:rPr>
          <w:rFonts w:ascii="Times New Roman" w:cs="Times New Roman" w:eastAsia="Times New Roman" w:hAnsi="Times New Roman"/>
          <w:sz w:val="17"/>
          <w:szCs w:val="17"/>
          <w:u w:val="single" w:color="auto"/>
          <w:color w:val="0000FF"/>
        </w:rPr>
        <w:t xml:space="preserve"> </w:t>
      </w:r>
      <w:hyperlink r:id="rId63">
        <w:r>
          <w:rPr>
            <w:rFonts w:ascii="Times New Roman" w:cs="Times New Roman" w:eastAsia="Times New Roman" w:hAnsi="Times New Roman"/>
            <w:sz w:val="17"/>
            <w:szCs w:val="17"/>
            <w:u w:val="single" w:color="auto"/>
            <w:color w:val="0000FF"/>
          </w:rPr>
          <w:t>Form 10-K for the year ended December 31, 2005)</w:t>
        </w:r>
      </w:hyperlink>
    </w:p>
    <w:p>
      <w:pPr>
        <w:spacing w:after="0" w:line="61" w:lineRule="exact"/>
        <w:rPr>
          <w:sz w:val="20"/>
          <w:szCs w:val="20"/>
          <w:color w:val="auto"/>
        </w:rPr>
      </w:pPr>
    </w:p>
    <w:p>
      <w:pPr>
        <w:ind w:right="620"/>
        <w:spacing w:after="0" w:line="272" w:lineRule="auto"/>
        <w:rPr>
          <w:rFonts w:ascii="Times New Roman" w:cs="Times New Roman" w:eastAsia="Times New Roman" w:hAnsi="Times New Roman"/>
          <w:sz w:val="17"/>
          <w:szCs w:val="17"/>
          <w:u w:val="single" w:color="auto"/>
          <w:color w:val="0000FF"/>
        </w:rPr>
      </w:pPr>
      <w:hyperlink r:id="rId64">
        <w:r>
          <w:rPr>
            <w:rFonts w:ascii="Times New Roman" w:cs="Times New Roman" w:eastAsia="Times New Roman" w:hAnsi="Times New Roman"/>
            <w:sz w:val="17"/>
            <w:szCs w:val="17"/>
            <w:u w:val="single" w:color="auto"/>
            <w:color w:val="0000FF"/>
          </w:rPr>
          <w:t>Certificate of Amendment of Second Restated Certificate of Incorporation of the Company (incorporated by reference to Exhibit 3.1 to the</w:t>
        </w:r>
      </w:hyperlink>
      <w:r>
        <w:rPr>
          <w:rFonts w:ascii="Times New Roman" w:cs="Times New Roman" w:eastAsia="Times New Roman" w:hAnsi="Times New Roman"/>
          <w:sz w:val="17"/>
          <w:szCs w:val="17"/>
          <w:u w:val="single" w:color="auto"/>
          <w:color w:val="0000FF"/>
        </w:rPr>
        <w:t xml:space="preserve"> </w:t>
      </w:r>
      <w:hyperlink r:id="rId64">
        <w:r>
          <w:rPr>
            <w:rFonts w:ascii="Times New Roman" w:cs="Times New Roman" w:eastAsia="Times New Roman" w:hAnsi="Times New Roman"/>
            <w:sz w:val="17"/>
            <w:szCs w:val="17"/>
            <w:u w:val="single" w:color="auto"/>
            <w:color w:val="0000FF"/>
          </w:rPr>
          <w:t>Company’s Current Report on Form 8-K filed June 10, 2016)</w:t>
        </w:r>
      </w:hyperlink>
    </w:p>
    <w:p>
      <w:pPr>
        <w:spacing w:after="0" w:line="48" w:lineRule="exact"/>
        <w:rPr>
          <w:sz w:val="20"/>
          <w:szCs w:val="20"/>
          <w:color w:val="auto"/>
        </w:rPr>
      </w:pPr>
    </w:p>
    <w:p>
      <w:pPr>
        <w:ind w:right="620"/>
        <w:spacing w:after="0"/>
        <w:rPr>
          <w:rFonts w:ascii="Times New Roman" w:cs="Times New Roman" w:eastAsia="Times New Roman" w:hAnsi="Times New Roman"/>
          <w:sz w:val="17"/>
          <w:szCs w:val="17"/>
          <w:u w:val="single" w:color="auto"/>
          <w:color w:val="0000FF"/>
        </w:rPr>
      </w:pPr>
      <w:hyperlink r:id="rId65">
        <w:r>
          <w:rPr>
            <w:rFonts w:ascii="Times New Roman" w:cs="Times New Roman" w:eastAsia="Times New Roman" w:hAnsi="Times New Roman"/>
            <w:sz w:val="17"/>
            <w:szCs w:val="17"/>
            <w:u w:val="single" w:color="auto"/>
            <w:color w:val="0000FF"/>
          </w:rPr>
          <w:t>Amended and Restated By-Laws of the Company (incorporated by reference to Exhibit 3.1 to the Company’s Current Report on Form 8-K</w:t>
        </w:r>
      </w:hyperlink>
      <w:r>
        <w:rPr>
          <w:rFonts w:ascii="Times New Roman" w:cs="Times New Roman" w:eastAsia="Times New Roman" w:hAnsi="Times New Roman"/>
          <w:sz w:val="17"/>
          <w:szCs w:val="17"/>
          <w:u w:val="single" w:color="auto"/>
          <w:color w:val="0000FF"/>
        </w:rPr>
        <w:t xml:space="preserve"> </w:t>
      </w:r>
      <w:hyperlink r:id="rId65">
        <w:r>
          <w:rPr>
            <w:rFonts w:ascii="Times New Roman" w:cs="Times New Roman" w:eastAsia="Times New Roman" w:hAnsi="Times New Roman"/>
            <w:sz w:val="17"/>
            <w:szCs w:val="17"/>
            <w:u w:val="single" w:color="auto"/>
            <w:color w:val="0000FF"/>
          </w:rPr>
          <w:t>filed on December 8, 2016)</w:t>
        </w:r>
      </w:hyperlink>
    </w:p>
    <w:p>
      <w:pPr>
        <w:spacing w:after="0" w:line="50" w:lineRule="exact"/>
        <w:rPr>
          <w:sz w:val="20"/>
          <w:szCs w:val="20"/>
          <w:color w:val="auto"/>
        </w:rPr>
      </w:pPr>
    </w:p>
    <w:p>
      <w:pPr>
        <w:sectPr>
          <w:pgSz w:w="11900" w:h="16838" w:orient="portrait"/>
          <w:cols w:equalWidth="0" w:num="2">
            <w:col w:w="340" w:space="720"/>
            <w:col w:w="1018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180" w:type="dxa"/>
            <w:vAlign w:val="bottom"/>
            <w:gridSpan w:val="5"/>
          </w:tcPr>
          <w:p>
            <w:pPr>
              <w:spacing w:after="0"/>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Description of the Company’s securities registered under Section 12 of the Securities Exchange Act of 1934, as amended (incorporated by</w:t>
              </w:r>
            </w:hyperlink>
          </w:p>
        </w:tc>
      </w:tr>
      <w:tr>
        <w:trPr>
          <w:trHeight w:val="161"/>
        </w:trPr>
        <w:tc>
          <w:tcPr>
            <w:tcW w:w="1060" w:type="dxa"/>
            <w:vAlign w:val="bottom"/>
          </w:tcPr>
          <w:p>
            <w:pPr>
              <w:spacing w:after="0"/>
              <w:rPr>
                <w:sz w:val="13"/>
                <w:szCs w:val="13"/>
                <w:color w:val="auto"/>
              </w:rPr>
            </w:pPr>
          </w:p>
        </w:tc>
        <w:tc>
          <w:tcPr>
            <w:tcW w:w="9540" w:type="dxa"/>
            <w:vAlign w:val="bottom"/>
            <w:tcBorders>
              <w:top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reference to Exhibit 4.1 to the Company's Annual Report on Form 10-K for the year ended December 31, 2019)</w:t>
              </w:r>
            </w:hyperlink>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License Agreement dated December 14, 1989 between the Company and Farberware, Inc. (incorporated by reference to the Company’s</w:t>
            </w:r>
          </w:p>
        </w:tc>
      </w:tr>
      <w:tr>
        <w:trPr>
          <w:trHeight w:val="223"/>
        </w:trPr>
        <w:tc>
          <w:tcPr>
            <w:tcW w:w="1060" w:type="dxa"/>
            <w:vAlign w:val="bottom"/>
          </w:tcPr>
          <w:p>
            <w:pPr>
              <w:spacing w:after="0"/>
              <w:rPr>
                <w:sz w:val="19"/>
                <w:szCs w:val="19"/>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registration statement No. 33-40154 on Form S-1)(P)</w:t>
            </w:r>
          </w:p>
        </w:tc>
      </w:tr>
      <w:tr>
        <w:trPr>
          <w:trHeight w:val="255"/>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180" w:type="dxa"/>
            <w:vAlign w:val="bottom"/>
            <w:gridSpan w:val="5"/>
          </w:tcPr>
          <w:p>
            <w:pPr>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Fourth Amended and Restated Employment Agreement, dated as of June 27, 2019, between the Company and Jeffrey Siegel (incorporated by</w:t>
              </w:r>
            </w:hyperlink>
          </w:p>
        </w:tc>
      </w:tr>
      <w:tr>
        <w:trPr>
          <w:trHeight w:val="174"/>
        </w:trPr>
        <w:tc>
          <w:tcPr>
            <w:tcW w:w="1060" w:type="dxa"/>
            <w:vAlign w:val="bottom"/>
          </w:tcPr>
          <w:p>
            <w:pPr>
              <w:spacing w:after="0"/>
              <w:rPr>
                <w:sz w:val="15"/>
                <w:szCs w:val="15"/>
                <w:color w:val="auto"/>
              </w:rPr>
            </w:pPr>
          </w:p>
        </w:tc>
        <w:tc>
          <w:tcPr>
            <w:tcW w:w="9780" w:type="dxa"/>
            <w:vAlign w:val="bottom"/>
            <w:tcBorders>
              <w:top w:val="single" w:sz="8" w:color="0000FF"/>
            </w:tcBorders>
            <w:gridSpan w:val="4"/>
          </w:tcPr>
          <w:p>
            <w:pPr>
              <w:spacing w:after="0" w:line="174"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reference to Exhibit 10.1 to the Company’s Current Report on Form 8-K filed June 28, 2019)</w:t>
              </w:r>
            </w:hyperlink>
          </w:p>
        </w:tc>
        <w:tc>
          <w:tcPr>
            <w:tcW w:w="400" w:type="dxa"/>
            <w:vAlign w:val="bottom"/>
          </w:tcPr>
          <w:p>
            <w:pPr>
              <w:spacing w:after="0"/>
              <w:rPr>
                <w:sz w:val="15"/>
                <w:szCs w:val="15"/>
                <w:color w:val="auto"/>
              </w:rPr>
            </w:pPr>
          </w:p>
        </w:tc>
      </w:tr>
      <w:tr>
        <w:trPr>
          <w:trHeight w:val="807"/>
        </w:trPr>
        <w:tc>
          <w:tcPr>
            <w:tcW w:w="1060" w:type="dxa"/>
            <w:vAlign w:val="bottom"/>
          </w:tcPr>
          <w:p>
            <w:pPr>
              <w:spacing w:after="0"/>
              <w:rPr>
                <w:sz w:val="24"/>
                <w:szCs w:val="24"/>
                <w:color w:val="auto"/>
              </w:rPr>
            </w:pPr>
          </w:p>
        </w:tc>
        <w:tc>
          <w:tcPr>
            <w:tcW w:w="6420" w:type="dxa"/>
            <w:vAlign w:val="bottom"/>
            <w:tcBorders>
              <w:top w:val="single" w:sz="8" w:color="0000FF"/>
            </w:tcBorders>
          </w:tcPr>
          <w:p>
            <w:pPr>
              <w:ind w:left="4480"/>
              <w:spacing w:after="0"/>
              <w:rPr>
                <w:sz w:val="20"/>
                <w:szCs w:val="20"/>
                <w:color w:val="auto"/>
              </w:rPr>
            </w:pPr>
            <w:r>
              <w:rPr>
                <w:rFonts w:ascii="Times New Roman" w:cs="Times New Roman" w:eastAsia="Times New Roman" w:hAnsi="Times New Roman"/>
                <w:sz w:val="17"/>
                <w:szCs w:val="17"/>
                <w:color w:val="auto"/>
              </w:rPr>
              <w:t>47</w:t>
            </w:r>
          </w:p>
        </w:tc>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9"/>
        </w:trPr>
        <w:tc>
          <w:tcPr>
            <w:tcW w:w="1060" w:type="dxa"/>
            <w:vAlign w:val="bottom"/>
            <w:tcBorders>
              <w:bottom w:val="single" w:sz="8" w:color="9A9A9A"/>
            </w:tcBorders>
          </w:tcPr>
          <w:p>
            <w:pPr>
              <w:spacing w:after="0"/>
              <w:rPr>
                <w:sz w:val="9"/>
                <w:szCs w:val="9"/>
                <w:color w:val="auto"/>
              </w:rPr>
            </w:pPr>
          </w:p>
        </w:tc>
        <w:tc>
          <w:tcPr>
            <w:tcW w:w="64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First Amendment to the Fourth Amended and Restated Employment Agreement, dated as of October 11, 2019, between the Company and</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54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Jeffrey Siegel (incorporated by reference to Exhibit 10.6 to the Company’s Current Report on Form 8-K filed October 15,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Transition Agreement, dated as of November 1, 2022, by and among the Company and Jeffrey Siegel (incorporated by reference to Exhibit</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6580" w:type="dxa"/>
            <w:vAlign w:val="bottom"/>
            <w:tcBorders>
              <w:top w:val="single" w:sz="8" w:color="0000FF"/>
              <w:bottom w:val="single" w:sz="8" w:color="0000FF"/>
            </w:tcBorders>
            <w:gridSpan w:val="9"/>
          </w:tcPr>
          <w:p>
            <w:pPr>
              <w:spacing w:after="0" w:line="17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0000FF"/>
                </w:rPr>
                <w:t xml:space="preserve"> to the Company's quarter report on Form 10-Q for the quarter ended September 30, 2022).</w:t>
              </w:r>
            </w:hyperlink>
          </w:p>
        </w:tc>
        <w:tc>
          <w:tcPr>
            <w:tcW w:w="302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Letter Agreement Amending and Supplementing Employment Agreement between Lifetime Brands, Inc. and Daniel Siegel, effective April 13,</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2020 (incorporated by reference to Exhibit 10.2 to the Company's Quarterly Report on Form 10-Q for the quarter ended March 31, 2020)</w:t>
              </w:r>
            </w:hyperlink>
          </w:p>
        </w:tc>
        <w:tc>
          <w:tcPr>
            <w:tcW w:w="4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Lease Agreement, dated as of May 10, 2006, between AG Metropolitan Endo, L.L.C and the Company for the property located at 1000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60" w:type="dxa"/>
            <w:vAlign w:val="bottom"/>
          </w:tcPr>
          <w:p>
            <w:pPr>
              <w:spacing w:after="0"/>
              <w:rPr>
                <w:sz w:val="15"/>
                <w:szCs w:val="15"/>
                <w:color w:val="auto"/>
              </w:rPr>
            </w:pPr>
          </w:p>
        </w:tc>
        <w:tc>
          <w:tcPr>
            <w:tcW w:w="10180" w:type="dxa"/>
            <w:vAlign w:val="bottom"/>
            <w:gridSpan w:val="34"/>
          </w:tcPr>
          <w:p>
            <w:pPr>
              <w:spacing w:after="0" w:line="174"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Stewart Avenue in Garden City, New York (incorporated by reference to Exhibit 99.1 to the Company’s Current Report on Form 8-K filed May</w:t>
              </w:r>
            </w:hyperlink>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660" w:type="dxa"/>
            <w:vAlign w:val="bottom"/>
            <w:tcBorders>
              <w:top w:val="single" w:sz="8" w:color="0000FF"/>
              <w:bottom w:val="single" w:sz="8" w:color="0000FF"/>
            </w:tcBorders>
            <w:gridSpan w:val="2"/>
          </w:tcPr>
          <w:p>
            <w:pPr>
              <w:spacing w:after="0" w:line="187" w:lineRule="exact"/>
              <w:rPr>
                <w:rFonts w:ascii="Times New Roman" w:cs="Times New Roman" w:eastAsia="Times New Roman" w:hAnsi="Times New Roman"/>
                <w:sz w:val="17"/>
                <w:szCs w:val="17"/>
                <w:color w:val="0000FF"/>
                <w:w w:val="98"/>
              </w:rPr>
            </w:pPr>
            <w:hyperlink r:id="rId73">
              <w:r>
                <w:rPr>
                  <w:rFonts w:ascii="Times New Roman" w:cs="Times New Roman" w:eastAsia="Times New Roman" w:hAnsi="Times New Roman"/>
                  <w:sz w:val="17"/>
                  <w:szCs w:val="17"/>
                  <w:color w:val="0000FF"/>
                  <w:w w:val="98"/>
                </w:rPr>
                <w:t>15, 2006)</w:t>
              </w:r>
            </w:hyperlink>
          </w:p>
        </w:tc>
        <w:tc>
          <w:tcPr>
            <w:tcW w:w="780" w:type="dxa"/>
            <w:vAlign w:val="bottom"/>
            <w:tcBorders>
              <w:top w:val="single" w:sz="8" w:color="0000FF"/>
            </w:tcBorders>
          </w:tcPr>
          <w:p>
            <w:pPr>
              <w:spacing w:after="0"/>
              <w:rPr>
                <w:sz w:val="16"/>
                <w:szCs w:val="16"/>
                <w:color w:val="auto"/>
              </w:rPr>
            </w:pPr>
          </w:p>
        </w:tc>
        <w:tc>
          <w:tcPr>
            <w:tcW w:w="1960" w:type="dxa"/>
            <w:vAlign w:val="bottom"/>
            <w:tcBorders>
              <w:top w:val="single" w:sz="8" w:color="0000FF"/>
            </w:tcBorders>
          </w:tcPr>
          <w:p>
            <w:pPr>
              <w:spacing w:after="0"/>
              <w:rPr>
                <w:sz w:val="16"/>
                <w:szCs w:val="16"/>
                <w:color w:val="auto"/>
              </w:rPr>
            </w:pPr>
          </w:p>
        </w:tc>
        <w:tc>
          <w:tcPr>
            <w:tcW w:w="10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26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First Amendment to the Lease Agreement, dated as of September 26, 2006, between AG Metropolitan Endo, L.L.C and the Company for the</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720" w:type="dxa"/>
            <w:vAlign w:val="bottom"/>
            <w:tcBorders>
              <w:top w:val="single" w:sz="8" w:color="0000FF"/>
            </w:tcBorders>
            <w:gridSpan w:val="29"/>
          </w:tcPr>
          <w:p>
            <w:pPr>
              <w:spacing w:after="0" w:line="148"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property located at 1000 Stewart Avenue in Garden City, New York (incorporated by reference to Exhibit 10.1 to the Company’s Quarterly</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61"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Report on Form 10-Q for the quarter ended September 30, 2006)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Amended and Restated 2000 Long-Term Incentive Plan, dated June 28, 2018 (incorporated by reference to Exhibit 10.1 to the Company’s</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5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Current Report on Form 8-K filed June 29, 2018)</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Form of Restricted Stock Award Agreement under the Amended and Restated 2000 Long-term Incentive Plan (incorporated by reference to</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620" w:type="dxa"/>
            <w:vAlign w:val="bottom"/>
            <w:tcBorders>
              <w:top w:val="single" w:sz="8" w:color="0000FF"/>
            </w:tcBorders>
            <w:gridSpan w:val="24"/>
          </w:tcPr>
          <w:p>
            <w:pPr>
              <w:spacing w:after="0" w:line="174"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Exhibit 10.1 to the Company’s Quarterly Report on Form 10-Q filed August 10, 2015)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Form of Deferred Stock (Performance-Vesting) Award Agreement under the Amended and Restated 2000 Long-term Incentive Plan</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8100" w:type="dxa"/>
            <w:vAlign w:val="bottom"/>
            <w:tcBorders>
              <w:top w:val="single" w:sz="8" w:color="0000FF"/>
              <w:bottom w:val="single" w:sz="8" w:color="0000FF"/>
            </w:tcBorders>
            <w:gridSpan w:val="11"/>
          </w:tcPr>
          <w:p>
            <w:pPr>
              <w:spacing w:after="0" w:line="17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(incorporated by reference to Exhibit 10.2 to the Company’s Quarterly Report on Form 10-Q filed August 10, 2015)*</w:t>
              </w:r>
            </w:hyperlink>
          </w:p>
        </w:tc>
        <w:tc>
          <w:tcPr>
            <w:tcW w:w="1000" w:type="dxa"/>
            <w:vAlign w:val="bottom"/>
            <w:tcBorders>
              <w:top w:val="single" w:sz="8" w:color="0000FF"/>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Amended and Restated 2000 Incentive Bonus Compensation Plan, effective as of June 22, 2017 (incorporated by reference to Exhibit 10.1 to</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61"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the Company’s Current Report on Form 8-K filed June 23, 2017)</w:t>
              </w:r>
            </w:hyperlink>
          </w:p>
        </w:tc>
        <w:tc>
          <w:tcPr>
            <w:tcW w:w="14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Amended and Restated 2000 Long-Term Incentive Plan, effective as of June 25, 2020 (filed as Appendix B to the Registrant's Definitive Proxy</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880" w:type="dxa"/>
            <w:vAlign w:val="bottom"/>
            <w:tcBorders>
              <w:top w:val="single" w:sz="8" w:color="0000FF"/>
            </w:tcBorders>
            <w:gridSpan w:val="32"/>
          </w:tcPr>
          <w:p>
            <w:pPr>
              <w:spacing w:after="0" w:line="174"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Statement on Schedule 14A, filed on April 29, 2020 and incorporated by reference herein)</w:t>
              </w:r>
            </w:hyperlink>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Amended and Restated 2000 Long-Term Incentive Plan, effective as of June 23, 2022 (filed as Appendix B to the Registrant's Definitive Proxy</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880" w:type="dxa"/>
            <w:vAlign w:val="bottom"/>
            <w:tcBorders>
              <w:top w:val="single" w:sz="8" w:color="0000FF"/>
            </w:tcBorders>
            <w:gridSpan w:val="32"/>
          </w:tcPr>
          <w:p>
            <w:pPr>
              <w:spacing w:after="0" w:line="17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Statement on Schedule 14A, filed on April 28, 2022 and incorporated by reference herein)</w:t>
              </w:r>
            </w:hyperlink>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Amended and Restated 2000 Long-Term Incentive Plan, effective as of June 20, 2024 (filed as Appendix B to the Registrant's Definitive Proxy</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880" w:type="dxa"/>
            <w:vAlign w:val="bottom"/>
            <w:tcBorders>
              <w:top w:val="single" w:sz="8" w:color="0000FF"/>
            </w:tcBorders>
            <w:gridSpan w:val="32"/>
          </w:tcPr>
          <w:p>
            <w:pPr>
              <w:spacing w:after="0" w:line="174"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Statement on Schedule 14A, filed on April 25, 2024 and incorporated by reference herein)</w:t>
              </w:r>
            </w:hyperlink>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10180" w:type="dxa"/>
            <w:vAlign w:val="bottom"/>
            <w:gridSpan w:val="34"/>
          </w:tcPr>
          <w:p>
            <w:pPr>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Amended and Restated Employment Agreement, dated September 10, 2015, between the Company and Laurence Winoker (incorporated by</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680" w:type="dxa"/>
            <w:vAlign w:val="bottom"/>
            <w:tcBorders>
              <w:top w:val="single" w:sz="8" w:color="0000FF"/>
            </w:tcBorders>
            <w:gridSpan w:val="27"/>
          </w:tcPr>
          <w:p>
            <w:pPr>
              <w:spacing w:after="0" w:line="174"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reference to Exhibit 10.1 to the Company’s Current Report on Form 8-K filed September 16, 2015)</w:t>
              </w:r>
            </w:hyperlink>
          </w:p>
        </w:tc>
        <w:tc>
          <w:tcPr>
            <w:tcW w:w="20" w:type="dxa"/>
            <w:vAlign w:val="bottom"/>
          </w:tcPr>
          <w:p>
            <w:pPr>
              <w:spacing w:after="0"/>
              <w:rPr>
                <w:sz w:val="15"/>
                <w:szCs w:val="15"/>
                <w:color w:val="auto"/>
              </w:rPr>
            </w:pPr>
          </w:p>
        </w:tc>
        <w:tc>
          <w:tcPr>
            <w:tcW w:w="4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0" w:type="dxa"/>
            <w:vAlign w:val="bottom"/>
            <w:gridSpan w:val="7"/>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Amendment to the Amended and Restated Employment Agreement, dated November 8, 2017, between the Company and Laurence Winoker</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6"/>
          </w:tcPr>
          <w:p>
            <w:pPr>
              <w:spacing w:after="0" w:line="161"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(incorporated by reference to Exhibit 10.3 to the Company’s Quarterly Report on Form 10-Q for the quarter ended September 30, 2017)</w:t>
              </w:r>
            </w:hyperlink>
          </w:p>
        </w:tc>
        <w:tc>
          <w:tcPr>
            <w:tcW w:w="320" w:type="dxa"/>
            <w:vAlign w:val="bottom"/>
            <w:tcBorders>
              <w:top w:val="single" w:sz="8" w:color="0000FF"/>
            </w:tcBorders>
            <w:gridSpan w:val="12"/>
          </w:tcPr>
          <w:p>
            <w:pPr>
              <w:spacing w:after="0"/>
              <w:rPr>
                <w:sz w:val="13"/>
                <w:szCs w:val="13"/>
                <w:color w:val="auto"/>
              </w:rPr>
            </w:pPr>
          </w:p>
        </w:tc>
        <w:tc>
          <w:tcPr>
            <w:tcW w:w="4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956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Letter Agreement Amending and Supplementing Employment Agreement between Lifetime Brands, Inc. and Laurence Winoker, effective</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4"/>
          </w:tcPr>
          <w:p>
            <w:pPr>
              <w:spacing w:after="0" w:line="148"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April 13, 2020 (incorporated by reference to Exhibit 10.4 to the Company's Quarterly Report on Form 10-Q for the quarter ended March 31,</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660" w:type="dxa"/>
            <w:vAlign w:val="bottom"/>
            <w:tcBorders>
              <w:top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2020)</w:t>
              </w:r>
            </w:hyperlink>
          </w:p>
        </w:tc>
        <w:tc>
          <w:tcPr>
            <w:tcW w:w="78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4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760" w:type="dxa"/>
            <w:vAlign w:val="bottom"/>
            <w:gridSpan w:val="11"/>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vMerge w:val="continue"/>
          </w:tcPr>
          <w:p>
            <w:pPr>
              <w:spacing w:after="0"/>
              <w:rPr>
                <w:sz w:val="22"/>
                <w:szCs w:val="22"/>
                <w:color w:val="auto"/>
              </w:rPr>
            </w:pPr>
          </w:p>
        </w:tc>
        <w:tc>
          <w:tcPr>
            <w:tcW w:w="10180" w:type="dxa"/>
            <w:vAlign w:val="bottom"/>
            <w:gridSpan w:val="34"/>
          </w:tcPr>
          <w:p>
            <w:pPr>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Third Amendment to the Amended and Restated Employment Agreement, dated as of August 1, 2022, between the Company and Laurence</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18"/>
          </w:tcPr>
          <w:p>
            <w:pPr>
              <w:spacing w:after="0" w:line="174"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Winoker (incorporated by reference to Exhibit 10.1 to the Company's quarterly report on Form 10-Q for the quarter ended June 30, 2022)</w:t>
              </w:r>
            </w:hyperlink>
          </w:p>
        </w:tc>
        <w:tc>
          <w:tcPr>
            <w:tcW w:w="16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Fourth Amendment to the Amended and Restated Employment Agreement, dated as of March 8, 2023, by and between the Company and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7760" w:type="dxa"/>
            <w:vAlign w:val="bottom"/>
            <w:gridSpan w:val="11"/>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60" w:type="dxa"/>
            <w:vAlign w:val="bottom"/>
          </w:tcPr>
          <w:p>
            <w:pPr>
              <w:spacing w:after="0"/>
              <w:rPr>
                <w:sz w:val="15"/>
                <w:szCs w:val="15"/>
                <w:color w:val="auto"/>
              </w:rPr>
            </w:pPr>
          </w:p>
        </w:tc>
        <w:tc>
          <w:tcPr>
            <w:tcW w:w="10180" w:type="dxa"/>
            <w:vAlign w:val="bottom"/>
            <w:gridSpan w:val="34"/>
          </w:tcPr>
          <w:p>
            <w:pPr>
              <w:spacing w:after="0" w:line="174"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Laurence Winoker (incorporated by reference to Exhibit 10.18 to the Company's Annual Report on Form 10-K for the year ended December</w:t>
              </w:r>
            </w:hyperlink>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660" w:type="dxa"/>
            <w:vAlign w:val="bottom"/>
            <w:tcBorders>
              <w:top w:val="single" w:sz="8" w:color="0000FF"/>
              <w:bottom w:val="single" w:sz="8" w:color="0000FF"/>
            </w:tcBorders>
            <w:gridSpan w:val="2"/>
          </w:tcPr>
          <w:p>
            <w:pPr>
              <w:spacing w:after="0" w:line="187" w:lineRule="exact"/>
              <w:rPr>
                <w:rFonts w:ascii="Times New Roman" w:cs="Times New Roman" w:eastAsia="Times New Roman" w:hAnsi="Times New Roman"/>
                <w:sz w:val="17"/>
                <w:szCs w:val="17"/>
                <w:color w:val="0000FF"/>
                <w:w w:val="98"/>
              </w:rPr>
            </w:pPr>
            <w:hyperlink r:id="rId86">
              <w:r>
                <w:rPr>
                  <w:rFonts w:ascii="Times New Roman" w:cs="Times New Roman" w:eastAsia="Times New Roman" w:hAnsi="Times New Roman"/>
                  <w:sz w:val="17"/>
                  <w:szCs w:val="17"/>
                  <w:color w:val="0000FF"/>
                  <w:w w:val="98"/>
                </w:rPr>
                <w:t>31, 2022)</w:t>
              </w:r>
            </w:hyperlink>
          </w:p>
        </w:tc>
        <w:tc>
          <w:tcPr>
            <w:tcW w:w="780" w:type="dxa"/>
            <w:vAlign w:val="bottom"/>
            <w:tcBorders>
              <w:top w:val="single" w:sz="8" w:color="0000FF"/>
            </w:tcBorders>
          </w:tcPr>
          <w:p>
            <w:pPr>
              <w:spacing w:after="0"/>
              <w:rPr>
                <w:sz w:val="16"/>
                <w:szCs w:val="16"/>
                <w:color w:val="auto"/>
              </w:rPr>
            </w:pPr>
          </w:p>
        </w:tc>
        <w:tc>
          <w:tcPr>
            <w:tcW w:w="1960" w:type="dxa"/>
            <w:vAlign w:val="bottom"/>
            <w:tcBorders>
              <w:top w:val="single" w:sz="8" w:color="0000FF"/>
            </w:tcBorders>
          </w:tcPr>
          <w:p>
            <w:pPr>
              <w:spacing w:after="0"/>
              <w:rPr>
                <w:sz w:val="16"/>
                <w:szCs w:val="16"/>
                <w:color w:val="auto"/>
              </w:rPr>
            </w:pPr>
          </w:p>
        </w:tc>
        <w:tc>
          <w:tcPr>
            <w:tcW w:w="10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26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10180" w:type="dxa"/>
            <w:vAlign w:val="bottom"/>
            <w:gridSpan w:val="34"/>
          </w:tcPr>
          <w:p>
            <w:pPr>
              <w:spacing w:after="0"/>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Fifth Amendment to the Amended and Restated Employment Agreement, dated as of November 8, 2023, by and between the Company and</w:t>
              </w:r>
            </w:hyperlink>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200" w:type="dxa"/>
            <w:vAlign w:val="bottom"/>
            <w:tcBorders>
              <w:top w:val="single" w:sz="8" w:color="0000FF"/>
              <w:bottom w:val="single" w:sz="8" w:color="0000FF"/>
            </w:tcBorders>
            <w:gridSpan w:val="14"/>
          </w:tcPr>
          <w:p>
            <w:pPr>
              <w:spacing w:after="0" w:line="174"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Laurence Winoker (incorporated by reference to Exhibit 10.1 to the Company's Quarterly Report on Form 10-Q for the quarter ended</w:t>
              </w:r>
            </w:hyperlink>
          </w:p>
        </w:tc>
        <w:tc>
          <w:tcPr>
            <w:tcW w:w="460" w:type="dxa"/>
            <w:vAlign w:val="bottom"/>
            <w:tcBorders>
              <w:top w:val="single" w:sz="8" w:color="0000FF"/>
            </w:tcBorders>
            <w:gridSpan w:val="12"/>
          </w:tcPr>
          <w:p>
            <w:pPr>
              <w:spacing w:after="0"/>
              <w:rPr>
                <w:sz w:val="15"/>
                <w:szCs w:val="15"/>
                <w:color w:val="auto"/>
              </w:rPr>
            </w:pPr>
          </w:p>
        </w:tc>
        <w:tc>
          <w:tcPr>
            <w:tcW w:w="5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10180" w:type="dxa"/>
            <w:vAlign w:val="bottom"/>
            <w:gridSpan w:val="34"/>
          </w:tcPr>
          <w:p>
            <w:pPr>
              <w:spacing w:after="0" w:line="187"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September 30, 2023)</w:t>
              </w:r>
            </w:hyperlink>
          </w:p>
        </w:tc>
        <w:tc>
          <w:tcPr>
            <w:tcW w:w="0" w:type="dxa"/>
            <w:vAlign w:val="bottom"/>
          </w:tcPr>
          <w:p>
            <w:pPr>
              <w:spacing w:after="0"/>
              <w:rPr>
                <w:sz w:val="1"/>
                <w:szCs w:val="1"/>
                <w:color w:val="auto"/>
              </w:rPr>
            </w:pPr>
          </w:p>
        </w:tc>
      </w:tr>
      <w:tr>
        <w:trPr>
          <w:trHeight w:val="794"/>
        </w:trPr>
        <w:tc>
          <w:tcPr>
            <w:tcW w:w="1060" w:type="dxa"/>
            <w:vAlign w:val="bottom"/>
          </w:tcPr>
          <w:p>
            <w:pPr>
              <w:spacing w:after="0"/>
              <w:rPr>
                <w:sz w:val="24"/>
                <w:szCs w:val="24"/>
                <w:color w:val="auto"/>
              </w:rPr>
            </w:pPr>
          </w:p>
        </w:tc>
        <w:tc>
          <w:tcPr>
            <w:tcW w:w="1440" w:type="dxa"/>
            <w:vAlign w:val="bottom"/>
            <w:tcBorders>
              <w:top w:val="single" w:sz="8" w:color="0000FF"/>
            </w:tcBorders>
            <w:gridSpan w:val="3"/>
          </w:tcPr>
          <w:p>
            <w:pPr>
              <w:spacing w:after="0"/>
              <w:rPr>
                <w:sz w:val="24"/>
                <w:szCs w:val="24"/>
                <w:color w:val="auto"/>
              </w:rPr>
            </w:pPr>
          </w:p>
        </w:tc>
        <w:tc>
          <w:tcPr>
            <w:tcW w:w="4520" w:type="dxa"/>
            <w:vAlign w:val="bottom"/>
            <w:gridSpan w:val="4"/>
          </w:tcPr>
          <w:p>
            <w:pPr>
              <w:jc w:val="right"/>
              <w:ind w:right="1300"/>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10.21</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Shares Subscription Agreement by and among the Company, Ekco, S.A.B. and Mr. José Ramón Elizondo Anaya and Mr. Miguel Ángel Huerta</w:t>
              </w:r>
            </w:hyperlink>
          </w:p>
        </w:tc>
      </w:tr>
      <w:tr>
        <w:trPr>
          <w:trHeight w:val="174"/>
        </w:trPr>
        <w:tc>
          <w:tcPr>
            <w:tcW w:w="106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33"/>
          </w:tcPr>
          <w:p>
            <w:pPr>
              <w:spacing w:after="0" w:line="174"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Pando, dated as of June 8, 2007 (incorporated by reference to Exhibit 99.1 to the Company’s Current Report on Form 8-K filed June 11, 2007)</w:t>
              </w:r>
            </w:hyperlink>
          </w:p>
        </w:tc>
        <w:tc>
          <w:tcPr>
            <w:tcW w:w="1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10.22</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Amendment No. 1 dated September 5, 2007 to the Shares Subscription Agreement by and among the Company, Ekco, S.A.B. and Mr. José</w:t>
              </w:r>
            </w:hyperlink>
          </w:p>
        </w:tc>
      </w:tr>
      <w:tr>
        <w:trPr>
          <w:trHeight w:val="161"/>
        </w:trPr>
        <w:tc>
          <w:tcPr>
            <w:tcW w:w="106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61"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Ramón Elizondo Anaya and Mr. Miguel Ángel Huerta Pando (incorporated by reference to Exhibit 10.17 to the Company’s Annual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17"/>
          </w:tcPr>
          <w:p>
            <w:pPr>
              <w:jc w:val="right"/>
              <w:ind w:right="380"/>
              <w:spacing w:after="0" w:line="161" w:lineRule="exact"/>
              <w:rPr>
                <w:rFonts w:ascii="Times New Roman" w:cs="Times New Roman" w:eastAsia="Times New Roman" w:hAnsi="Times New Roman"/>
                <w:sz w:val="17"/>
                <w:szCs w:val="17"/>
                <w:color w:val="0000FF"/>
                <w:w w:val="93"/>
              </w:rPr>
            </w:pPr>
            <w:hyperlink r:id="rId91">
              <w:r>
                <w:rPr>
                  <w:rFonts w:ascii="Times New Roman" w:cs="Times New Roman" w:eastAsia="Times New Roman" w:hAnsi="Times New Roman"/>
                  <w:sz w:val="17"/>
                  <w:szCs w:val="17"/>
                  <w:color w:val="0000FF"/>
                  <w:w w:val="93"/>
                </w:rPr>
                <w:t>on</w:t>
              </w:r>
            </w:hyperlink>
          </w:p>
        </w:tc>
      </w:tr>
      <w:tr>
        <w:trPr>
          <w:trHeight w:val="174"/>
        </w:trPr>
        <w:tc>
          <w:tcPr>
            <w:tcW w:w="1060" w:type="dxa"/>
            <w:vAlign w:val="bottom"/>
          </w:tcPr>
          <w:p>
            <w:pPr>
              <w:spacing w:after="0"/>
              <w:rPr>
                <w:sz w:val="15"/>
                <w:szCs w:val="15"/>
                <w:color w:val="auto"/>
              </w:rPr>
            </w:pPr>
          </w:p>
        </w:tc>
        <w:tc>
          <w:tcPr>
            <w:tcW w:w="3540" w:type="dxa"/>
            <w:vAlign w:val="bottom"/>
            <w:tcBorders>
              <w:top w:val="single" w:sz="8" w:color="0000FF"/>
              <w:bottom w:val="single" w:sz="8" w:color="0000FF"/>
            </w:tcBorders>
            <w:gridSpan w:val="5"/>
          </w:tcPr>
          <w:p>
            <w:pPr>
              <w:spacing w:after="0" w:line="174"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Form 10-K for the year ended December 31, 2008)</w:t>
              </w:r>
            </w:hyperlink>
          </w:p>
        </w:tc>
        <w:tc>
          <w:tcPr>
            <w:tcW w:w="6260" w:type="dxa"/>
            <w:vAlign w:val="bottom"/>
            <w:tcBorders>
              <w:top w:val="single" w:sz="8" w:color="0000FF"/>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10.23</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Amendment No. 2 dated September 25, 2008 to the Shares Subscription Agreement by and among the Company, Ekco, S.A.B. and Mr. José</w:t>
              </w:r>
            </w:hyperlink>
          </w:p>
        </w:tc>
      </w:tr>
      <w:tr>
        <w:trPr>
          <w:trHeight w:val="174"/>
        </w:trPr>
        <w:tc>
          <w:tcPr>
            <w:tcW w:w="1060" w:type="dxa"/>
            <w:vAlign w:val="bottom"/>
          </w:tcPr>
          <w:p>
            <w:pPr>
              <w:spacing w:after="0"/>
              <w:rPr>
                <w:sz w:val="15"/>
                <w:szCs w:val="15"/>
                <w:color w:val="auto"/>
              </w:rPr>
            </w:pPr>
          </w:p>
        </w:tc>
        <w:tc>
          <w:tcPr>
            <w:tcW w:w="9660" w:type="dxa"/>
            <w:vAlign w:val="bottom"/>
            <w:tcBorders>
              <w:top w:val="single" w:sz="8" w:color="0000FF"/>
              <w:bottom w:val="single" w:sz="8" w:color="0000FF"/>
            </w:tcBorders>
            <w:gridSpan w:val="26"/>
          </w:tcPr>
          <w:p>
            <w:pPr>
              <w:spacing w:after="0" w:line="17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Ramón Elizondo Anaya and Mr. Miguel Ángel Huerta Pando (incorporated by reference to Exhibit 10.21 to the Company’s Annual Report</w:t>
              </w:r>
            </w:hyperlink>
          </w:p>
        </w:tc>
        <w:tc>
          <w:tcPr>
            <w:tcW w:w="140" w:type="dxa"/>
            <w:vAlign w:val="bottom"/>
            <w:tcBorders>
              <w:bottom w:val="single" w:sz="8" w:color="0000FF"/>
            </w:tcBorders>
            <w:gridSpan w:val="5"/>
          </w:tcPr>
          <w:p>
            <w:pPr>
              <w:jc w:val="right"/>
              <w:spacing w:after="0" w:line="174" w:lineRule="exact"/>
              <w:rPr>
                <w:rFonts w:ascii="Times New Roman" w:cs="Times New Roman" w:eastAsia="Times New Roman" w:hAnsi="Times New Roman"/>
                <w:sz w:val="17"/>
                <w:szCs w:val="17"/>
                <w:color w:val="0000FF"/>
                <w:w w:val="70"/>
              </w:rPr>
            </w:pPr>
            <w:hyperlink r:id="rId92">
              <w:r>
                <w:rPr>
                  <w:rFonts w:ascii="Times New Roman" w:cs="Times New Roman" w:eastAsia="Times New Roman" w:hAnsi="Times New Roman"/>
                  <w:sz w:val="17"/>
                  <w:szCs w:val="17"/>
                  <w:color w:val="0000FF"/>
                  <w:w w:val="70"/>
                </w:rPr>
                <w:t>on</w:t>
              </w:r>
            </w:hyperlink>
          </w:p>
        </w:tc>
        <w:tc>
          <w:tcPr>
            <w:tcW w:w="380" w:type="dxa"/>
            <w:vAlign w:val="bottom"/>
            <w:gridSpan w:val="11"/>
          </w:tcPr>
          <w:p>
            <w:pPr>
              <w:spacing w:after="0"/>
              <w:rPr>
                <w:sz w:val="15"/>
                <w:szCs w:val="15"/>
                <w:color w:val="auto"/>
              </w:rPr>
            </w:pPr>
          </w:p>
        </w:tc>
      </w:tr>
      <w:tr>
        <w:trPr>
          <w:trHeight w:val="187"/>
        </w:trPr>
        <w:tc>
          <w:tcPr>
            <w:tcW w:w="1060" w:type="dxa"/>
            <w:vAlign w:val="bottom"/>
          </w:tcPr>
          <w:p>
            <w:pPr>
              <w:spacing w:after="0"/>
              <w:rPr>
                <w:sz w:val="16"/>
                <w:szCs w:val="16"/>
                <w:color w:val="auto"/>
              </w:rPr>
            </w:pPr>
          </w:p>
        </w:tc>
        <w:tc>
          <w:tcPr>
            <w:tcW w:w="10180" w:type="dxa"/>
            <w:vAlign w:val="bottom"/>
            <w:gridSpan w:val="42"/>
          </w:tcPr>
          <w:p>
            <w:pPr>
              <w:spacing w:after="0" w:line="187"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10-K for the year ended December 31, 2008)</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10.24</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Employment Agreement, dated as of November 8, 2017, between the Company and Daniel Siegel (incorporated by reference to Exhibit 10.4 to</w:t>
              </w:r>
            </w:hyperlink>
          </w:p>
        </w:tc>
      </w:tr>
      <w:tr>
        <w:trPr>
          <w:trHeight w:val="161"/>
        </w:trPr>
        <w:tc>
          <w:tcPr>
            <w:tcW w:w="106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1"/>
          </w:tcPr>
          <w:p>
            <w:pPr>
              <w:spacing w:after="0" w:line="161"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the Company’s Quarterly Report on Form 10-Q for the quarter ended September 30, 2017)</w:t>
              </w:r>
            </w:hyperlink>
          </w:p>
        </w:tc>
        <w:tc>
          <w:tcPr>
            <w:tcW w:w="372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10.25</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Amendment to the Employment Agreement, dated as of October 11, 2019, between the Company and Daniel Siegel (incorporated by reference</w:t>
              </w:r>
            </w:hyperlink>
          </w:p>
        </w:tc>
      </w:tr>
      <w:tr>
        <w:trPr>
          <w:trHeight w:val="148"/>
        </w:trPr>
        <w:tc>
          <w:tcPr>
            <w:tcW w:w="1060" w:type="dxa"/>
            <w:vAlign w:val="bottom"/>
          </w:tcPr>
          <w:p>
            <w:pPr>
              <w:spacing w:after="0"/>
              <w:rPr>
                <w:sz w:val="12"/>
                <w:szCs w:val="12"/>
                <w:color w:val="auto"/>
              </w:rPr>
            </w:pPr>
          </w:p>
        </w:tc>
        <w:tc>
          <w:tcPr>
            <w:tcW w:w="598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to Exhibit 10.5 to the Company’s Current Report on Form 8-K filed October 15, 2019)</w:t>
              </w:r>
            </w:hyperlink>
          </w:p>
        </w:tc>
        <w:tc>
          <w:tcPr>
            <w:tcW w:w="3940" w:type="dxa"/>
            <w:vAlign w:val="bottom"/>
            <w:tcBorders>
              <w:top w:val="single" w:sz="8" w:color="0000FF"/>
            </w:tcBorders>
            <w:gridSpan w:val="2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10.26</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Letter Agreement Amending and Supplementing Employment Agreement between Lifetime Brands, Inc. and Daniel Siegel, effective April 13,</w:t>
              </w:r>
            </w:hyperlink>
          </w:p>
        </w:tc>
      </w:tr>
      <w:tr>
        <w:trPr>
          <w:trHeight w:val="148"/>
        </w:trPr>
        <w:tc>
          <w:tcPr>
            <w:tcW w:w="106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2020 (incorporated by reference to Exhibit 10.2 to the Company's Quarterly Report on Form 10-Q for the quarter ended March 31, 2020)</w:t>
              </w:r>
            </w:hyperlink>
          </w:p>
        </w:tc>
        <w:tc>
          <w:tcPr>
            <w:tcW w:w="500" w:type="dxa"/>
            <w:vAlign w:val="bottom"/>
            <w:tcBorders>
              <w:top w:val="single" w:sz="8" w:color="0000FF"/>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10.27</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Second Amendment, dated February 1, 2021, to the Employment Agreement, dated as of November 8, 2017, by and between Lifetime Brands,</w:t>
              </w:r>
            </w:hyperlink>
          </w:p>
        </w:tc>
      </w:tr>
      <w:tr>
        <w:trPr>
          <w:trHeight w:val="148"/>
        </w:trPr>
        <w:tc>
          <w:tcPr>
            <w:tcW w:w="1060" w:type="dxa"/>
            <w:vAlign w:val="bottom"/>
          </w:tcPr>
          <w:p>
            <w:pPr>
              <w:spacing w:after="0"/>
              <w:rPr>
                <w:sz w:val="12"/>
                <w:szCs w:val="12"/>
                <w:color w:val="auto"/>
              </w:rPr>
            </w:pPr>
          </w:p>
        </w:tc>
        <w:tc>
          <w:tcPr>
            <w:tcW w:w="9880" w:type="dxa"/>
            <w:vAlign w:val="bottom"/>
            <w:tcBorders>
              <w:top w:val="single" w:sz="8" w:color="0000FF"/>
            </w:tcBorders>
            <w:gridSpan w:val="35"/>
          </w:tcPr>
          <w:p>
            <w:pPr>
              <w:spacing w:after="0" w:line="148"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Inc. and Daniel Siegel (incorporated by reference to Exhibit 10.2 to the Company's Current Report on Form 8-K filed February 1, 2021)</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10.28</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Third Amendment, dated March 8, 2023, to the Employment Agreement, dated as of November 8, 2017, by and between Lifetime Brands, Inc.</w:t>
              </w:r>
            </w:hyperlink>
          </w:p>
        </w:tc>
      </w:tr>
      <w:tr>
        <w:trPr>
          <w:trHeight w:val="148"/>
        </w:trPr>
        <w:tc>
          <w:tcPr>
            <w:tcW w:w="106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36"/>
          </w:tcPr>
          <w:p>
            <w:pPr>
              <w:spacing w:after="0" w:line="148"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and Daniel Siegel (incorporated by reference to Exhibit 10.26 to the Company's Annual Report on Form 10-K for the year ended December 31,</w:t>
              </w:r>
            </w:hyperlink>
          </w:p>
        </w:tc>
        <w:tc>
          <w:tcPr>
            <w:tcW w:w="100" w:type="dxa"/>
            <w:vAlign w:val="bottom"/>
            <w:tcBorders>
              <w:bottom w:val="single" w:sz="8" w:color="0000FF"/>
            </w:tcBorders>
            <w:gridSpan w:val="5"/>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1060" w:type="dxa"/>
            <w:vAlign w:val="bottom"/>
          </w:tcPr>
          <w:p>
            <w:pPr>
              <w:spacing w:after="0"/>
              <w:rPr>
                <w:sz w:val="13"/>
                <w:szCs w:val="13"/>
                <w:color w:val="auto"/>
              </w:rPr>
            </w:pPr>
          </w:p>
        </w:tc>
        <w:tc>
          <w:tcPr>
            <w:tcW w:w="400" w:type="dxa"/>
            <w:vAlign w:val="bottom"/>
            <w:tcBorders>
              <w:bottom w:val="single" w:sz="8" w:color="0000FF"/>
            </w:tcBorders>
          </w:tcPr>
          <w:p>
            <w:pPr>
              <w:spacing w:after="0" w:line="161" w:lineRule="exact"/>
              <w:rPr>
                <w:rFonts w:ascii="Times New Roman" w:cs="Times New Roman" w:eastAsia="Times New Roman" w:hAnsi="Times New Roman"/>
                <w:sz w:val="17"/>
                <w:szCs w:val="17"/>
                <w:color w:val="0000FF"/>
                <w:w w:val="95"/>
              </w:rPr>
            </w:pPr>
            <w:hyperlink r:id="rId96">
              <w:r>
                <w:rPr>
                  <w:rFonts w:ascii="Times New Roman" w:cs="Times New Roman" w:eastAsia="Times New Roman" w:hAnsi="Times New Roman"/>
                  <w:sz w:val="17"/>
                  <w:szCs w:val="17"/>
                  <w:color w:val="0000FF"/>
                  <w:w w:val="95"/>
                </w:rPr>
                <w:t>2022)</w:t>
              </w:r>
            </w:hyperlink>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51"/>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10.29</w:t>
            </w:r>
          </w:p>
        </w:tc>
        <w:tc>
          <w:tcPr>
            <w:tcW w:w="910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Fourth Amendment to the Employment Agreement, dated as of November 8, 2023, by and between the Company and Daniel Siegel</w:t>
              </w:r>
            </w:hyperlink>
          </w:p>
        </w:tc>
        <w:tc>
          <w:tcPr>
            <w:tcW w:w="1080" w:type="dxa"/>
            <w:vAlign w:val="bottom"/>
            <w:gridSpan w:val="27"/>
          </w:tcPr>
          <w:p>
            <w:pPr>
              <w:spacing w:after="0"/>
              <w:rPr>
                <w:sz w:val="21"/>
                <w:szCs w:val="21"/>
                <w:color w:val="auto"/>
              </w:rPr>
            </w:pPr>
          </w:p>
        </w:tc>
      </w:tr>
      <w:tr>
        <w:trPr>
          <w:trHeight w:val="148"/>
        </w:trPr>
        <w:tc>
          <w:tcPr>
            <w:tcW w:w="1060" w:type="dxa"/>
            <w:vAlign w:val="bottom"/>
          </w:tcPr>
          <w:p>
            <w:pPr>
              <w:spacing w:after="0"/>
              <w:rPr>
                <w:sz w:val="12"/>
                <w:szCs w:val="12"/>
                <w:color w:val="auto"/>
              </w:rPr>
            </w:pPr>
          </w:p>
        </w:tc>
        <w:tc>
          <w:tcPr>
            <w:tcW w:w="9380" w:type="dxa"/>
            <w:vAlign w:val="bottom"/>
            <w:tcBorders>
              <w:bottom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(incorporated by reference to Exhibit 10.2 to the Company's Quarterly Report on Form 10-Q for the quarter ended September 30, 2023)</w:t>
              </w:r>
            </w:hyperlink>
          </w:p>
        </w:tc>
        <w:tc>
          <w:tcPr>
            <w:tcW w:w="800" w:type="dxa"/>
            <w:vAlign w:val="bottom"/>
            <w:gridSpan w:val="23"/>
          </w:tcPr>
          <w:p>
            <w:pPr>
              <w:spacing w:after="0"/>
              <w:rPr>
                <w:sz w:val="12"/>
                <w:szCs w:val="12"/>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10.30</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 of Amended and Restated Director’s and Officer’s Indemnification Agreement (incorporated by reference to Exhibit 10.1 to the</w:t>
              </w:r>
            </w:hyperlink>
          </w:p>
        </w:tc>
      </w:tr>
      <w:tr>
        <w:trPr>
          <w:trHeight w:val="148"/>
        </w:trPr>
        <w:tc>
          <w:tcPr>
            <w:tcW w:w="106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Company’s Current Report on Form 8-K filed January 28, 2016)</w:t>
              </w:r>
            </w:hyperlink>
          </w:p>
        </w:tc>
        <w:tc>
          <w:tcPr>
            <w:tcW w:w="47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8"/>
          </w:tcPr>
          <w:p>
            <w:pPr>
              <w:spacing w:after="0"/>
              <w:rPr>
                <w:sz w:val="12"/>
                <w:szCs w:val="12"/>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10.31</w:t>
            </w:r>
          </w:p>
        </w:tc>
        <w:tc>
          <w:tcPr>
            <w:tcW w:w="960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Receivables Purchase Agreement, dated as of September 30, 2016 by and among the Company, as a Seller and as a Seller Agent and initial</w:t>
              </w:r>
            </w:hyperlink>
          </w:p>
        </w:tc>
        <w:tc>
          <w:tcPr>
            <w:tcW w:w="580" w:type="dxa"/>
            <w:vAlign w:val="bottom"/>
            <w:gridSpan w:val="18"/>
          </w:tcPr>
          <w:p>
            <w:pPr>
              <w:spacing w:after="0"/>
              <w:rPr>
                <w:sz w:val="22"/>
                <w:szCs w:val="22"/>
                <w:color w:val="auto"/>
              </w:rPr>
            </w:pPr>
          </w:p>
        </w:tc>
      </w:tr>
      <w:tr>
        <w:trPr>
          <w:trHeight w:val="161"/>
        </w:trPr>
        <w:tc>
          <w:tcPr>
            <w:tcW w:w="1060" w:type="dxa"/>
            <w:vAlign w:val="bottom"/>
          </w:tcPr>
          <w:p>
            <w:pPr>
              <w:spacing w:after="0"/>
              <w:rPr>
                <w:sz w:val="13"/>
                <w:szCs w:val="13"/>
                <w:color w:val="auto"/>
              </w:rPr>
            </w:pPr>
          </w:p>
        </w:tc>
        <w:tc>
          <w:tcPr>
            <w:tcW w:w="10180" w:type="dxa"/>
            <w:vAlign w:val="bottom"/>
            <w:gridSpan w:val="42"/>
          </w:tcPr>
          <w:p>
            <w:pPr>
              <w:spacing w:after="0" w:line="16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Servicer, for itself and each of its subsidiaries thereto as a Seller, and HSBC Bank USA, National Association, as Purchaser (incorporated by</w:t>
              </w:r>
            </w:hyperlink>
          </w:p>
        </w:tc>
      </w:tr>
      <w:tr>
        <w:trPr>
          <w:trHeight w:val="174"/>
        </w:trPr>
        <w:tc>
          <w:tcPr>
            <w:tcW w:w="1060" w:type="dxa"/>
            <w:vAlign w:val="bottom"/>
          </w:tcPr>
          <w:p>
            <w:pPr>
              <w:spacing w:after="0"/>
              <w:rPr>
                <w:sz w:val="15"/>
                <w:szCs w:val="15"/>
                <w:color w:val="auto"/>
              </w:rPr>
            </w:pPr>
          </w:p>
        </w:tc>
        <w:tc>
          <w:tcPr>
            <w:tcW w:w="6580" w:type="dxa"/>
            <w:vAlign w:val="bottom"/>
            <w:tcBorders>
              <w:top w:val="single" w:sz="8" w:color="0000FF"/>
              <w:bottom w:val="single" w:sz="8" w:color="0000FF"/>
            </w:tcBorders>
            <w:gridSpan w:val="12"/>
          </w:tcPr>
          <w:p>
            <w:pPr>
              <w:spacing w:after="0" w:line="17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reference to Exhibit 10.1 to the Company’s Current Report on Form 8-K filed October 4, 2016)</w:t>
              </w:r>
            </w:hyperlink>
          </w:p>
        </w:tc>
        <w:tc>
          <w:tcPr>
            <w:tcW w:w="312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8"/>
          </w:tcPr>
          <w:p>
            <w:pPr>
              <w:spacing w:after="0"/>
              <w:rPr>
                <w:sz w:val="15"/>
                <w:szCs w:val="15"/>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10.32</w:t>
            </w:r>
          </w:p>
        </w:tc>
        <w:tc>
          <w:tcPr>
            <w:tcW w:w="956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Lease Agreement (Single Tenant Facility), dated as of February 14, 2017 between Baseline Opportunity LLC and Lifetime Brands Inc. for</w:t>
              </w:r>
            </w:hyperlink>
          </w:p>
        </w:tc>
        <w:tc>
          <w:tcPr>
            <w:tcW w:w="620" w:type="dxa"/>
            <w:vAlign w:val="bottom"/>
            <w:gridSpan w:val="20"/>
          </w:tcPr>
          <w:p>
            <w:pPr>
              <w:spacing w:after="0"/>
              <w:rPr>
                <w:sz w:val="22"/>
                <w:szCs w:val="22"/>
                <w:color w:val="auto"/>
              </w:rPr>
            </w:pPr>
          </w:p>
        </w:tc>
      </w:tr>
      <w:tr>
        <w:trPr>
          <w:trHeight w:val="161"/>
        </w:trPr>
        <w:tc>
          <w:tcPr>
            <w:tcW w:w="1060" w:type="dxa"/>
            <w:vAlign w:val="bottom"/>
          </w:tcPr>
          <w:p>
            <w:pPr>
              <w:spacing w:after="0"/>
              <w:rPr>
                <w:sz w:val="13"/>
                <w:szCs w:val="13"/>
                <w:color w:val="auto"/>
              </w:rPr>
            </w:pPr>
          </w:p>
        </w:tc>
        <w:tc>
          <w:tcPr>
            <w:tcW w:w="10180" w:type="dxa"/>
            <w:vAlign w:val="bottom"/>
            <w:gridSpan w:val="42"/>
          </w:tcPr>
          <w:p>
            <w:pPr>
              <w:spacing w:after="0" w:line="16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property located at 1221 North Alder Avenue, Rialto, California (incorporated by reference to Exhibit 10.1 to the Company’s Quarterly Report</w:t>
              </w:r>
            </w:hyperlink>
          </w:p>
        </w:tc>
      </w:tr>
      <w:tr>
        <w:trPr>
          <w:trHeight w:val="174"/>
        </w:trPr>
        <w:tc>
          <w:tcPr>
            <w:tcW w:w="1060" w:type="dxa"/>
            <w:vAlign w:val="bottom"/>
          </w:tcPr>
          <w:p>
            <w:pPr>
              <w:spacing w:after="0"/>
              <w:rPr>
                <w:sz w:val="15"/>
                <w:szCs w:val="15"/>
                <w:color w:val="auto"/>
              </w:rPr>
            </w:pPr>
          </w:p>
        </w:tc>
        <w:tc>
          <w:tcPr>
            <w:tcW w:w="3680" w:type="dxa"/>
            <w:vAlign w:val="bottom"/>
            <w:tcBorders>
              <w:top w:val="single" w:sz="8" w:color="0000FF"/>
              <w:bottom w:val="single" w:sz="8" w:color="0000FF"/>
            </w:tcBorders>
            <w:gridSpan w:val="6"/>
          </w:tcPr>
          <w:p>
            <w:pPr>
              <w:spacing w:after="0" w:line="17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on Form 10-Q for the quarter ended March 31, 2017)</w:t>
              </w:r>
            </w:hyperlink>
          </w:p>
        </w:tc>
        <w:tc>
          <w:tcPr>
            <w:tcW w:w="6180" w:type="dxa"/>
            <w:vAlign w:val="bottom"/>
            <w:tcBorders>
              <w:top w:val="single" w:sz="8" w:color="0000FF"/>
            </w:tcBorders>
            <w:gridSpan w:val="28"/>
          </w:tcPr>
          <w:p>
            <w:pPr>
              <w:spacing w:after="0"/>
              <w:rPr>
                <w:sz w:val="15"/>
                <w:szCs w:val="15"/>
                <w:color w:val="auto"/>
              </w:rPr>
            </w:pPr>
          </w:p>
        </w:tc>
        <w:tc>
          <w:tcPr>
            <w:tcW w:w="320" w:type="dxa"/>
            <w:vAlign w:val="bottom"/>
            <w:gridSpan w:val="8"/>
          </w:tcPr>
          <w:p>
            <w:pPr>
              <w:spacing w:after="0"/>
              <w:rPr>
                <w:sz w:val="15"/>
                <w:szCs w:val="15"/>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10.33</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Voting Agreement, dated as of December 22, 2017, by and among Taylor Parent, LLC, and Jeffrey Siegel, Ronald Shiftan, Daniel Siegel and</w:t>
              </w:r>
            </w:hyperlink>
          </w:p>
        </w:tc>
      </w:tr>
      <w:tr>
        <w:trPr>
          <w:trHeight w:val="161"/>
        </w:trPr>
        <w:tc>
          <w:tcPr>
            <w:tcW w:w="1060" w:type="dxa"/>
            <w:vAlign w:val="bottom"/>
          </w:tcPr>
          <w:p>
            <w:pPr>
              <w:spacing w:after="0"/>
              <w:rPr>
                <w:sz w:val="13"/>
                <w:szCs w:val="13"/>
                <w:color w:val="auto"/>
              </w:rPr>
            </w:pPr>
          </w:p>
        </w:tc>
        <w:tc>
          <w:tcPr>
            <w:tcW w:w="9720" w:type="dxa"/>
            <w:vAlign w:val="bottom"/>
            <w:tcBorders>
              <w:top w:val="single" w:sz="8" w:color="0000FF"/>
            </w:tcBorders>
            <w:gridSpan w:val="29"/>
          </w:tcPr>
          <w:p>
            <w:pPr>
              <w:spacing w:after="0" w:line="16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Clifford Siegel (incorporated by reference to Exhibit 10.1 to the Company’s Current Report on Form 8-K filed December 29, 2017)</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9"/>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10.34</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Employment Agreement, dated as of December 22, 2017, between the Company and Robert B. Kay (incorporated by reference to Exhibit 10.2</w:t>
              </w:r>
            </w:hyperlink>
          </w:p>
        </w:tc>
      </w:tr>
      <w:tr>
        <w:trPr>
          <w:trHeight w:val="161"/>
        </w:trPr>
        <w:tc>
          <w:tcPr>
            <w:tcW w:w="10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8"/>
          </w:tcPr>
          <w:p>
            <w:pPr>
              <w:spacing w:after="0" w:line="161"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to the Company’s Current Report on Form 8-K filed December 29, 2017)</w:t>
              </w:r>
            </w:hyperlink>
          </w:p>
        </w:tc>
        <w:tc>
          <w:tcPr>
            <w:tcW w:w="4780" w:type="dxa"/>
            <w:vAlign w:val="bottom"/>
            <w:tcBorders>
              <w:top w:val="single" w:sz="8" w:color="0000FF"/>
            </w:tcBorders>
            <w:gridSpan w:val="25"/>
          </w:tcPr>
          <w:p>
            <w:pPr>
              <w:spacing w:after="0"/>
              <w:rPr>
                <w:sz w:val="13"/>
                <w:szCs w:val="13"/>
                <w:color w:val="auto"/>
              </w:rPr>
            </w:pPr>
          </w:p>
        </w:tc>
        <w:tc>
          <w:tcPr>
            <w:tcW w:w="340" w:type="dxa"/>
            <w:vAlign w:val="bottom"/>
            <w:gridSpan w:val="9"/>
          </w:tcPr>
          <w:p>
            <w:pPr>
              <w:spacing w:after="0"/>
              <w:rPr>
                <w:sz w:val="13"/>
                <w:szCs w:val="13"/>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10.35</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Amendment to the Employment Agreement, dated as of October 11, 2019, between the Company and Robert B. Kay (incorporated by</w:t>
              </w:r>
            </w:hyperlink>
          </w:p>
        </w:tc>
      </w:tr>
      <w:tr>
        <w:trPr>
          <w:trHeight w:val="161"/>
        </w:trPr>
        <w:tc>
          <w:tcPr>
            <w:tcW w:w="106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reference to Exhibit 10.2 to the Company’s Current Report on Form 8-K filed October 15, 2019)</w:t>
              </w:r>
            </w:hyperlink>
          </w:p>
        </w:tc>
        <w:tc>
          <w:tcPr>
            <w:tcW w:w="258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0"/>
          </w:tcPr>
          <w:p>
            <w:pPr>
              <w:spacing w:after="0"/>
              <w:rPr>
                <w:sz w:val="13"/>
                <w:szCs w:val="13"/>
                <w:color w:val="auto"/>
              </w:rPr>
            </w:pPr>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10.36</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Letter Agreement Amending and Supplementing Employment Agreement between Lifetime Brands, Inc. and Robert B. Kay, effective April</w:t>
              </w:r>
            </w:hyperlink>
          </w:p>
        </w:tc>
      </w:tr>
      <w:tr>
        <w:trPr>
          <w:trHeight w:val="148"/>
        </w:trPr>
        <w:tc>
          <w:tcPr>
            <w:tcW w:w="1060" w:type="dxa"/>
            <w:vAlign w:val="bottom"/>
          </w:tcPr>
          <w:p>
            <w:pPr>
              <w:spacing w:after="0"/>
              <w:rPr>
                <w:sz w:val="12"/>
                <w:szCs w:val="12"/>
                <w:color w:val="auto"/>
              </w:rPr>
            </w:pPr>
          </w:p>
        </w:tc>
        <w:tc>
          <w:tcPr>
            <w:tcW w:w="968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 xml:space="preserve">13, 2020 </w:t>
              </w:r>
            </w:hyperlink>
            <w:hyperlink r:id="rId72">
              <w:r>
                <w:rPr>
                  <w:rFonts w:ascii="Times New Roman" w:cs="Times New Roman" w:eastAsia="Times New Roman" w:hAnsi="Times New Roman"/>
                  <w:sz w:val="17"/>
                  <w:szCs w:val="17"/>
                  <w:color w:val="0000FF"/>
                </w:rPr>
                <w:t>(incorporated by reference to Exhibit 10.1 to the Company's Quarterly Report on Form 10-Q for the quarter ended March 31, 2020)</w:t>
              </w:r>
            </w:hyperlink>
          </w:p>
        </w:tc>
        <w:tc>
          <w:tcPr>
            <w:tcW w:w="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10"/>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460" w:type="dxa"/>
            <w:vAlign w:val="bottom"/>
            <w:gridSpan w:val="6"/>
            <w:shd w:val="clear" w:color="auto" w:fill="0000FF"/>
          </w:tcPr>
          <w:p>
            <w:pPr>
              <w:spacing w:after="0" w:line="20" w:lineRule="exact"/>
              <w:rPr>
                <w:sz w:val="1"/>
                <w:szCs w:val="1"/>
                <w:color w:val="auto"/>
              </w:rPr>
            </w:pPr>
          </w:p>
        </w:tc>
        <w:tc>
          <w:tcPr>
            <w:tcW w:w="4200" w:type="dxa"/>
            <w:vAlign w:val="bottom"/>
            <w:gridSpan w:val="9"/>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10.37</w:t>
            </w:r>
          </w:p>
        </w:tc>
        <w:tc>
          <w:tcPr>
            <w:tcW w:w="934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Second Amendment, dated February 1, 2021, to the Employment Agreement, dated as of December 22, 2017, by and between Lifetime</w:t>
              </w:r>
            </w:hyperlink>
          </w:p>
        </w:tc>
        <w:tc>
          <w:tcPr>
            <w:tcW w:w="840" w:type="dxa"/>
            <w:vAlign w:val="bottom"/>
            <w:gridSpan w:val="24"/>
          </w:tcPr>
          <w:p>
            <w:pPr>
              <w:spacing w:after="0"/>
              <w:rPr>
                <w:sz w:val="22"/>
                <w:szCs w:val="22"/>
                <w:color w:val="auto"/>
              </w:rPr>
            </w:pPr>
          </w:p>
        </w:tc>
      </w:tr>
      <w:tr>
        <w:trPr>
          <w:trHeight w:val="161"/>
        </w:trPr>
        <w:tc>
          <w:tcPr>
            <w:tcW w:w="1060" w:type="dxa"/>
            <w:vAlign w:val="bottom"/>
          </w:tcPr>
          <w:p>
            <w:pPr>
              <w:spacing w:after="0"/>
              <w:rPr>
                <w:sz w:val="13"/>
                <w:szCs w:val="13"/>
                <w:color w:val="auto"/>
              </w:rPr>
            </w:pPr>
          </w:p>
        </w:tc>
        <w:tc>
          <w:tcPr>
            <w:tcW w:w="10180" w:type="dxa"/>
            <w:vAlign w:val="bottom"/>
            <w:gridSpan w:val="42"/>
          </w:tcPr>
          <w:p>
            <w:pPr>
              <w:spacing w:after="0" w:line="161"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Brands, Inc. and Robert Kay (incorporated by reference to Exhibit 10.1 to the Company's Current Report on Form 8-K filed February 1, 2021)</w:t>
              </w:r>
            </w:hyperlink>
          </w:p>
        </w:tc>
      </w:tr>
      <w:tr>
        <w:trPr>
          <w:trHeight w:val="277"/>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10.38</w:t>
            </w:r>
          </w:p>
        </w:tc>
        <w:tc>
          <w:tcPr>
            <w:tcW w:w="9620" w:type="dxa"/>
            <w:vAlign w:val="bottom"/>
            <w:tcBorders>
              <w:top w:val="single" w:sz="8" w:color="0000FF"/>
              <w:bottom w:val="single" w:sz="8" w:color="0000FF"/>
            </w:tcBorders>
            <w:gridSpan w:val="25"/>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Third Amendment, dated March 8, 2023, to the Employment Agreement, dated as of December 22, 2017, by and between Lifetime Brands,</w:t>
              </w:r>
            </w:hyperlink>
          </w:p>
        </w:tc>
        <w:tc>
          <w:tcPr>
            <w:tcW w:w="200" w:type="dxa"/>
            <w:vAlign w:val="bottom"/>
            <w:tcBorders>
              <w:top w:val="single" w:sz="8" w:color="0000FF"/>
            </w:tcBorders>
            <w:gridSpan w:val="7"/>
          </w:tcPr>
          <w:p>
            <w:pPr>
              <w:spacing w:after="0"/>
              <w:rPr>
                <w:sz w:val="24"/>
                <w:szCs w:val="24"/>
                <w:color w:val="auto"/>
              </w:rPr>
            </w:pPr>
          </w:p>
        </w:tc>
        <w:tc>
          <w:tcPr>
            <w:tcW w:w="360" w:type="dxa"/>
            <w:vAlign w:val="bottom"/>
            <w:gridSpan w:val="10"/>
          </w:tcPr>
          <w:p>
            <w:pPr>
              <w:spacing w:after="0"/>
              <w:rPr>
                <w:sz w:val="24"/>
                <w:szCs w:val="24"/>
                <w:color w:val="auto"/>
              </w:rPr>
            </w:pPr>
          </w:p>
        </w:tc>
      </w:tr>
      <w:tr>
        <w:trPr>
          <w:trHeight w:val="161"/>
        </w:trPr>
        <w:tc>
          <w:tcPr>
            <w:tcW w:w="1060" w:type="dxa"/>
            <w:vAlign w:val="bottom"/>
          </w:tcPr>
          <w:p>
            <w:pPr>
              <w:spacing w:after="0"/>
              <w:rPr>
                <w:sz w:val="13"/>
                <w:szCs w:val="13"/>
                <w:color w:val="auto"/>
              </w:rPr>
            </w:pPr>
          </w:p>
        </w:tc>
        <w:tc>
          <w:tcPr>
            <w:tcW w:w="10180" w:type="dxa"/>
            <w:vAlign w:val="bottom"/>
            <w:gridSpan w:val="42"/>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Inc. and Robert Kay (incorporated by reference to Exhibit 10.35 to the Company's Annual Report on Form 10-K for the year ended December</w:t>
              </w:r>
            </w:hyperlink>
          </w:p>
        </w:tc>
      </w:tr>
      <w:tr>
        <w:trPr>
          <w:trHeight w:val="174"/>
        </w:trPr>
        <w:tc>
          <w:tcPr>
            <w:tcW w:w="1060" w:type="dxa"/>
            <w:vAlign w:val="bottom"/>
          </w:tcPr>
          <w:p>
            <w:pPr>
              <w:spacing w:after="0"/>
              <w:rPr>
                <w:sz w:val="15"/>
                <w:szCs w:val="15"/>
                <w:color w:val="auto"/>
              </w:rPr>
            </w:pPr>
          </w:p>
        </w:tc>
        <w:tc>
          <w:tcPr>
            <w:tcW w:w="680" w:type="dxa"/>
            <w:vAlign w:val="bottom"/>
            <w:tcBorders>
              <w:top w:val="single" w:sz="8" w:color="0000FF"/>
              <w:bottom w:val="single" w:sz="8" w:color="0000FF"/>
            </w:tcBorders>
            <w:gridSpan w:val="3"/>
          </w:tcPr>
          <w:p>
            <w:pPr>
              <w:spacing w:after="0" w:line="174" w:lineRule="exact"/>
              <w:rPr>
                <w:rFonts w:ascii="Times New Roman" w:cs="Times New Roman" w:eastAsia="Times New Roman" w:hAnsi="Times New Roman"/>
                <w:sz w:val="17"/>
                <w:szCs w:val="17"/>
                <w:color w:val="0000FF"/>
                <w:w w:val="98"/>
              </w:rPr>
            </w:pPr>
            <w:hyperlink r:id="rId106">
              <w:r>
                <w:rPr>
                  <w:rFonts w:ascii="Times New Roman" w:cs="Times New Roman" w:eastAsia="Times New Roman" w:hAnsi="Times New Roman"/>
                  <w:sz w:val="17"/>
                  <w:szCs w:val="17"/>
                  <w:color w:val="0000FF"/>
                  <w:w w:val="98"/>
                </w:rPr>
                <w:t>31, 2022)</w:t>
              </w:r>
            </w:hyperlink>
          </w:p>
        </w:tc>
        <w:tc>
          <w:tcPr>
            <w:tcW w:w="28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64"/>
        </w:trPr>
        <w:tc>
          <w:tcPr>
            <w:tcW w:w="10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10.39</w:t>
            </w:r>
          </w:p>
        </w:tc>
        <w:tc>
          <w:tcPr>
            <w:tcW w:w="10180" w:type="dxa"/>
            <w:vAlign w:val="bottom"/>
            <w:gridSpan w:val="42"/>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Stockholders Agreement, dated as of March 2, 2018, between the Company and Taylor Parent, LLC (incorporated by reference to Exhibit</w:t>
              </w:r>
            </w:hyperlink>
          </w:p>
        </w:tc>
      </w:tr>
      <w:tr>
        <w:trPr>
          <w:trHeight w:val="161"/>
        </w:trPr>
        <w:tc>
          <w:tcPr>
            <w:tcW w:w="1060" w:type="dxa"/>
            <w:vAlign w:val="bottom"/>
          </w:tcPr>
          <w:p>
            <w:pPr>
              <w:spacing w:after="0"/>
              <w:rPr>
                <w:sz w:val="13"/>
                <w:szCs w:val="13"/>
                <w:color w:val="auto"/>
              </w:rPr>
            </w:pPr>
          </w:p>
        </w:tc>
        <w:tc>
          <w:tcPr>
            <w:tcW w:w="950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01</w:t>
              </w:r>
              <w:r>
                <w:rPr>
                  <w:rFonts w:ascii="Times New Roman" w:cs="Times New Roman" w:eastAsia="Times New Roman" w:hAnsi="Times New Roman"/>
                  <w:sz w:val="17"/>
                  <w:szCs w:val="17"/>
                  <w:color w:val="0000FF"/>
                </w:rPr>
                <w:t xml:space="preserve"> to the Company’s Current Report on Form 8-K filed March 6, 2018)</w:t>
              </w:r>
            </w:hyperlink>
          </w:p>
        </w:tc>
        <w:tc>
          <w:tcPr>
            <w:tcW w:w="680" w:type="dxa"/>
            <w:vAlign w:val="bottom"/>
            <w:gridSpan w:val="21"/>
          </w:tcPr>
          <w:p>
            <w:pPr>
              <w:spacing w:after="0"/>
              <w:rPr>
                <w:sz w:val="13"/>
                <w:szCs w:val="13"/>
                <w:color w:val="auto"/>
              </w:rPr>
            </w:pPr>
          </w:p>
        </w:tc>
      </w:tr>
      <w:tr>
        <w:trPr>
          <w:trHeight w:val="807"/>
        </w:trPr>
        <w:tc>
          <w:tcPr>
            <w:tcW w:w="1060" w:type="dxa"/>
            <w:vAlign w:val="bottom"/>
          </w:tcPr>
          <w:p>
            <w:pPr>
              <w:spacing w:after="0"/>
              <w:rPr>
                <w:sz w:val="24"/>
                <w:szCs w:val="24"/>
                <w:color w:val="auto"/>
              </w:rPr>
            </w:pPr>
          </w:p>
        </w:tc>
        <w:tc>
          <w:tcPr>
            <w:tcW w:w="5060" w:type="dxa"/>
            <w:vAlign w:val="bottom"/>
            <w:tcBorders>
              <w:top w:val="single" w:sz="8" w:color="0000FF"/>
            </w:tcBorders>
            <w:gridSpan w:val="8"/>
          </w:tcPr>
          <w:p>
            <w:pPr>
              <w:ind w:left="4480"/>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9"/>
        </w:trPr>
        <w:tc>
          <w:tcPr>
            <w:tcW w:w="1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10.40</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Amendment to Stockholders Agreement, dated as of October 11, 2019, between the Company and Taylor Parent, LLC (incorporated by</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9"/>
          </w:tcPr>
          <w:p>
            <w:pPr>
              <w:spacing w:after="0" w:line="161"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reference to Exhibit 10.1 to the Company’s Current Report on Form 8-K filed October 15, 2019)</w:t>
              </w:r>
            </w:hyperlink>
          </w:p>
        </w:tc>
        <w:tc>
          <w:tcPr>
            <w:tcW w:w="268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10.41</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Second Amendment, dated October 19, 2023, to that certain Stockholders Agreement, dated as of March 2, 2018, by and between Lifetime</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Brands, Inc. and Taylor Parent, LLC (incorporated by reference to Exhibit 10.1 to the Company’s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320" w:type="dxa"/>
            <w:vAlign w:val="bottom"/>
            <w:tcBorders>
              <w:top w:val="single" w:sz="8" w:color="0000FF"/>
            </w:tcBorders>
            <w:gridSpan w:val="16"/>
          </w:tcPr>
          <w:p>
            <w:pPr>
              <w:spacing w:after="0" w:line="17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October 20, 2023)</w:t>
              </w:r>
            </w:hyperlink>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10.42</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Letter Agreement and Joinder, dated as of November 9, 2018, by and among the Company, Taylor Parent, LLC and Centre Capital Investors V,</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LP. (incorporated by reference to Exhibit 10.01 to the Company’s Current Report on Form 8-K filed November 15, 2018)</w:t>
              </w:r>
            </w:hyperlink>
          </w:p>
        </w:tc>
        <w:tc>
          <w:tcPr>
            <w:tcW w:w="15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10.43</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Credit Agreement, dated as of March 2, 2018, by and among the Company, the other Borrowers from time to time party thereto, the other Loan</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960" w:type="dxa"/>
            <w:vAlign w:val="bottom"/>
            <w:tcBorders>
              <w:top w:val="single" w:sz="8" w:color="0000FF"/>
            </w:tcBorders>
            <w:gridSpan w:val="36"/>
          </w:tcPr>
          <w:p>
            <w:pPr>
              <w:spacing w:after="0" w:line="161"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Parties from time to time party thereto, the Lenders from time to time party thereto, and JPMorgan Chase Bank, N.A., as Administrative Agent</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9880" w:type="dxa"/>
            <w:vAlign w:val="bottom"/>
            <w:tcBorders>
              <w:top w:val="single" w:sz="8" w:color="0000FF"/>
            </w:tcBorders>
            <w:gridSpan w:val="32"/>
          </w:tcPr>
          <w:p>
            <w:pPr>
              <w:spacing w:after="0" w:line="17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(incorporated by reference to Exhibit 10.02 to the Company’s Current Report on Form 8-K filed March 6, 2018)</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10.44</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Amendment No. 1, dated as of December 28, 2021, by and among the Company, the other Loan Parties party thereto (as defined therein), and</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78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JPMorgan Chase Bank, N.A., as Administrative Agent (incorporated by reference to Exhibit 10.01 to the Company's Current Report on Form</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8-K filed December 29,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10.45</w:t>
            </w:r>
          </w:p>
        </w:tc>
        <w:tc>
          <w:tcPr>
            <w:tcW w:w="958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Amendment No. 2, dated as of August 26, 2022, by and among the Company, the other Loan Parties party thereto (as defined therein), and</w:t>
              </w:r>
            </w:hyperlink>
          </w:p>
        </w:tc>
        <w:tc>
          <w:tcPr>
            <w:tcW w:w="6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8"/>
          </w:tcPr>
          <w:p>
            <w:pPr>
              <w:spacing w:after="0" w:line="148"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JPMorgan Chase Bank, N.A., as Administrative Agent (incorporated by reference to Exhibit 10.01 to the Company's Current Report on Form</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8-K filed August 29, 2022)</w:t>
              </w:r>
            </w:hyperlink>
          </w:p>
        </w:tc>
        <w:tc>
          <w:tcPr>
            <w:tcW w:w="78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10.46</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Loan Agreement, dated as of March 2, 2018, by and among the Company, the other Loan Parties from time to time party thereto, the Lenders</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74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from time to time party thereto, JPMorgan Chase Bank, N.A., as Administrative Agent and Golub Capital LLC, as Syndication Agent.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260" w:type="dxa"/>
            <w:vAlign w:val="bottom"/>
            <w:tcBorders>
              <w:top w:val="single" w:sz="8" w:color="0000FF"/>
            </w:tcBorders>
            <w:gridSpan w:val="15"/>
          </w:tcPr>
          <w:p>
            <w:pPr>
              <w:spacing w:after="0" w:line="161"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(incorporated by reference to Exhibit 10.03 to the Company’s Current Report on Form 8-K filed March 6, 2018)</w:t>
              </w:r>
            </w:hyperlink>
          </w:p>
        </w:tc>
        <w:tc>
          <w:tcPr>
            <w:tcW w:w="1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10.47</w:t>
            </w:r>
          </w:p>
        </w:tc>
        <w:tc>
          <w:tcPr>
            <w:tcW w:w="960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Amendment No. 1, dated as of December 29, 2022, by and among the Company, the other Loan Parties from time to time party thereto, the</w:t>
              </w:r>
            </w:hyperlink>
          </w:p>
        </w:tc>
        <w:tc>
          <w:tcPr>
            <w:tcW w:w="58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8"/>
          </w:tcPr>
          <w:p>
            <w:pPr>
              <w:spacing w:after="0" w:line="148"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Lenders from time to time party thereto, JPMorgan Chase Bank, N.A., as Administrative Agent and Golub Capital LLC, as Syndication Agent.</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61"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(incorporated by reference to Exhibit 10.01 to the Company’s Current Report on Form 8-K filed January 3, 2023)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10.48</w:t>
            </w:r>
          </w:p>
        </w:tc>
        <w:tc>
          <w:tcPr>
            <w:tcW w:w="9800" w:type="dxa"/>
            <w:vAlign w:val="bottom"/>
            <w:tcBorders>
              <w:bottom w:val="single" w:sz="8" w:color="0000FF"/>
            </w:tcBorders>
            <w:gridSpan w:val="28"/>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Amendment No. 2, dated as of November 14, 2023, by and among the Company, the other Loan Parties party thereto (as defined therein), and</w:t>
              </w:r>
            </w:hyperlink>
          </w:p>
        </w:tc>
        <w:tc>
          <w:tcPr>
            <w:tcW w:w="3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8"/>
          </w:tcPr>
          <w:p>
            <w:pPr>
              <w:spacing w:after="0" w:line="148"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JPMorgan Chase Bank, N.A., as Administrative Agent (incorporated by reference to Exhibit 10.1 to the Company’s Current Report on Form 8-</w:t>
              </w:r>
            </w:hyperlink>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940" w:type="dxa"/>
            <w:vAlign w:val="bottom"/>
            <w:tcBorders>
              <w:top w:val="single" w:sz="8" w:color="0000FF"/>
            </w:tcBorders>
            <w:gridSpan w:val="35"/>
          </w:tcPr>
          <w:p>
            <w:pPr>
              <w:spacing w:after="0" w:line="161"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K filed November 15, 2023)</w:t>
              </w:r>
            </w:hyperlink>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10.49</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Amendment No.1 to the Receivables Purchase Agreement, dated as of October 9, 2020 by and among the Company, as a Seller and as a Seller</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840" w:type="dxa"/>
            <w:vAlign w:val="bottom"/>
            <w:tcBorders>
              <w:top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Agent and initial Servicer, for itself and each of its subsidiaries thereto as a Seller, and HSBC Bank USA, National Association, as Purchaser</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61"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(incorporated by reference to Exhibit 10.43 to the Company's Annual Report on Form 10-K for the year ended December 31, 2020)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10.50</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Amendment No.2 to the Receivables Purchase Agreement, dated as of January 6, 2023 by and among the Company, as a Seller and as a Seller</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80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Agent and initial Servicer, for itself and each of its subsidiaries thereto as a Seller, and HSBC Bank USA, National Association, as Purchaser</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61"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(incorporated by reference to Exhibit 10.45 to the Company's Annual Report on Form 10-K for the year ended December 31, 2022)</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10.51</w:t>
            </w:r>
          </w:p>
        </w:tc>
        <w:tc>
          <w:tcPr>
            <w:tcW w:w="15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vMerge w:val="continue"/>
          </w:tcPr>
          <w:p>
            <w:pPr>
              <w:spacing w:after="0"/>
              <w:rPr>
                <w:sz w:val="22"/>
                <w:szCs w:val="22"/>
                <w:color w:val="auto"/>
              </w:rPr>
            </w:pPr>
          </w:p>
        </w:tc>
        <w:tc>
          <w:tcPr>
            <w:tcW w:w="962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Amendment No.3 to the Receivables Purchase Agreement, dated as of December 21, 2023 by and among the Company, as a Seller and as a</w:t>
              </w:r>
            </w:hyperlink>
          </w:p>
        </w:tc>
        <w:tc>
          <w:tcPr>
            <w:tcW w:w="5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10180" w:type="dxa"/>
            <w:vAlign w:val="bottom"/>
            <w:gridSpan w:val="38"/>
          </w:tcPr>
          <w:p>
            <w:pPr>
              <w:spacing w:after="0" w:line="187"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Seller Agent and initial Servicer, for itself and each of its subsidiaries thereto as a Seller, and HSBC Bank USA, National Association, as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60" w:type="dxa"/>
            <w:vAlign w:val="bottom"/>
          </w:tcPr>
          <w:p>
            <w:pPr>
              <w:spacing w:after="0"/>
              <w:rPr>
                <w:sz w:val="16"/>
                <w:szCs w:val="16"/>
                <w:color w:val="auto"/>
              </w:rPr>
            </w:pPr>
          </w:p>
        </w:tc>
        <w:tc>
          <w:tcPr>
            <w:tcW w:w="9820" w:type="dxa"/>
            <w:vAlign w:val="bottom"/>
            <w:tcBorders>
              <w:bottom w:val="single" w:sz="8" w:color="0000FF"/>
            </w:tcBorders>
            <w:gridSpan w:val="29"/>
          </w:tcPr>
          <w:p>
            <w:pPr>
              <w:spacing w:after="0" w:line="187"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 xml:space="preserve">Purchaser (incorporated by reference to Exhibit 10.50 to the Company’s Annual Report on Form 10-K for the year ended December 31, </w:t>
              </w:r>
            </w:hyperlink>
            <w:r>
              <w:rPr>
                <w:rFonts w:ascii="Times New Roman" w:cs="Times New Roman" w:eastAsia="Times New Roman" w:hAnsi="Times New Roman"/>
                <w:sz w:val="17"/>
                <w:szCs w:val="17"/>
                <w:color w:val="0000FF"/>
              </w:rPr>
              <w:t>2023)</w:t>
            </w:r>
          </w:p>
        </w:tc>
        <w:tc>
          <w:tcPr>
            <w:tcW w:w="3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10.52</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Amendment No.4 to the Receivables Purchase Agreement, dated as of February 23, 2024 by and among the Company, as a Seller and as a</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5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Seller Agent and initial Servicer, for itself and each of its subsidiaries thereto as a Seller, and HSBC Bank USA, National Association, as</w:t>
              </w:r>
            </w:hyperlink>
          </w:p>
        </w:tc>
        <w:tc>
          <w:tcPr>
            <w:tcW w:w="40" w:type="dxa"/>
            <w:vAlign w:val="bottom"/>
          </w:tcPr>
          <w:p>
            <w:pPr>
              <w:spacing w:after="0"/>
              <w:rPr>
                <w:sz w:val="12"/>
                <w:szCs w:val="12"/>
                <w:color w:val="auto"/>
              </w:rPr>
            </w:pPr>
          </w:p>
        </w:tc>
        <w:tc>
          <w:tcPr>
            <w:tcW w:w="300" w:type="dxa"/>
            <w:vAlign w:val="bottom"/>
            <w:gridSpan w:val="11"/>
          </w:tcPr>
          <w:p>
            <w:pPr>
              <w:spacing w:after="0"/>
              <w:rPr>
                <w:sz w:val="12"/>
                <w:szCs w:val="12"/>
                <w:color w:val="auto"/>
              </w:rPr>
            </w:pPr>
          </w:p>
        </w:tc>
        <w:tc>
          <w:tcPr>
            <w:tcW w:w="120" w:type="dxa"/>
            <w:vAlign w:val="bottom"/>
            <w:gridSpan w:val="6"/>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8"/>
          </w:tcPr>
          <w:p>
            <w:pPr>
              <w:spacing w:after="0" w:line="161"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Purchaser (incorporated by reference to Exhibit 10.51 to the Company’s Annual Report on Form 10-K for the year ended December 31,</w:t>
              </w:r>
            </w:hyperlink>
          </w:p>
        </w:tc>
        <w:tc>
          <w:tcPr>
            <w:tcW w:w="380" w:type="dxa"/>
            <w:vAlign w:val="bottom"/>
            <w:tcBorders>
              <w:bottom w:val="single" w:sz="8" w:color="0000FF"/>
            </w:tcBorders>
            <w:gridSpan w:val="11"/>
          </w:tcPr>
          <w:p>
            <w:pPr>
              <w:jc w:val="right"/>
              <w:spacing w:after="0" w:line="161" w:lineRule="exact"/>
              <w:rPr>
                <w:rFonts w:ascii="Times New Roman" w:cs="Times New Roman" w:eastAsia="Times New Roman" w:hAnsi="Times New Roman"/>
                <w:sz w:val="17"/>
                <w:szCs w:val="17"/>
                <w:color w:val="0000FF"/>
                <w:w w:val="90"/>
              </w:rPr>
            </w:pPr>
            <w:hyperlink r:id="rId122">
              <w:r>
                <w:rPr>
                  <w:rFonts w:ascii="Times New Roman" w:cs="Times New Roman" w:eastAsia="Times New Roman" w:hAnsi="Times New Roman"/>
                  <w:sz w:val="17"/>
                  <w:szCs w:val="17"/>
                  <w:color w:val="0000FF"/>
                  <w:w w:val="90"/>
                </w:rPr>
                <w:t>2023)</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10.53</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Amendment to Option Grant Certificates, dated as of March 8, 2023 by and among the Company and Jeffrey Siegel (incorporated by reference</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720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to Exhibit 10.46 to the Company's Annual Report on Form 10-K for the year ended December 31, 2022)</w:t>
              </w:r>
            </w:hyperlink>
          </w:p>
        </w:tc>
        <w:tc>
          <w:tcPr>
            <w:tcW w:w="2660" w:type="dxa"/>
            <w:vAlign w:val="bottom"/>
            <w:tcBorders>
              <w:top w:val="single" w:sz="8" w:color="0000FF"/>
            </w:tcBorders>
            <w:gridSpan w:val="21"/>
          </w:tcPr>
          <w:p>
            <w:pPr>
              <w:spacing w:after="0"/>
              <w:rPr>
                <w:sz w:val="12"/>
                <w:szCs w:val="12"/>
                <w:color w:val="auto"/>
              </w:rPr>
            </w:pPr>
          </w:p>
        </w:tc>
        <w:tc>
          <w:tcPr>
            <w:tcW w:w="120" w:type="dxa"/>
            <w:vAlign w:val="bottom"/>
            <w:gridSpan w:val="6"/>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10.54+</w:t>
            </w:r>
          </w:p>
        </w:tc>
        <w:tc>
          <w:tcPr>
            <w:tcW w:w="10180" w:type="dxa"/>
            <w:vAlign w:val="bottom"/>
            <w:gridSpan w:val="38"/>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Lease Agreement, dated January 23, 2025, by and between the Company and CRP/TCC Rhoton Owner LLC (incorporated by reference to</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56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Exhibit 10.1 to the Company’s Current Report on Form 8-K filed January 29, 2025)</w:t>
              </w:r>
            </w:hyperlink>
          </w:p>
        </w:tc>
        <w:tc>
          <w:tcPr>
            <w:tcW w:w="420" w:type="dxa"/>
            <w:vAlign w:val="bottom"/>
            <w:gridSpan w:val="17"/>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0" w:type="dxa"/>
            <w:vAlign w:val="bottom"/>
            <w:gridSpan w:val="2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10.55*</w:t>
            </w:r>
          </w:p>
        </w:tc>
        <w:tc>
          <w:tcPr>
            <w:tcW w:w="10180" w:type="dxa"/>
            <w:vAlign w:val="bottom"/>
            <w:gridSpan w:val="38"/>
          </w:tcPr>
          <w:p>
            <w:pPr>
              <w:spacing w:after="0"/>
              <w:rPr>
                <w:sz w:val="20"/>
                <w:szCs w:val="20"/>
                <w:color w:val="auto"/>
              </w:rPr>
            </w:pPr>
            <w:r>
              <w:rPr>
                <w:rFonts w:ascii="Times New Roman" w:cs="Times New Roman" w:eastAsia="Times New Roman" w:hAnsi="Times New Roman"/>
                <w:sz w:val="17"/>
                <w:szCs w:val="17"/>
                <w:color w:val="0000FF"/>
              </w:rPr>
              <w:t>Amendment Agreement No.6, dated as of March 13, 2025 to the Shares Subscription Agreement by and among the Company, Grupo Vasconia,</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5660" w:type="dxa"/>
            <w:vAlign w:val="bottom"/>
            <w:tcBorders>
              <w:top w:val="single" w:sz="8" w:color="0000FF"/>
              <w:bottom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S.A.B. and Mr. José Ramón Elizondo Anaya and Mr. Miguel Ángel Huerta Pando</w:t>
            </w:r>
          </w:p>
        </w:tc>
        <w:tc>
          <w:tcPr>
            <w:tcW w:w="4320" w:type="dxa"/>
            <w:vAlign w:val="bottom"/>
            <w:tcBorders>
              <w:top w:val="single" w:sz="8" w:color="0000FF"/>
            </w:tcBorders>
            <w:gridSpan w:val="30"/>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19.1*</w:t>
            </w:r>
          </w:p>
        </w:tc>
        <w:tc>
          <w:tcPr>
            <w:tcW w:w="1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Insider Trading Policy</w:t>
            </w:r>
          </w:p>
        </w:tc>
        <w:tc>
          <w:tcPr>
            <w:tcW w:w="8620" w:type="dxa"/>
            <w:vAlign w:val="bottom"/>
            <w:gridSpan w:val="36"/>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10180" w:type="dxa"/>
            <w:vAlign w:val="bottom"/>
            <w:gridSpan w:val="38"/>
          </w:tcPr>
          <w:p>
            <w:pPr>
              <w:spacing w:after="0"/>
              <w:rPr>
                <w:sz w:val="20"/>
                <w:szCs w:val="20"/>
                <w:color w:val="auto"/>
              </w:rPr>
            </w:pPr>
            <w:r>
              <w:rPr>
                <w:rFonts w:ascii="Times New Roman" w:cs="Times New Roman" w:eastAsia="Times New Roman" w:hAnsi="Times New Roman"/>
                <w:sz w:val="17"/>
                <w:szCs w:val="17"/>
                <w:color w:val="0000FF"/>
              </w:rPr>
              <w:t>Subsidiaries of the Company</w:t>
            </w:r>
          </w:p>
        </w:tc>
        <w:tc>
          <w:tcPr>
            <w:tcW w:w="0" w:type="dxa"/>
            <w:vAlign w:val="bottom"/>
          </w:tcPr>
          <w:p>
            <w:pPr>
              <w:spacing w:after="0"/>
              <w:rPr>
                <w:sz w:val="1"/>
                <w:szCs w:val="1"/>
                <w:color w:val="auto"/>
              </w:rPr>
            </w:pPr>
          </w:p>
        </w:tc>
      </w:tr>
      <w:tr>
        <w:trPr>
          <w:trHeight w:val="781"/>
        </w:trPr>
        <w:tc>
          <w:tcPr>
            <w:tcW w:w="1060" w:type="dxa"/>
            <w:vAlign w:val="bottom"/>
          </w:tcPr>
          <w:p>
            <w:pPr>
              <w:spacing w:after="0"/>
              <w:rPr>
                <w:sz w:val="24"/>
                <w:szCs w:val="24"/>
                <w:color w:val="auto"/>
              </w:rPr>
            </w:pPr>
          </w:p>
        </w:tc>
        <w:tc>
          <w:tcPr>
            <w:tcW w:w="2000" w:type="dxa"/>
            <w:vAlign w:val="bottom"/>
            <w:tcBorders>
              <w:top w:val="single" w:sz="8" w:color="0000FF"/>
            </w:tcBorders>
            <w:gridSpan w:val="5"/>
          </w:tcPr>
          <w:p>
            <w:pPr>
              <w:spacing w:after="0"/>
              <w:rPr>
                <w:sz w:val="24"/>
                <w:szCs w:val="24"/>
                <w:color w:val="auto"/>
              </w:rPr>
            </w:pPr>
          </w:p>
        </w:tc>
        <w:tc>
          <w:tcPr>
            <w:tcW w:w="3660" w:type="dxa"/>
            <w:vAlign w:val="bottom"/>
            <w:gridSpan w:val="2"/>
          </w:tcPr>
          <w:p>
            <w:pPr>
              <w:jc w:val="right"/>
              <w:ind w:right="1000"/>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Consent of Ernst &amp; Young LLP</w:t>
            </w: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Consent of Castillo Miranda Y Compania, S.C.</w:t>
            </w: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by Robert B. Kay, Chief Executive Officer and Director, pursuant to Rule 13a-14(a) or Rule 15d-14(a) of the Securities and</w:t>
            </w:r>
          </w:p>
        </w:tc>
      </w:tr>
      <w:tr>
        <w:trPr>
          <w:trHeight w:val="148"/>
        </w:trPr>
        <w:tc>
          <w:tcPr>
            <w:tcW w:w="1040" w:type="dxa"/>
            <w:vAlign w:val="bottom"/>
          </w:tcPr>
          <w:p>
            <w:pPr>
              <w:spacing w:after="0"/>
              <w:rPr>
                <w:sz w:val="12"/>
                <w:szCs w:val="12"/>
                <w:color w:val="auto"/>
              </w:rPr>
            </w:pPr>
          </w:p>
        </w:tc>
        <w:tc>
          <w:tcPr>
            <w:tcW w:w="6500" w:type="dxa"/>
            <w:vAlign w:val="bottom"/>
            <w:tcBorders>
              <w:top w:val="single" w:sz="8" w:color="0000FF"/>
              <w:bottom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Exchange Act of 1934, as adopted pursuant to Section 302 of the Sarbanes-Oxley Act of 2002</w:t>
            </w:r>
          </w:p>
        </w:tc>
        <w:tc>
          <w:tcPr>
            <w:tcW w:w="2940" w:type="dxa"/>
            <w:vAlign w:val="bottom"/>
            <w:tcBorders>
              <w:top w:val="single" w:sz="8" w:color="0000FF"/>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by Laurence Winoker, Executive Vice President – Finance, Treasurer and Chief Financial Officer, pursuant to Rule 13a-14(a) or</w:t>
            </w:r>
          </w:p>
        </w:tc>
      </w:tr>
      <w:tr>
        <w:trPr>
          <w:trHeight w:val="148"/>
        </w:trPr>
        <w:tc>
          <w:tcPr>
            <w:tcW w:w="1040" w:type="dxa"/>
            <w:vAlign w:val="bottom"/>
          </w:tcPr>
          <w:p>
            <w:pPr>
              <w:spacing w:after="0"/>
              <w:rPr>
                <w:sz w:val="12"/>
                <w:szCs w:val="12"/>
                <w:color w:val="auto"/>
              </w:rPr>
            </w:pPr>
          </w:p>
        </w:tc>
        <w:tc>
          <w:tcPr>
            <w:tcW w:w="9040" w:type="dxa"/>
            <w:vAlign w:val="bottom"/>
            <w:tcBorders>
              <w:top w:val="single" w:sz="8" w:color="0000FF"/>
              <w:bottom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Rule 15d-14(a) of the Securities and Exchange Act of 1934, as adopted pursuant to Section 302 of the Sarbanes-Oxley Act of 2002</w:t>
            </w:r>
          </w:p>
        </w:tc>
        <w:tc>
          <w:tcPr>
            <w:tcW w:w="7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by Robert B. Kay, Chief Executive Officer and Director, and Laurence Winoker, Executive Vice President – Finance, Treasurer</w:t>
            </w:r>
          </w:p>
        </w:tc>
      </w:tr>
      <w:tr>
        <w:trPr>
          <w:trHeight w:val="148"/>
        </w:trPr>
        <w:tc>
          <w:tcPr>
            <w:tcW w:w="104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7"/>
                <w:szCs w:val="17"/>
                <w:color w:val="0000FF"/>
              </w:rPr>
              <w:t>and Chief Financial Officer, pursuant to 18 U.S.C. Section 1350, as adopted pursuant to Section 906 of the Sarbanes-Oxley Act of 2002 (**)</w:t>
            </w:r>
          </w:p>
        </w:tc>
        <w:tc>
          <w:tcPr>
            <w:tcW w:w="6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9760" w:type="dxa"/>
            <w:vAlign w:val="bottom"/>
            <w:gridSpan w:val="12"/>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Compensation Recoupment Policy of Lifetime Brands, Inc. (incorporated by reference to Exhibit 97.1 to the Company's Annual Report on</w:t>
              </w:r>
            </w:hyperlink>
          </w:p>
        </w:tc>
      </w:tr>
      <w:tr>
        <w:trPr>
          <w:trHeight w:val="148"/>
        </w:trPr>
        <w:tc>
          <w:tcPr>
            <w:tcW w:w="1040" w:type="dxa"/>
            <w:vAlign w:val="bottom"/>
          </w:tcPr>
          <w:p>
            <w:pPr>
              <w:spacing w:after="0"/>
              <w:rPr>
                <w:sz w:val="12"/>
                <w:szCs w:val="12"/>
                <w:color w:val="auto"/>
              </w:rPr>
            </w:pPr>
          </w:p>
        </w:tc>
        <w:tc>
          <w:tcPr>
            <w:tcW w:w="956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Form 10-K for the year ended December 31, 2023)</w:t>
              </w:r>
            </w:hyperlink>
          </w:p>
        </w:tc>
        <w:tc>
          <w:tcPr>
            <w:tcW w:w="200" w:type="dxa"/>
            <w:vAlign w:val="bottom"/>
            <w:gridSpan w:val="3"/>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264"/>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Report of Independent Registered Accounting Firm on the consolidated financial statements of Grupo Vasconia, S.A.B. (formerly Ekco,</w:t>
            </w:r>
          </w:p>
        </w:tc>
      </w:tr>
      <w:tr>
        <w:trPr>
          <w:trHeight w:val="148"/>
        </w:trPr>
        <w:tc>
          <w:tcPr>
            <w:tcW w:w="1040" w:type="dxa"/>
            <w:vAlign w:val="bottom"/>
          </w:tcPr>
          <w:p>
            <w:pPr>
              <w:spacing w:after="0"/>
              <w:rPr>
                <w:sz w:val="12"/>
                <w:szCs w:val="12"/>
                <w:color w:val="auto"/>
              </w:rPr>
            </w:pPr>
          </w:p>
        </w:tc>
        <w:tc>
          <w:tcPr>
            <w:tcW w:w="9380" w:type="dxa"/>
            <w:vAlign w:val="bottom"/>
            <w:tcBorders>
              <w:top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S.A.B.)</w:t>
            </w:r>
          </w:p>
        </w:tc>
        <w:tc>
          <w:tcPr>
            <w:tcW w:w="380" w:type="dxa"/>
            <w:vAlign w:val="bottom"/>
            <w:gridSpan w:val="5"/>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40" w:type="dxa"/>
            <w:vAlign w:val="bottom"/>
            <w:gridSpan w:val="11"/>
          </w:tcPr>
          <w:p>
            <w:pPr>
              <w:spacing w:after="0" w:line="20" w:lineRule="exact"/>
              <w:rPr>
                <w:sz w:val="1"/>
                <w:szCs w:val="1"/>
                <w:color w:val="auto"/>
              </w:rPr>
            </w:pPr>
          </w:p>
        </w:tc>
      </w:tr>
      <w:tr>
        <w:trPr>
          <w:trHeight w:val="25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 XBRL tags are embedded</w:t>
            </w:r>
          </w:p>
        </w:tc>
      </w:tr>
      <w:tr>
        <w:trPr>
          <w:trHeight w:val="223"/>
        </w:trPr>
        <w:tc>
          <w:tcPr>
            <w:tcW w:w="1040" w:type="dxa"/>
            <w:vAlign w:val="bottom"/>
          </w:tcPr>
          <w:p>
            <w:pPr>
              <w:spacing w:after="0"/>
              <w:rPr>
                <w:sz w:val="19"/>
                <w:szCs w:val="19"/>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8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7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ind w:right="4040" w:firstLine="21"/>
        <w:spacing w:after="0" w:line="370" w:lineRule="auto"/>
        <w:tabs>
          <w:tab w:leader="none" w:pos="106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Annual Report on Form 10-K, formatted in Inline XBRL Notes to exhibits: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Filed herewith.</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63" w:lineRule="exact"/>
        <w:rPr>
          <w:sz w:val="20"/>
          <w:szCs w:val="20"/>
          <w:color w:val="auto"/>
        </w:rPr>
      </w:pPr>
    </w:p>
    <w:p>
      <w:pPr>
        <w:ind w:left="5540" w:right="4000" w:hanging="5227"/>
        <w:spacing w:after="0" w:line="795" w:lineRule="auto"/>
        <w:tabs>
          <w:tab w:leader="none" w:pos="4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are redacted in accordance with Regulation S-K Item 601(b)(10)(iv).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-233045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00"/>
          </w:cols>
          <w:pgMar w:left="320" w:top="123" w:right="7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4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Lifetime Brands, Inc.</w:t>
      </w:r>
    </w:p>
    <w:p>
      <w:pPr>
        <w:spacing w:after="0" w:line="28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17780</wp:posOffset>
            </wp:positionV>
            <wp:extent cx="27076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9">
                      <a:extLst>
                        <a:ext uri="{28A0092B-C50C-407E-A947-70E740481C1C}"/>
                      </a:extLst>
                    </a:blip>
                    <a:srcRect/>
                    <a:stretch>
                      <a:fillRect/>
                    </a:stretch>
                  </pic:blipFill>
                  <pic:spPr bwMode="auto">
                    <a:xfrm>
                      <a:off x="0" y="0"/>
                      <a:ext cx="2707640" cy="8255"/>
                    </a:xfrm>
                    <a:prstGeom prst="rect">
                      <a:avLst/>
                    </a:prstGeom>
                    <a:noFill/>
                  </pic:spPr>
                </pic:pic>
              </a:graphicData>
            </a:graphic>
          </wp:anchor>
        </w:drawing>
      </w:r>
    </w:p>
    <w:p>
      <w:pPr>
        <w:spacing w:after="0" w:line="1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Robert B. Kay</w:t>
      </w:r>
    </w:p>
    <w:p>
      <w:pPr>
        <w:spacing w:after="0" w:line="2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Date: March 13, 2025</w:t>
      </w:r>
    </w:p>
    <w:p>
      <w:pPr>
        <w:spacing w:after="0" w:line="30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7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w:t>
            </w:r>
          </w:p>
        </w:tc>
        <w:tc>
          <w:tcPr>
            <w:tcW w:w="474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Title</w:t>
            </w: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Date</w:t>
            </w:r>
          </w:p>
        </w:tc>
      </w:tr>
      <w:tr>
        <w:trPr>
          <w:trHeight w:val="29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Robert B. Kay</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B. Kay</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Laurence Winoker</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Vice President</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161"/>
        </w:trPr>
        <w:tc>
          <w:tcPr>
            <w:tcW w:w="386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Laurence Winoker</w:t>
            </w:r>
          </w:p>
        </w:tc>
        <w:tc>
          <w:tcPr>
            <w:tcW w:w="4740" w:type="dxa"/>
            <w:vAlign w:val="bottom"/>
          </w:tcPr>
          <w:p>
            <w:pPr>
              <w:ind w:left="120"/>
              <w:spacing w:after="0" w:line="161" w:lineRule="exact"/>
              <w:rPr>
                <w:sz w:val="20"/>
                <w:szCs w:val="20"/>
                <w:color w:val="auto"/>
              </w:rPr>
            </w:pPr>
            <w:r>
              <w:rPr>
                <w:rFonts w:ascii="Times New Roman" w:cs="Times New Roman" w:eastAsia="Times New Roman" w:hAnsi="Times New Roman"/>
                <w:sz w:val="17"/>
                <w:szCs w:val="17"/>
                <w:color w:val="auto"/>
              </w:rPr>
              <w:t>Treasurer and Chief Financial Officer</w:t>
            </w:r>
          </w:p>
        </w:tc>
        <w:tc>
          <w:tcPr>
            <w:tcW w:w="2640" w:type="dxa"/>
            <w:vAlign w:val="bottom"/>
          </w:tcPr>
          <w:p>
            <w:pPr>
              <w:spacing w:after="0"/>
              <w:rPr>
                <w:sz w:val="13"/>
                <w:szCs w:val="13"/>
                <w:color w:val="auto"/>
              </w:rPr>
            </w:pPr>
          </w:p>
        </w:tc>
      </w:tr>
      <w:tr>
        <w:trPr>
          <w:trHeight w:val="223"/>
        </w:trPr>
        <w:tc>
          <w:tcPr>
            <w:tcW w:w="386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640" w:type="dxa"/>
            <w:vAlign w:val="bottom"/>
          </w:tcPr>
          <w:p>
            <w:pPr>
              <w:spacing w:after="0"/>
              <w:rPr>
                <w:sz w:val="19"/>
                <w:szCs w:val="19"/>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Siegel</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Siegel</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Herbert Evans</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Herbert Evans</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Rachael Jarosh</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Rachael Jarosh</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Cherrie Nanninga</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Cherrie Nanninga</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Craig Phillips</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Craig Phillips</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Veronique Gabai-Pinsky</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Veronique Gabai-Pinsky</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Bruce Pollack</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Bruce Pollack</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J. Regan</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Regan</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Schnabel</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13, 2025</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Schnabel</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927"/>
        </w:trPr>
        <w:tc>
          <w:tcPr>
            <w:tcW w:w="3860" w:type="dxa"/>
            <w:vAlign w:val="bottom"/>
          </w:tcPr>
          <w:p>
            <w:pPr>
              <w:spacing w:after="0"/>
              <w:rPr>
                <w:sz w:val="24"/>
                <w:szCs w:val="24"/>
                <w:color w:val="auto"/>
              </w:rPr>
            </w:pPr>
          </w:p>
        </w:tc>
        <w:tc>
          <w:tcPr>
            <w:tcW w:w="474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52</w:t>
            </w:r>
          </w:p>
        </w:tc>
        <w:tc>
          <w:tcPr>
            <w:tcW w:w="2640" w:type="dxa"/>
            <w:vAlign w:val="bottom"/>
          </w:tcPr>
          <w:p>
            <w:pPr>
              <w:spacing w:after="0"/>
              <w:rPr>
                <w:sz w:val="24"/>
                <w:szCs w:val="24"/>
                <w:color w:val="auto"/>
              </w:rPr>
            </w:pPr>
          </w:p>
        </w:tc>
      </w:tr>
      <w:tr>
        <w:trPr>
          <w:trHeight w:val="109"/>
        </w:trPr>
        <w:tc>
          <w:tcPr>
            <w:tcW w:w="386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10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r>
      <w:tr>
        <w:trPr>
          <w:trHeight w:val="949"/>
        </w:trPr>
        <w:tc>
          <w:tcPr>
            <w:tcW w:w="12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15</w:t>
            </w:r>
          </w:p>
        </w:tc>
        <w:tc>
          <w:tcPr>
            <w:tcW w:w="95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gridSpan w:val="5"/>
          </w:tcPr>
          <w:p>
            <w:pPr>
              <w:jc w:val="center"/>
              <w:ind w:right="3960"/>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48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540" w:type="dxa"/>
            <w:vAlign w:val="bottom"/>
            <w:gridSpan w:val="9"/>
          </w:tcPr>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LIST OF FINANCIAL STATEMENTS AND FINANCIAL STATEMENT SCHEDULE</w:t>
            </w:r>
          </w:p>
        </w:tc>
        <w:tc>
          <w:tcPr>
            <w:tcW w:w="480" w:type="dxa"/>
            <w:vAlign w:val="bottom"/>
          </w:tcPr>
          <w:p>
            <w:pPr>
              <w:spacing w:after="0"/>
              <w:rPr>
                <w:sz w:val="24"/>
                <w:szCs w:val="24"/>
                <w:color w:val="auto"/>
              </w:rPr>
            </w:pPr>
          </w:p>
        </w:tc>
      </w:tr>
      <w:tr>
        <w:trPr>
          <w:trHeight w:val="289"/>
        </w:trPr>
        <w:tc>
          <w:tcPr>
            <w:tcW w:w="1076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 xml:space="preserve">The following consolidated financial statements of Lifetime Brands, Inc. are filed as part of this Annual Report under Item 8 – </w:t>
            </w:r>
            <w:r>
              <w:rPr>
                <w:rFonts w:ascii="Times New Roman" w:cs="Times New Roman" w:eastAsia="Times New Roman" w:hAnsi="Times New Roman"/>
                <w:sz w:val="17"/>
                <w:szCs w:val="17"/>
                <w:i w:val="1"/>
                <w:iCs w:val="1"/>
                <w:color w:val="auto"/>
              </w:rPr>
              <w:t>Financial Statements and</w:t>
            </w:r>
          </w:p>
        </w:tc>
        <w:tc>
          <w:tcPr>
            <w:tcW w:w="480" w:type="dxa"/>
            <w:vAlign w:val="bottom"/>
          </w:tcPr>
          <w:p>
            <w:pPr>
              <w:spacing w:after="0"/>
              <w:rPr>
                <w:sz w:val="24"/>
                <w:szCs w:val="24"/>
                <w:color w:val="auto"/>
              </w:rPr>
            </w:pPr>
          </w:p>
        </w:tc>
      </w:tr>
      <w:tr>
        <w:trPr>
          <w:trHeight w:val="227"/>
        </w:trPr>
        <w:tc>
          <w:tcPr>
            <w:tcW w:w="10760" w:type="dxa"/>
            <w:vAlign w:val="bottom"/>
            <w:gridSpan w:val="11"/>
          </w:tcPr>
          <w:p>
            <w:pPr>
              <w:spacing w:after="0"/>
              <w:rPr>
                <w:sz w:val="20"/>
                <w:szCs w:val="20"/>
                <w:color w:val="auto"/>
              </w:rPr>
            </w:pPr>
            <w:r>
              <w:rPr>
                <w:rFonts w:ascii="Times New Roman" w:cs="Times New Roman" w:eastAsia="Times New Roman" w:hAnsi="Times New Roman"/>
                <w:sz w:val="17"/>
                <w:szCs w:val="17"/>
                <w:i w:val="1"/>
                <w:iCs w:val="1"/>
                <w:color w:val="auto"/>
              </w:rPr>
              <w:t>Supplementary Data.</w:t>
            </w:r>
          </w:p>
        </w:tc>
        <w:tc>
          <w:tcPr>
            <w:tcW w:w="480" w:type="dxa"/>
            <w:vAlign w:val="bottom"/>
          </w:tcPr>
          <w:p>
            <w:pPr>
              <w:spacing w:after="0"/>
              <w:rPr>
                <w:sz w:val="19"/>
                <w:szCs w:val="19"/>
                <w:color w:val="auto"/>
              </w:rPr>
            </w:pPr>
          </w:p>
        </w:tc>
      </w:tr>
      <w:tr>
        <w:trPr>
          <w:trHeight w:val="465"/>
        </w:trPr>
        <w:tc>
          <w:tcPr>
            <w:tcW w:w="20" w:type="dxa"/>
            <w:vAlign w:val="bottom"/>
          </w:tcPr>
          <w:p>
            <w:pPr>
              <w:spacing w:after="0"/>
              <w:rPr>
                <w:sz w:val="24"/>
                <w:szCs w:val="24"/>
                <w:color w:val="auto"/>
              </w:rPr>
            </w:pPr>
          </w:p>
        </w:tc>
        <w:tc>
          <w:tcPr>
            <w:tcW w:w="107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42)</w:t>
            </w: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F-2</w:t>
            </w:r>
          </w:p>
        </w:tc>
      </w:tr>
      <w:tr>
        <w:trPr>
          <w:trHeight w:val="20"/>
        </w:trPr>
        <w:tc>
          <w:tcPr>
            <w:tcW w:w="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7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2024 and 2023</w:t>
            </w: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F-4</w:t>
            </w:r>
          </w:p>
        </w:tc>
      </w:tr>
      <w:tr>
        <w:trPr>
          <w:trHeight w:val="20"/>
        </w:trPr>
        <w:tc>
          <w:tcPr>
            <w:tcW w:w="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7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2024, 2023, and 2022</w:t>
            </w: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F-5</w:t>
            </w:r>
          </w:p>
        </w:tc>
      </w:tr>
      <w:tr>
        <w:trPr>
          <w:trHeight w:val="20"/>
        </w:trPr>
        <w:tc>
          <w:tcPr>
            <w:tcW w:w="20" w:type="dxa"/>
            <w:vAlign w:val="bottom"/>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7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 for the Years ended December 31, 2024, 2023, and 2022</w:t>
            </w: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F-6</w:t>
            </w:r>
          </w:p>
        </w:tc>
      </w:tr>
      <w:tr>
        <w:trPr>
          <w:trHeight w:val="200"/>
        </w:trPr>
        <w:tc>
          <w:tcPr>
            <w:tcW w:w="20" w:type="dxa"/>
            <w:vAlign w:val="bottom"/>
          </w:tcPr>
          <w:p>
            <w:pPr>
              <w:spacing w:after="0"/>
              <w:rPr>
                <w:sz w:val="17"/>
                <w:szCs w:val="17"/>
                <w:color w:val="auto"/>
              </w:rPr>
            </w:pPr>
          </w:p>
        </w:tc>
        <w:tc>
          <w:tcPr>
            <w:tcW w:w="79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2024, 2023, and 2022</w:t>
            </w:r>
          </w:p>
        </w:tc>
        <w:tc>
          <w:tcPr>
            <w:tcW w:w="276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F-7</w:t>
            </w:r>
          </w:p>
        </w:tc>
      </w:tr>
      <w:tr>
        <w:trPr>
          <w:trHeight w:val="200"/>
        </w:trPr>
        <w:tc>
          <w:tcPr>
            <w:tcW w:w="20" w:type="dxa"/>
            <w:vAlign w:val="bottom"/>
          </w:tcPr>
          <w:p>
            <w:pPr>
              <w:spacing w:after="0"/>
              <w:rPr>
                <w:sz w:val="17"/>
                <w:szCs w:val="17"/>
                <w:color w:val="auto"/>
              </w:rPr>
            </w:pPr>
          </w:p>
        </w:tc>
        <w:tc>
          <w:tcPr>
            <w:tcW w:w="66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2024, 2023, and 2022</w:t>
            </w:r>
          </w:p>
        </w:tc>
        <w:tc>
          <w:tcPr>
            <w:tcW w:w="640" w:type="dxa"/>
            <w:vAlign w:val="bottom"/>
            <w:tcBorders>
              <w:top w:val="single" w:sz="8" w:color="0000FF"/>
            </w:tcBorders>
          </w:tcPr>
          <w:p>
            <w:pPr>
              <w:spacing w:after="0"/>
              <w:rPr>
                <w:sz w:val="17"/>
                <w:szCs w:val="17"/>
                <w:color w:val="auto"/>
              </w:rPr>
            </w:pPr>
          </w:p>
        </w:tc>
        <w:tc>
          <w:tcPr>
            <w:tcW w:w="3420" w:type="dxa"/>
            <w:vAlign w:val="bottom"/>
            <w:gridSpan w:val="2"/>
          </w:tcPr>
          <w:p>
            <w:pPr>
              <w:spacing w:after="0"/>
              <w:rPr>
                <w:sz w:val="17"/>
                <w:szCs w:val="17"/>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F-8</w:t>
            </w:r>
          </w:p>
        </w:tc>
      </w:tr>
      <w:tr>
        <w:trPr>
          <w:trHeight w:val="200"/>
        </w:trPr>
        <w:tc>
          <w:tcPr>
            <w:tcW w:w="20" w:type="dxa"/>
            <w:vAlign w:val="bottom"/>
          </w:tcPr>
          <w:p>
            <w:pPr>
              <w:spacing w:after="0"/>
              <w:rPr>
                <w:sz w:val="17"/>
                <w:szCs w:val="17"/>
                <w:color w:val="auto"/>
              </w:rPr>
            </w:pPr>
          </w:p>
        </w:tc>
        <w:tc>
          <w:tcPr>
            <w:tcW w:w="3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7720" w:type="dxa"/>
            <w:vAlign w:val="bottom"/>
            <w:gridSpan w:val="8"/>
          </w:tcPr>
          <w:p>
            <w:pPr>
              <w:spacing w:after="0"/>
              <w:rPr>
                <w:sz w:val="17"/>
                <w:szCs w:val="17"/>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F-9</w:t>
            </w:r>
          </w:p>
        </w:tc>
      </w:tr>
      <w:tr>
        <w:trPr>
          <w:trHeight w:val="523"/>
        </w:trPr>
        <w:tc>
          <w:tcPr>
            <w:tcW w:w="1076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The following consolidated financial statement schedule of Lifetime Brands, Inc. required pursuant to Item 15(a) is submitted herewith:</w:t>
            </w:r>
          </w:p>
        </w:tc>
        <w:tc>
          <w:tcPr>
            <w:tcW w:w="480" w:type="dxa"/>
            <w:vAlign w:val="bottom"/>
          </w:tcPr>
          <w:p>
            <w:pPr>
              <w:spacing w:after="0"/>
              <w:rPr>
                <w:sz w:val="24"/>
                <w:szCs w:val="24"/>
                <w:color w:val="auto"/>
              </w:rPr>
            </w:pPr>
          </w:p>
        </w:tc>
      </w:tr>
      <w:tr>
        <w:trPr>
          <w:trHeight w:val="465"/>
        </w:trPr>
        <w:tc>
          <w:tcPr>
            <w:tcW w:w="20" w:type="dxa"/>
            <w:vAlign w:val="bottom"/>
          </w:tcPr>
          <w:p>
            <w:pPr>
              <w:spacing w:after="0"/>
              <w:rPr>
                <w:sz w:val="24"/>
                <w:szCs w:val="24"/>
                <w:color w:val="auto"/>
              </w:rPr>
            </w:pPr>
          </w:p>
        </w:tc>
        <w:tc>
          <w:tcPr>
            <w:tcW w:w="3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Schedule II – Valuation and Qualifying Accounts</w:t>
            </w:r>
          </w:p>
        </w:tc>
        <w:tc>
          <w:tcPr>
            <w:tcW w:w="7340" w:type="dxa"/>
            <w:vAlign w:val="bottom"/>
            <w:gridSpan w:val="7"/>
          </w:tcPr>
          <w:p>
            <w:pPr>
              <w:spacing w:after="0"/>
              <w:rPr>
                <w:sz w:val="24"/>
                <w:szCs w:val="24"/>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S-1</w:t>
            </w:r>
          </w:p>
        </w:tc>
      </w:tr>
      <w:tr>
        <w:trPr>
          <w:trHeight w:val="510"/>
        </w:trPr>
        <w:tc>
          <w:tcPr>
            <w:tcW w:w="1076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All other financial schedules are not required under the related instructions or are inapplicable, and therefore have been omitted.</w:t>
            </w:r>
          </w:p>
        </w:tc>
        <w:tc>
          <w:tcPr>
            <w:tcW w:w="480" w:type="dxa"/>
            <w:vAlign w:val="bottom"/>
          </w:tcPr>
          <w:p>
            <w:pPr>
              <w:spacing w:after="0"/>
              <w:rPr>
                <w:sz w:val="24"/>
                <w:szCs w:val="24"/>
                <w:color w:val="auto"/>
              </w:rPr>
            </w:pPr>
          </w:p>
        </w:tc>
      </w:tr>
      <w:tr>
        <w:trPr>
          <w:trHeight w:val="106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gridSpan w:val="5"/>
          </w:tcPr>
          <w:p>
            <w:pPr>
              <w:jc w:val="center"/>
              <w:ind w:right="398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w:t>
            </w:r>
          </w:p>
        </w:tc>
        <w:tc>
          <w:tcPr>
            <w:tcW w:w="48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Lifetime Brands,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Lifetime Brands, Inc. (the Company) as of December 31, 2024 and 2023, the related consolidated statements of operations, comprehensive income (loss)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stockholders' equity and cash flows for each of the three years in the period ended December 31, 2024, and the related notes and financial statement schedule listed in the Index at Item 15(a) (collectively referred to as the “consolidated financial statements”). In our opinion, based on our audits and for 2023 and 2022 the report of other auditors,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7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did not audit the 2023 or 2022 financial statements of Grupo Vasconia, S.A.B. and Subsidiaries, a corporation in which the Company has a 24.7% interest. In the consolidated financial statements, the Company’s investment in Grupo Vasconia, S.A.B. and Subsidiaries is stated at $1.8 million as of December 31, 2023, and the Company’s equity in losses of Grupo Vasconia, S.A.B. and Subsidiaries is stated at $5.8 million in 2023 and $3.3 million in 2022. Those statements were audited by other auditors whose report has been furnished to us, and our opinion, insofar as it relates to the amounts included for Grupo Vasconia, S.A.B. and Subsidiaries, is based solely on the report of the other auditors.</w:t>
      </w:r>
    </w:p>
    <w:p>
      <w:pPr>
        <w:spacing w:after="0" w:line="173"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13, 2025 expressed an unqualified opinion thereon.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other auditors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w:t>
      </w:r>
      <w:r>
        <w:rPr>
          <w:sz w:val="1"/>
          <w:szCs w:val="1"/>
          <w:color w:val="auto"/>
        </w:rPr>
        <w:drawing>
          <wp:inline distT="0" distB="0" distL="0" distR="0">
            <wp:extent cx="24765" cy="9017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4">
                      <a:extLst>
                        <a:ext uri="{28A0092B-C50C-407E-A947-70E740481C1C}"/>
                      </a:extLst>
                    </a:blip>
                    <a:srcRect/>
                    <a:stretch>
                      <a:fillRect/>
                    </a:stretch>
                  </pic:blipFill>
                  <pic:spPr bwMode="auto">
                    <a:xfrm>
                      <a:off x="0" y="0"/>
                      <a:ext cx="24765" cy="90170"/>
                    </a:xfrm>
                    <a:prstGeom prst="rect">
                      <a:avLst/>
                    </a:prstGeom>
                    <a:noFill/>
                    <a:ln>
                      <a:noFill/>
                    </a:ln>
                  </pic:spPr>
                </pic:pic>
              </a:graphicData>
            </a:graphic>
          </wp:inline>
        </w:drawing>
      </w:r>
      <w:r>
        <w:rPr>
          <w:rFonts w:ascii="Times New Roman" w:cs="Times New Roman" w:eastAsia="Times New Roman" w:hAnsi="Times New Roman"/>
          <w:sz w:val="17"/>
          <w:szCs w:val="17"/>
          <w:color w:val="auto"/>
        </w:rPr>
        <w:t>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Estimation of Variable Consideration</w:t>
      </w:r>
    </w:p>
    <w:p>
      <w:pPr>
        <w:spacing w:after="0" w:line="80" w:lineRule="exact"/>
        <w:rPr>
          <w:sz w:val="20"/>
          <w:szCs w:val="20"/>
          <w:color w:val="auto"/>
        </w:rPr>
      </w:pPr>
    </w:p>
    <w:p>
      <w:pPr>
        <w:jc w:val="right"/>
        <w:ind w:left="20"/>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Description of the Matter      </w:t>
      </w:r>
      <w:r>
        <w:rPr>
          <w:rFonts w:ascii="Times New Roman" w:cs="Times New Roman" w:eastAsia="Times New Roman" w:hAnsi="Times New Roman"/>
          <w:sz w:val="17"/>
          <w:szCs w:val="17"/>
          <w:color w:val="auto"/>
        </w:rPr>
        <w:t>For the year ended December 31, 2024, the Company reported net sales of $683.0 million. As described in Note 2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the Company offers various contractual and non-contractual sales incentives and promotional</w:t>
      </w:r>
    </w:p>
    <w:p>
      <w:pPr>
        <w:jc w:val="both"/>
        <w:ind w:left="2260"/>
        <w:spacing w:after="0" w:line="229" w:lineRule="auto"/>
        <w:rPr>
          <w:sz w:val="20"/>
          <w:szCs w:val="20"/>
          <w:color w:val="auto"/>
        </w:rPr>
      </w:pPr>
      <w:r>
        <w:rPr>
          <w:rFonts w:ascii="Times New Roman" w:cs="Times New Roman" w:eastAsia="Times New Roman" w:hAnsi="Times New Roman"/>
          <w:sz w:val="17"/>
          <w:szCs w:val="17"/>
          <w:color w:val="auto"/>
        </w:rPr>
        <w:t>programs to its customers in the normal course of business. These sales incentives and promotions represent variable consideration and are reflected as reductions in net sales in the Company’s consolidated statements of operations. Sales incentives and promotions that are non-contractual require the Company to estimate the amount of variable consideration based on historical experience and other known factors.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line="27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line="27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Auditing the Company’s measurement of the variable consideration associated with the non-contractual sales incentives and promotions is challenging because the method of calculation involves subjective management assumptions about estimates of the expected discounts. For example, in addition to historical experience, the Company considers specific known events and industry trends to estimate the expected discounts. Changes in these assumptions can have a material effect on the amount of net sales recognized.</w:t>
      </w:r>
    </w:p>
    <w:p>
      <w:pPr>
        <w:spacing w:after="0" w:line="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the Company’s controls over the estimation of variable consideration. Among others, we tested management’s review controls over the determination of significant assumptions used in estimating the variable consideration. We also tested controls over management’s review of the completeness and accuracy of the underlying data used in the analysis.</w:t>
      </w:r>
    </w:p>
    <w:p>
      <w:pPr>
        <w:spacing w:after="0" w:line="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To test the Company’s measurement of variable consideration related to the non-contractual sales incentives and promotions, our audit procedures included, among others, evaluating the Company’s methodologies, evaluating the significant assumptions described above and testing the completeness and accuracy of the underlying data used in management's analyses. We inspected a selection of communications between the sales and finance departments that were used to support the estimation of the variable consideration. For a sample of transactions, we performed detailed transactional testing of customer deductions to validate the timing and amount of the sales allowances recorded. We performed corroborative inquiries of sales division executives to evaluate the ongoing sales promotions and spending needs at year end. Additionally, we performed retrospective analyses over management’s historical estimates in order to assess the reasonableness of how the Company measures certain variable consideration discounts.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 Quantitative Impairment Assessment</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As of December 31, 2024, the Company’s intangible asset balance includes goodwill of $33.2 million. As discussed in Note 6, the Company’s goodwill is assessed annually for impairment using either a qualitative or quantitative approach as of October 1, or more frequently if an event occurs or circumstances change that would more likely than not reduce the fair value of a reporting unit below its carrying value.</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Auditing management’s quantitative impairment test for goodwill was complex and judgmental due to the measurement uncertainty in estimating the fair value of the reporting unit. Specifically, the fair value estimate of the Company’s U.S. reporting unit was sensitive to assumptions including projected net sales, projected earnings before interest, tax, depreciation and amortization (“EBITDA”), and the cost of capital. These assumptions are forward-looking and are affected by such factors as future market or economic conditions.</w:t>
      </w:r>
    </w:p>
    <w:p>
      <w:pPr>
        <w:spacing w:after="0" w:line="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valuation of the reporting unit. This included testing management’s review controls relating to the Company’s valuation models and significant assumptions, described above.</w:t>
      </w:r>
    </w:p>
    <w:p>
      <w:pPr>
        <w:spacing w:after="0" w:line="8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As part of our audit, we assessed the methodologies and significant assumptions used for the purposes of performing the impairment tests, among other procedures. We evaluated our historical experience with management’s effort in producing accurate projections of revenue growth and profitability by comparing its historical projections to the Company’s actual performance. We tested the significant assumptions discussed above, as well as the completeness and accuracy of the underlying data used in the valuations. We assessed the appropriateness of the Company’s projections by comparing them to market expectations. We engaged our valuation specialists to assess the reasonableness of the cost of capital, the valuation models and significant assumptions used in the valuation of the U.S. reporting unit. In order to reflect the uncertainty inherent in the projections, we inspected the sensitivity analyses performed by the Company and performed our own sensitivity analyses by adjusting the significant assumptions and evaluated the potential outcome for the U.S. reporting unit. In addition, we tested the reconciliation of the fair value of the reporting units developed by management to the stock market capitalization of the Company as of the valuation date and evaluated the implied control premium for reasonableness.</w:t>
      </w:r>
    </w:p>
    <w:p>
      <w:pPr>
        <w:spacing w:after="0" w:line="478" w:lineRule="exact"/>
        <w:rPr>
          <w:sz w:val="20"/>
          <w:szCs w:val="20"/>
          <w:color w:val="auto"/>
        </w:rPr>
      </w:pPr>
    </w:p>
    <w:p>
      <w:pPr>
        <w:sectPr>
          <w:pgSz w:w="11900" w:h="16838" w:orient="portrait"/>
          <w:cols w:equalWidth="0" w:num="2">
            <w:col w:w="2120" w:space="140"/>
            <w:col w:w="8960"/>
          </w:cols>
          <w:pgMar w:left="320" w:top="123" w:right="35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1984.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2025</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16,189</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 less allowances of $14,093 at December 31, 2024 and $15,952 at December 31, 2023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155,180</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188,647</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16,339</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376,355</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16,970</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69,756</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199,133</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3,102</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634,310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667,142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maturity of term loan</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54,154</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78,356</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taxes payable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15,145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14,075</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151,743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151,968</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9,126</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PAYABLE, LONG-TERM</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70,009</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7,438</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60,395</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135,834</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640" w:type="dxa"/>
            <w:vAlign w:val="bottom"/>
            <w:shd w:val="clear" w:color="auto" w:fill="CCEEFF"/>
          </w:tcPr>
          <w:p>
            <w:pPr>
              <w:ind w:left="340"/>
              <w:spacing w:after="0" w:line="168" w:lineRule="exact"/>
              <w:rPr>
                <w:sz w:val="20"/>
                <w:szCs w:val="20"/>
                <w:color w:val="auto"/>
              </w:rPr>
            </w:pPr>
            <w:r>
              <w:rPr>
                <w:rFonts w:ascii="Times New Roman" w:cs="Times New Roman" w:eastAsia="Times New Roman" w:hAnsi="Times New Roman"/>
                <w:sz w:val="17"/>
                <w:szCs w:val="17"/>
                <w:color w:val="auto"/>
              </w:rPr>
              <w:t>Preferred stock, $1.00 par value, shares authorized: 100 shares of Series A and 2,000,000 shares of Series B; none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issued and outstanding</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864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Common stock, $0.01 par value, shares authorized: 50,000,000 at December 31, 2024 and 2023; shares issued and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6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outstanding: 22,155,735 at December 31, 2024 and 21,813,266 at December 31, 2023</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Paid-in capital</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277,728</w:t>
            </w:r>
          </w:p>
        </w:tc>
        <w:tc>
          <w:tcPr>
            <w:tcW w:w="0" w:type="dxa"/>
            <w:vAlign w:val="bottom"/>
          </w:tcPr>
          <w:p>
            <w:pPr>
              <w:spacing w:after="0"/>
              <w:rPr>
                <w:sz w:val="1"/>
                <w:szCs w:val="1"/>
                <w:color w:val="auto"/>
              </w:rPr>
            </w:pPr>
          </w:p>
        </w:tc>
      </w:tr>
      <w:tr>
        <w:trPr>
          <w:trHeight w:val="220"/>
        </w:trPr>
        <w:tc>
          <w:tcPr>
            <w:tcW w:w="8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(13,568)</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229,923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230,879</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634,310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667,142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 except per share data)</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6"/>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682,952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686,683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0" w:type="dxa"/>
            <w:vAlign w:val="bottom"/>
          </w:tcPr>
          <w:p>
            <w:pPr>
              <w:spacing w:after="0"/>
              <w:rPr>
                <w:sz w:val="1"/>
                <w:szCs w:val="1"/>
                <w:color w:val="auto"/>
              </w:rPr>
            </w:pPr>
          </w:p>
        </w:tc>
      </w:tr>
      <w:tr>
        <w:trPr>
          <w:trHeight w:val="22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422,249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467,346</w:t>
            </w:r>
          </w:p>
        </w:tc>
        <w:tc>
          <w:tcPr>
            <w:tcW w:w="0" w:type="dxa"/>
            <w:vAlign w:val="bottom"/>
          </w:tcPr>
          <w:p>
            <w:pPr>
              <w:spacing w:after="0"/>
              <w:rPr>
                <w:sz w:val="1"/>
                <w:szCs w:val="1"/>
                <w:color w:val="auto"/>
              </w:rPr>
            </w:pPr>
          </w:p>
        </w:tc>
      </w:tr>
      <w:tr>
        <w:trPr>
          <w:trHeight w:val="21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260,316</w:t>
            </w: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74,948</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154,545</w:t>
            </w: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expenses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Wallace facility remediation expense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5,140</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27,084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31,941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24,263</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(17,205)</w:t>
            </w: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 to market (loss) gain on interest rate derivatives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extinguishments of debt, net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equity securities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 and equity in losses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9,029</w:t>
            </w: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losses, net of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LOSS PER COMMON SHARE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DILUTED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4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(0.29)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6"/>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5"/>
                <w:szCs w:val="15"/>
                <w:color w:val="auto"/>
              </w:rPr>
            </w:pPr>
          </w:p>
        </w:tc>
      </w:tr>
      <w:tr>
        <w:trPr>
          <w:trHeight w:val="23"/>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7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r>
      <w:tr>
        <w:trPr>
          <w:trHeight w:val="220"/>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0"/>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change in translation adjustment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r>
      <w:tr>
        <w:trPr>
          <w:trHeight w:val="220"/>
        </w:trPr>
        <w:tc>
          <w:tcPr>
            <w:tcW w:w="7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change in cash flow hedges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20"/>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retirement benefit obligations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w:t>
            </w:r>
          </w:p>
        </w:tc>
      </w:tr>
      <w:tr>
        <w:trPr>
          <w:trHeight w:val="23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320" w:type="dxa"/>
            <w:vAlign w:val="bottom"/>
          </w:tcPr>
          <w:p>
            <w:pPr>
              <w:spacing w:after="0"/>
              <w:rPr>
                <w:sz w:val="15"/>
                <w:szCs w:val="15"/>
                <w:color w:val="auto"/>
              </w:rPr>
            </w:pPr>
          </w:p>
        </w:tc>
        <w:tc>
          <w:tcPr>
            <w:tcW w:w="18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4320" w:type="dxa"/>
            <w:vAlign w:val="bottom"/>
          </w:tcPr>
          <w:p>
            <w:pPr>
              <w:spacing w:after="0"/>
              <w:rPr>
                <w:sz w:val="24"/>
                <w:szCs w:val="24"/>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Retained earnings</w:t>
            </w: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24"/>
                <w:szCs w:val="24"/>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 deficit)</w:t>
            </w: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255,646</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3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repurchase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0" w:type="dxa"/>
            <w:vAlign w:val="bottom"/>
          </w:tcPr>
          <w:p>
            <w:pPr>
              <w:spacing w:after="0"/>
              <w:rPr>
                <w:sz w:val="1"/>
                <w:szCs w:val="1"/>
                <w:color w:val="auto"/>
              </w:rPr>
            </w:pPr>
          </w:p>
        </w:tc>
      </w:tr>
      <w:tr>
        <w:trPr>
          <w:trHeight w:val="212"/>
        </w:trPr>
        <w:tc>
          <w:tcPr>
            <w:tcW w:w="4320" w:type="dxa"/>
            <w:vAlign w:val="bottom"/>
            <w:tcBorders>
              <w:top w:val="single" w:sz="8" w:color="CCEEFF"/>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8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21,780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274,579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1,145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(35,854)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240,088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20" w:type="dxa"/>
            <w:vAlign w:val="bottom"/>
            <w:tcBorders>
              <w:top w:val="single" w:sz="8" w:color="CCEEFF"/>
            </w:tcBorders>
            <w:vMerge w:val="continue"/>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(8,412)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(8,412)</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0" w:type="dxa"/>
            <w:vAlign w:val="bottom"/>
          </w:tcPr>
          <w:p>
            <w:pPr>
              <w:spacing w:after="0"/>
              <w:rPr>
                <w:sz w:val="1"/>
                <w:szCs w:val="1"/>
                <w:color w:val="auto"/>
              </w:rPr>
            </w:pPr>
          </w:p>
        </w:tc>
      </w:tr>
      <w:tr>
        <w:trPr>
          <w:trHeight w:val="245"/>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3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0" w:type="dxa"/>
            <w:vAlign w:val="bottom"/>
          </w:tcPr>
          <w:p>
            <w:pPr>
              <w:spacing w:after="0"/>
              <w:rPr>
                <w:sz w:val="1"/>
                <w:szCs w:val="1"/>
                <w:color w:val="auto"/>
              </w:rPr>
            </w:pPr>
          </w:p>
        </w:tc>
      </w:tr>
      <w:tr>
        <w:trPr>
          <w:trHeight w:val="168"/>
        </w:trPr>
        <w:tc>
          <w:tcPr>
            <w:tcW w:w="43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repurchase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(2,539)</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w:t>
            </w:r>
          </w:p>
        </w:tc>
        <w:tc>
          <w:tcPr>
            <w:tcW w:w="0" w:type="dxa"/>
            <w:vAlign w:val="bottom"/>
          </w:tcPr>
          <w:p>
            <w:pPr>
              <w:spacing w:after="0"/>
              <w:rPr>
                <w:sz w:val="1"/>
                <w:szCs w:val="1"/>
                <w:color w:val="auto"/>
              </w:rPr>
            </w:pPr>
          </w:p>
        </w:tc>
      </w:tr>
      <w:tr>
        <w:trPr>
          <w:trHeight w:val="187"/>
        </w:trPr>
        <w:tc>
          <w:tcPr>
            <w:tcW w:w="432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84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21,813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277,728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(13,568)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(33,499)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230,879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(15,165)</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15,184</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(3,817)</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22,156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280,566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(32,550)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229,923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60" w:hanging="457"/>
        <w:spacing w:after="0"/>
        <w:tabs>
          <w:tab w:leader="none" w:pos="46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dividend declared per share of common stock, were $0.17, $0.17 and $0.17 in 2022, 2023 and 2024, respectively.</w:t>
      </w:r>
    </w:p>
    <w:p>
      <w:pPr>
        <w:spacing w:after="0" w:line="1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01"/>
        </w:trPr>
        <w:tc>
          <w:tcPr>
            <w:tcW w:w="7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4"/>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(15,165)</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(6,166)</w:t>
            </w:r>
          </w:p>
        </w:tc>
      </w:tr>
      <w:tr>
        <w:trPr>
          <w:trHeight w:val="210"/>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4"/>
        </w:trPr>
        <w:tc>
          <w:tcPr>
            <w:tcW w:w="7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19,536</w:t>
            </w: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of financing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1,809</w:t>
            </w:r>
          </w:p>
        </w:tc>
      </w:tr>
      <w:tr>
        <w:trPr>
          <w:trHeight w:val="204"/>
        </w:trPr>
        <w:tc>
          <w:tcPr>
            <w:tcW w:w="7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Mark to market loss (gain) on interest rate derivatives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Operating leases,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r>
      <w:tr>
        <w:trPr>
          <w:trHeight w:val="204"/>
        </w:trPr>
        <w:tc>
          <w:tcPr>
            <w:tcW w:w="7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662</w:t>
            </w: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r>
      <w:tr>
        <w:trPr>
          <w:trHeight w:val="204"/>
        </w:trPr>
        <w:tc>
          <w:tcPr>
            <w:tcW w:w="7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3,846</w:t>
            </w: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Equity in losses, net of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9,467</w:t>
            </w:r>
          </w:p>
        </w:tc>
      </w:tr>
      <w:tr>
        <w:trPr>
          <w:trHeight w:val="204"/>
        </w:trPr>
        <w:tc>
          <w:tcPr>
            <w:tcW w:w="7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Contingent consideration fair value adjustment</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 on extinguishments of debt, net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Loss on equity securities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Wallace facility remediation expense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5,140</w:t>
            </w:r>
          </w:p>
        </w:tc>
      </w:tr>
      <w:tr>
        <w:trPr>
          <w:trHeight w:val="204"/>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 (excluding the effects of business acquisitions)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33,889</w:t>
            </w:r>
          </w:p>
        </w:tc>
      </w:tr>
      <w:tr>
        <w:trPr>
          <w:trHeight w:val="204"/>
        </w:trPr>
        <w:tc>
          <w:tcPr>
            <w:tcW w:w="7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47,443</w:t>
            </w: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w:t>
            </w:r>
          </w:p>
        </w:tc>
      </w:tr>
      <w:tr>
        <w:trPr>
          <w:trHeight w:val="204"/>
        </w:trPr>
        <w:tc>
          <w:tcPr>
            <w:tcW w:w="7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(81,365)</w:t>
            </w:r>
          </w:p>
        </w:tc>
      </w:tr>
      <w:tr>
        <w:trPr>
          <w:trHeight w:val="210"/>
        </w:trPr>
        <w:tc>
          <w:tcPr>
            <w:tcW w:w="7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197"/>
        </w:trPr>
        <w:tc>
          <w:tcPr>
            <w:tcW w:w="72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24,319</w:t>
            </w:r>
          </w:p>
        </w:tc>
      </w:tr>
      <w:tr>
        <w:trPr>
          <w:trHeight w:val="19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4"/>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r>
      <w:tr>
        <w:trPr>
          <w:trHeight w:val="210"/>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Acquisition</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(17,956)</w:t>
            </w:r>
          </w:p>
        </w:tc>
      </w:tr>
      <w:tr>
        <w:trPr>
          <w:trHeight w:val="197"/>
        </w:trPr>
        <w:tc>
          <w:tcPr>
            <w:tcW w:w="72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(20,931)</w:t>
            </w:r>
          </w:p>
        </w:tc>
      </w:tr>
      <w:tr>
        <w:trPr>
          <w:trHeight w:val="19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4"/>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276,288</w:t>
            </w:r>
          </w:p>
        </w:tc>
      </w:tr>
      <w:tr>
        <w:trPr>
          <w:trHeight w:val="210"/>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(265,662)</w:t>
            </w:r>
          </w:p>
        </w:tc>
      </w:tr>
      <w:tr>
        <w:trPr>
          <w:trHeight w:val="204"/>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Term Loan</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Repayments of Term Loan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w:t>
            </w:r>
          </w:p>
        </w:tc>
      </w:tr>
      <w:tr>
        <w:trPr>
          <w:trHeight w:val="204"/>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10"/>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for finance lease obligations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4"/>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of tax withholding for stock based compensation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10"/>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w:t>
            </w:r>
          </w:p>
        </w:tc>
      </w:tr>
      <w:tr>
        <w:trPr>
          <w:trHeight w:val="204"/>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for stock repurchase</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w:t>
            </w:r>
          </w:p>
        </w:tc>
      </w:tr>
      <w:tr>
        <w:trPr>
          <w:trHeight w:val="210"/>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w:t>
            </w:r>
          </w:p>
        </w:tc>
      </w:tr>
      <w:tr>
        <w:trPr>
          <w:trHeight w:val="197"/>
        </w:trPr>
        <w:tc>
          <w:tcPr>
            <w:tcW w:w="72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(61,062)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(7,617)</w:t>
            </w:r>
          </w:p>
        </w:tc>
      </w:tr>
      <w:tr>
        <w:trPr>
          <w:trHeight w:val="20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on cash</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19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w:t>
            </w: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27,982</w:t>
            </w:r>
          </w:p>
        </w:tc>
      </w:tr>
      <w:tr>
        <w:trPr>
          <w:trHeight w:val="19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23,598</w:t>
            </w:r>
          </w:p>
        </w:tc>
      </w:tr>
      <w:tr>
        <w:trPr>
          <w:trHeight w:val="22"/>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business</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9"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for financial information and with the instructions to Form 10-K.</w:t>
      </w:r>
    </w:p>
    <w:p>
      <w:pPr>
        <w:spacing w:after="0" w:line="15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allowances for doubtful accounts, reserves for sales returns and allowances and customer chargebacks, inventory mark-down provisions, impairment of goodwill, intangible assets and long-lived assets, stock-based compensation expense, derivative valuations, accruals related to the Company’s tax positions and tax valuation allowances. Although these and other estimates and assumptions are based on the best available information, actual results could be materially different from these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19"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its subsidiaries. All intercompany accounts and transactions have been eliminated in consolidation.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and uncertainties</w:t>
      </w:r>
    </w:p>
    <w:p>
      <w:pPr>
        <w:spacing w:after="0" w:line="119"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Company’s current estimates contemplate current and expected future conditions, as applicable, it is reasonably possible that actual conditions could differ from expectations, which could materially affect the Company’s results of operations and financial position.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Company has certain foreign subsidiaries in which the functional currency is the local currency. Foreign currency denominated assets and liabilities at these subsidiaries are translated into U.S. dollars at exchange rates prevailing at the balance sheet dates. Revenues, costs and expenses are translated into U.S. dollars at average exchange rates for the relevant period. Income and losses resulting from translation are recorded as a cumulative translation adjustment in accumulated other comprehensive income (loss).</w:t>
      </w:r>
    </w:p>
    <w:p>
      <w:pPr>
        <w:spacing w:after="0" w:line="170"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The Company and its foreign subsidiaries conduct business in currencies other than their respective functional currencies. Transactions are remeasured to the subsidiaries’ functional currency at the exchange rate in effect on the dates of such transactions.</w:t>
      </w:r>
    </w:p>
    <w:p>
      <w:pPr>
        <w:spacing w:after="0" w:line="1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Foreign currency gains and losses relating to the differences between these recorded amounts and the functional currency equivalent actually received or paid are included within selling, general and administrative expenses. The foreign currency losses were $0.6 million $0.1 million, and $1.5 million for the years ended 2024, 2023, and 2022,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 REVENUE for additional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9"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Cost of sales consist primarily of costs associated with the production and procurement of product, inbound freight costs, purchasing costs, duties and tariffs, royalties and other product procurement related charges. Handling costs of products sold are also included in cost of sales.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Distribution expenses consist primarily of warehousing expenses and freight-out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expenses</w:t>
      </w:r>
    </w:p>
    <w:p>
      <w:pPr>
        <w:spacing w:after="0" w:line="119"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Advertising expenses are expensed as incurred and are included in selling, general and administrative expenses. Advertising expenses were $7.8 million, $7.5 million and $6.8 million for the years ended December 31, 2024, 2023 and 2022,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119"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also maintains an allowance for anticipated customer deductions. Contractual deductions for incentives and promotions granted to customers such as cooperative advertising, are recorded as a reduction to accounts receivable at the time of the sale. These deductions are primarily fixed amounts, however, in certain cases, these deductions are not fixed and, therefore, the allowance is estimated based on currently available information and historical trends of deductions.</w:t>
      </w:r>
    </w:p>
    <w:p>
      <w:pPr>
        <w:spacing w:after="0" w:line="167"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The sales of accounts receivable, under the Company’s Receivable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Property and equipment is stated at cost. Equipment under finance leases is recorded at the present value of the total minimum lease payments. Property and equipment, other than leasehold improvements and equipment under finance leases, are depreciated using the straight-line method over the estimated useful lives of the assets. Buildings are depreciated over 30 years, machinery and equipment and computer hardware and software are depreciated over periods ranging from 3 years to 10 years. Leasehold improvements are amortized over the term of the lease or the estimated useful lives of the improvements, whichever is shorter. Equipment under finance leases are amortized over the shorter of the lease term or the assets’ useful lives. Advances paid towards the acquisition of property and equipment and the cost of property and equipment not ready for use before the end of the period are classified as construction in progress.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considers all highly liquid instruments with a maturity of three months or less when purchased to be cash equivalents.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19"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The Company’s cash and cash equivalents are potentially subject to concentration of credit risk. The Company maintains cash with several financial institutions that, in some cases, is in excess of Federal Deposit Insurance Corporation insurance limits.</w:t>
      </w:r>
    </w:p>
    <w:p>
      <w:pPr>
        <w:spacing w:after="0" w:line="151" w:lineRule="exact"/>
        <w:rPr>
          <w:sz w:val="20"/>
          <w:szCs w:val="20"/>
          <w:color w:val="auto"/>
        </w:rPr>
      </w:pPr>
    </w:p>
    <w:p>
      <w:pPr>
        <w:ind w:right="1960"/>
        <w:spacing w:after="0" w:line="288" w:lineRule="auto"/>
        <w:rPr>
          <w:sz w:val="20"/>
          <w:szCs w:val="20"/>
          <w:color w:val="auto"/>
        </w:rPr>
      </w:pPr>
      <w:r>
        <w:rPr>
          <w:rFonts w:ascii="Times New Roman" w:cs="Times New Roman" w:eastAsia="Times New Roman" w:hAnsi="Times New Roman"/>
          <w:sz w:val="17"/>
          <w:szCs w:val="17"/>
          <w:color w:val="auto"/>
        </w:rPr>
        <w:t>Concentrations of credit risk with respect to trade accounts receivables is limited due to the large number of entities comprising the Company’s customer base, however the Company’s largest customers may account for a higher percentage of the outstanding balance.</w:t>
      </w:r>
    </w:p>
    <w:p>
      <w:pPr>
        <w:spacing w:after="0" w:line="15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2024, 2023 and 2022, Wal-Mart Stores, Inc. (“Walmart”), accounted for 19%, 21% and 19% of consolidated net sales, respectively. During the years ended December 31, 2024, 2023 and 2022, sales to Costco Wholesale Corporation (“Costco”) accounted for 11%, 11%, and 13% of consolidated net sales. During the year ended December 31, 2024, 2023 and 2022, Amazon.com Inc., (“Amazon”), accounted for 13%, 11% and 11% of consolidated net sales. Sales to Costco and Amazon are included in the Company’s U.S. and International segments. No other customers accounted for 10% or more of the Company’s sales during these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Financial Accounting Standards Board (“FASB”) Accounting Standards Codification (“ASC”) Topic 820, Fair Value Measurements and Disclosures, provides enhanced guidance for using fair value to measure assets and liabilities and establishes a common definition of fair value, provides a framework for measuring fair value under U.S. GAAP and expands disclosure requirements about fair value measurements. Fair value measurements included in the Company’s consolidated financial statements relate to the fair value of the Vasconia investment that use Level 3 unobservable inputs as described in NOTE 5 — EQUITY INVESTMENTS, the Company’s annual goodwill and other intangible asset impairment tests that use Level 3 unobservable inputs as described in NOTE 6 — GOODWILL AND INTANGIBLE ASSETS and derivatives that use Level 2 observable inputs as described in NOTE 8 — DERIVATIVES.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1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approximate fair value since such borrowings bear interest at variable market rates.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hedges and have been designated as part of a hedging relationship for accounting purposes are included in accumulated other comprehensive loss and are subsequently recognized in the Company’s consolidated statements of operations in the same period that the hedged items are recognized in earnings. Changes in fair value of derivatives that do not qualify as hedging instruments for accounting purposes are recorded in the consolidated statements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intangible assets and long-lived assets</w:t>
      </w:r>
    </w:p>
    <w:p>
      <w:pPr>
        <w:spacing w:after="0" w:line="119"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instead, are subject to an annual impairment assessment on October 1. Additionally, if events or conditions were to indicate the carrying value of a reporting unit may not be recoverable, the Company would evaluate goodwill and other intangible assets for impairment at that time.</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ASC Topic 350, Intangibles – Goodwill and Other. If, after assessing qualitative factors, the Company determines that it is more likely than not that the fair value of a reporting unit exceed its carrying amount, then no further testing is performed for that reporting unit.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See NOTE 6 — GOODWILL AND INTANGIBLE ASSETS for further discussion regarding goodwill impairment.</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Company has the option to first assess qualitative factors to determine whether it is more likely than not that an indefinite-lived intangible asset is impaired as a basis for determining whether it is necessary to perform the quantitative impairment test. If the qualitative assessment determines that it is more likely than not that the fair value of the intangible asset is more than its carrying amount, then the Company concludes that the intangible asset is not impaired. If the Company does not choose to perform the qualitative assessment, or if the qualitative assessment determines that it is more likely than not that the fair value of the indefinite-lived intangible asset is less than its carrying amount, then the Company calculates the fair value of the intangible asset and compares it to the corresponding carrying value. If the carrying amount of the indefinite-lived intangible asset exceeds its fair value, an impairment loss is recognized for the excess carrying value over the fair value. See NOTE 6 — GOODWILL AND INTANGIBLE ASSETS for further discussion regarding indefinite-lived intangible asset impairment testing.</w:t>
      </w:r>
    </w:p>
    <w:p>
      <w:pPr>
        <w:spacing w:after="0" w:line="38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spacing w:after="0" w:line="17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The Company applies the authoritative guidance for the financial statement recognition, measurement and disclosure of uncertain tax positions recognized in the Company’s financial statements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accounts for its share-based compensation arrangements in accordance with ASC Topic 718, Compensation: Stock-based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1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uses the Black-Scholes option valuation model to estimate the fair value of its stock options. The Black-Scholes option valuation model requires the input of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as determined by the Compensation Committee of the Board of Directors, by the end of the performance period.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167"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Cash-settled performance-based awards represent the right to receive up to 150% of the target number of deferred stock units with payment in cash equivalent to the value of one share of the Company’s common stock. The number of deferred stock units earned will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be determined based on the attainment of specified performance goals at the end of the performance period, as determined by the Compensation Committee of the Board of Directors. The cash-settled performance-based awards are subject to the terms and conditions of the Company’s Plan. Compensation expense for cash-settled performance-based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cash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settled performance-based awards are liability-classified awards and are recorded within accrued expenses and other long-term liabilities in the Company’s consolidated balance sheet. These awards are remeasured to fair value at the end of each reporting period until settlement. The cash-settled performance-based awards vest at the end of a three year period, as determined by the Compensation Committee.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included in property and equipment, net, accrued expenses and other long-term liabilities. The Company’s finance leases are not material to the Company’s consolidated balance sheets.</w:t>
      </w:r>
    </w:p>
    <w:p>
      <w:pPr>
        <w:spacing w:after="0" w:line="1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Periods to extend the lease are included in the lease term when the Company is reasonably certain that the extension option would be exercised, and the associated lease payments for such periods are reflected in the ROU asset and lease liability. Lease expense for minimum lease payments is recognized on a straight-line basis over the lease term.</w:t>
      </w:r>
    </w:p>
    <w:p>
      <w:pPr>
        <w:spacing w:after="0" w:line="177"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For certain equipment leases, the Company applies a portfolio approach to effectively account for any ROU assets and lease liabilities. Leases with an initial term of 12 months or less are not recorded on the balance sheet.</w:t>
      </w:r>
    </w:p>
    <w:p>
      <w:pPr>
        <w:spacing w:after="0" w:line="151"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healthcare</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 expenses</w:t>
      </w:r>
    </w:p>
    <w:p>
      <w:pPr>
        <w:spacing w:after="0" w:line="119"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17"/>
          <w:szCs w:val="17"/>
          <w:color w:val="auto"/>
        </w:rPr>
        <w:t>Costs associated with restructuring activities are recorded at fair value when a liability has been incurred. Generally, a liability has been incurred at the communication date for severance.</w:t>
      </w:r>
    </w:p>
    <w:p>
      <w:pPr>
        <w:spacing w:after="0" w:line="151"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During the year ended December 31, 2023, the Company incurred $0.8 million of restructuring expense in connection with the termination of the Company’s Executive Chairman as described below.</w:t>
      </w:r>
    </w:p>
    <w:p>
      <w:pPr>
        <w:spacing w:after="0" w:line="15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2022, the Company’s international segment incurred $0.4 million of restructuring expenses related to severance associated with the reorganization of the International segment’s workforce. The reorganization was the result of the Company’s efforts to realign the management and operating structure of the European business in response to changing market conditions.</w:t>
      </w:r>
    </w:p>
    <w:p>
      <w:pPr>
        <w:spacing w:after="0" w:line="167" w:lineRule="exact"/>
        <w:rPr>
          <w:sz w:val="20"/>
          <w:szCs w:val="20"/>
          <w:color w:val="auto"/>
        </w:rPr>
      </w:pPr>
    </w:p>
    <w:p>
      <w:pPr>
        <w:ind w:right="900"/>
        <w:spacing w:after="0" w:line="288" w:lineRule="auto"/>
        <w:rPr>
          <w:sz w:val="20"/>
          <w:szCs w:val="20"/>
          <w:color w:val="auto"/>
        </w:rPr>
      </w:pPr>
      <w:r>
        <w:rPr>
          <w:rFonts w:ascii="Times New Roman" w:cs="Times New Roman" w:eastAsia="Times New Roman" w:hAnsi="Times New Roman"/>
          <w:sz w:val="17"/>
          <w:szCs w:val="17"/>
          <w:color w:val="auto"/>
        </w:rPr>
        <w:t>In 2022, the Company’s U.S. segment incurred $0.4 million of restructuring expense in connection with the reorganization of the U.S. segment’s sales management structure. The payment was made in 2023.</w:t>
      </w:r>
    </w:p>
    <w:p>
      <w:pPr>
        <w:spacing w:after="0" w:line="15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 2022, the Company incurred $0.6 million of unallocated expense related to the termination payment with its Executive Chairman, Jeffrey Siegel. On November 1, 2022, the Company entered into a transition agreement with Jeffrey Siegel, which terminated his employment with the Company, effective March 31, 2023. The transition agreement amended Mr. Siegel’s employment agreement which was to expire on December 31, 2022. The employment agreement provided for a one-time payment, which was paid on April 7,</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2023. The one-time payment of $1.4 million, was recognized over the remaining employment period with $0.6 million recognized in the fourth quarter of 2022 and the remaining $0.8 million recognized in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19"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Adopted accounting pronouncements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 December 2024, the Company adopted Accounting Standards Update No. (“ASU”) 2023-07, Segment Reporting (Topic 280): Improvements to Reportable Segment Disclosures: which enhances the disclosures required for operating segments in the Company’s annual and interim consolidated financial statements. The Company adopted this guidance on a retrospective basis and the adoption did not have a material impact on the Company’s consolidated financial statements. Refer to NOTE 12 — BUSINESS SEGMENTS.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19"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Updates not listed below were assessed and either determined to not be applicable or are expected to have a minimal effect on the Company’s financial position, results of operations, and disclosures.</w:t>
      </w:r>
    </w:p>
    <w:p>
      <w:pPr>
        <w:spacing w:after="0" w:line="15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spacing w:after="0" w:line="17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REVENUE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$3.2 million, $2.7 million and $4.6 million for the years ended December 31, 2024, 2023 and 2022, respectively. Net sales exclude taxes that are collected from customers and remitted to the taxing authorities.</w:t>
      </w:r>
    </w:p>
    <w:p>
      <w:pPr>
        <w:spacing w:after="0" w:line="1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estimating the extent to which the components of variable consideration are constrained. Payment terms vary by customer, but generally range from 30 to 90 days or at the point of sale for the Company’s retail direct sales.</w:t>
      </w:r>
    </w:p>
    <w:p>
      <w:pPr>
        <w:spacing w:after="0" w:line="15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16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following tables present the Company’s net sales disaggregated by segment, product category and geographic region for the years ended December 31, 2024,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color w:val="auto"/>
                <w:w w:val="97"/>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U.S. segment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Kitchenware</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386,681</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402,869</w:t>
            </w:r>
          </w:p>
        </w:tc>
      </w:tr>
      <w:tr>
        <w:trPr>
          <w:trHeight w:val="22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Tableware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148,775</w:t>
            </w:r>
          </w:p>
        </w:tc>
      </w:tr>
      <w:tr>
        <w:trPr>
          <w:trHeight w:val="220"/>
        </w:trPr>
        <w:tc>
          <w:tcPr>
            <w:tcW w:w="6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Home Solutions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110,133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117,535</w:t>
            </w:r>
          </w:p>
        </w:tc>
      </w:tr>
      <w:tr>
        <w:trPr>
          <w:trHeight w:val="21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U.S. segment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627,202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669,179</w:t>
            </w:r>
          </w:p>
        </w:tc>
      </w:tr>
      <w:tr>
        <w:trPr>
          <w:trHeight w:val="187"/>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International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58,483</w:t>
            </w:r>
          </w:p>
        </w:tc>
      </w:tr>
      <w:tr>
        <w:trPr>
          <w:trHeight w:val="213"/>
        </w:trPr>
        <w:tc>
          <w:tcPr>
            <w:tcW w:w="69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Total net sales</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686,683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727,662</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9"/>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color w:val="auto"/>
                <w:w w:val="97"/>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599,488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640,021</w:t>
            </w: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38,210</w:t>
            </w: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49,431</w:t>
            </w:r>
          </w:p>
        </w:tc>
      </w:tr>
      <w:tr>
        <w:trPr>
          <w:trHeight w:val="213"/>
        </w:trPr>
        <w:tc>
          <w:tcPr>
            <w:tcW w:w="69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Total net sales</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686,683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727,662</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LEASES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Company has operating leases for corporate offices, distribution facilities, manufacturing plants, and certain vehicles. Leases with an initial term of 12 months or less are not recorded on the condensed consolidated balance sheets. The Company has elected the practical expedient to account for each separate lease component of a contract and its associated non-lease components as a single lease component, thus causing all fixed payments to be capitalized. Variable lease payment amounts that cannot be determined at the commencement of the lease, such as increases in lease payments that do not depend on changes in index rates or payments based on usage, are not included in the ROU assets or liabilities. These are expensed as incurred and recorded as variable lease expense.</w:t>
      </w:r>
    </w:p>
    <w:p>
      <w:pPr>
        <w:spacing w:after="0" w:line="17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costs for the year ended December 31, 2024, 2023 and 2022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
        </w:trPr>
        <w:tc>
          <w:tcPr>
            <w:tcW w:w="5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3"/>
        </w:trPr>
        <w:tc>
          <w:tcPr>
            <w:tcW w:w="54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0"/>
        </w:trPr>
        <w:tc>
          <w:tcPr>
            <w:tcW w:w="544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7"/>
                <w:szCs w:val="17"/>
                <w:color w:val="auto"/>
              </w:rPr>
              <w:t xml:space="preserve">Operating lease costs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lease expense</w:t>
            </w:r>
          </w:p>
        </w:tc>
        <w:tc>
          <w:tcPr>
            <w:tcW w:w="122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17,855</w:t>
            </w:r>
          </w:p>
        </w:tc>
      </w:tr>
      <w:tr>
        <w:trPr>
          <w:trHeight w:val="22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4,698</w:t>
            </w: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23,265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22,343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22,553</w:t>
            </w:r>
          </w:p>
        </w:tc>
      </w:tr>
      <w:tr>
        <w:trPr>
          <w:trHeight w:val="20"/>
        </w:trPr>
        <w:tc>
          <w:tcPr>
            <w:tcW w:w="5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460" w:hanging="457"/>
        <w:spacing w:after="0"/>
        <w:tabs>
          <w:tab w:leader="none" w:pos="4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Expenses are recorded within distribution expenses and selling, general and administrative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for the year ended December 31, 2024, 2023 and 2022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
        </w:trPr>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3"/>
        </w:trPr>
        <w:tc>
          <w:tcPr>
            <w:tcW w:w="5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19,338</w:t>
            </w:r>
          </w:p>
        </w:tc>
      </w:tr>
      <w:tr>
        <w:trPr>
          <w:trHeight w:val="23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66"/>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3"/>
        </w:trPr>
        <w:tc>
          <w:tcPr>
            <w:tcW w:w="54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4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r>
      <w:tr>
        <w:trPr>
          <w:trHeight w:val="23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Included in machinery, furniture and equipment as of December 31, 2024 and 2023 is $0.3 million and $0.2 million, respectively, related to assets recorded under finance leases. Included in accumulated depreciation and amortization at December 31, 2024 and December 31, 2023 were less than $0.1 million, related to assets recorded under finance 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future lease payments for operating leases as of December 31, 2024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7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19,198</w:t>
            </w:r>
          </w:p>
        </w:tc>
        <w:tc>
          <w:tcPr>
            <w:tcW w:w="0" w:type="dxa"/>
            <w:vAlign w:val="bottom"/>
          </w:tcPr>
          <w:p>
            <w:pPr>
              <w:spacing w:after="0"/>
              <w:rPr>
                <w:sz w:val="1"/>
                <w:szCs w:val="1"/>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7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18,840</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7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14,606</w:t>
            </w:r>
          </w:p>
        </w:tc>
        <w:tc>
          <w:tcPr>
            <w:tcW w:w="0" w:type="dxa"/>
            <w:vAlign w:val="bottom"/>
          </w:tcPr>
          <w:p>
            <w:pPr>
              <w:spacing w:after="0"/>
              <w:rPr>
                <w:sz w:val="1"/>
                <w:szCs w:val="1"/>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7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12,819</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7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6,661</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7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13,572</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7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85,696</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27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(13,811)</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27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71,885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Average lease terms and discount rates were as follows:</w:t>
            </w:r>
          </w:p>
        </w:tc>
        <w:tc>
          <w:tcPr>
            <w:tcW w:w="27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6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9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7"/>
                <w:szCs w:val="17"/>
                <w:color w:val="auto"/>
              </w:rPr>
            </w:pPr>
          </w:p>
        </w:tc>
        <w:tc>
          <w:tcPr>
            <w:tcW w:w="16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27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7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0" w:type="dxa"/>
            <w:vAlign w:val="bottom"/>
          </w:tcPr>
          <w:p>
            <w:pPr>
              <w:spacing w:after="0"/>
              <w:rPr>
                <w:sz w:val="1"/>
                <w:szCs w:val="1"/>
                <w:color w:val="auto"/>
              </w:rPr>
            </w:pPr>
          </w:p>
        </w:tc>
      </w:tr>
      <w:tr>
        <w:trPr>
          <w:trHeight w:val="707"/>
        </w:trPr>
        <w:tc>
          <w:tcPr>
            <w:tcW w:w="4660" w:type="dxa"/>
            <w:vAlign w:val="bottom"/>
          </w:tcPr>
          <w:p>
            <w:pPr>
              <w:spacing w:after="0"/>
              <w:rPr>
                <w:sz w:val="24"/>
                <w:szCs w:val="24"/>
                <w:color w:val="auto"/>
              </w:rPr>
            </w:pPr>
          </w:p>
        </w:tc>
        <w:tc>
          <w:tcPr>
            <w:tcW w:w="4660" w:type="dxa"/>
            <w:vAlign w:val="bottom"/>
            <w:gridSpan w:val="2"/>
          </w:tcPr>
          <w:p>
            <w:pPr>
              <w:jc w:val="right"/>
              <w:ind w:right="3471"/>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-16</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 January 23, 2025, the Company entered into a lease agreement for a new distribution center in Hagerstown, Maryland (“Hagerstown Facility”). The term of the lease is 180 months following the rent commencement date, which will occur in the first quarter of 2026. Base rent for the first year of the lease is $7.3 million, escalating by 3% annually. A portion of the base rent will be abated for the first 36 months at the annual prevailing rate for a total rent abatement of $7.2 million. The lease agreement also includes a total tenant improvement allowance of $5.1 million.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SALE OF ACCOUNTS RECEIVABLE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receivables (the “Receivables”) to HSBC Bank USA, which may accept such offer, and purchase the offered Receivables. Under the Receivables Purchase Agreement, following each purchase of Receivables, the outstanding aggregate purchased Receivables shall not exceed $30.0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automatically extends for annual successive terms unless terminated. Either party may terminate the agreement at any time upon 60 days prior written notice to the other party. The Company did not sell receivables to HSBC during the year ended December 31, 2024 and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2024, $26.0 million of accounts receivables were available for sale to HSBC, net of applicable charges.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EQUITY INVESTMENTS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Company owns 24.7% interest in Grupo Vasconia S.A.B (“Vasconia”), an integrated manufacturer of aluminum products and a housewares company in Mexico. Shares of Vasconia’s capital stock are traded on the Bolsa Mexicana de Valores, the Mexican Stock Exchange. The Quotation Key is VASCONI. During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recent events constituted a loss of significant influence and resulted in the discontinuation of the equity method of accounting. The Company accounts for its Vasconia investment at fair value in accordance with Accounting Standards Codification (“ASC”) Topic 321: Investments — Equity Securities, with any changes in fair value recorded within income (loss) on equity securities on the consolidated statements of operations. As a result of the loss of significant influence, the accumulated other comprehensive losses previously recognized under the equity method of accounting were reclassified to the carrying value of the Vasconia investment and subsequently resulted in a non-cash loss of $14.2 million to reduce the investment to its fair value during the three months ended June 30, 2024. The fair value of the Vasconia investment was not material as of December 31, 2024.</w:t>
      </w:r>
    </w:p>
    <w:p>
      <w:pPr>
        <w:spacing w:after="0" w:line="181"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17"/>
          <w:szCs w:val="17"/>
          <w:color w:val="auto"/>
        </w:rPr>
        <w:t>Given Vasconia’s limited trading activity, recent operating results of Vasconia and impact of the bankruptcy related activity, the fair value of the Vasconia investment was measured using the income approach based on Level 3 unobservable inputs.</w:t>
      </w:r>
    </w:p>
    <w:p>
      <w:pPr>
        <w:spacing w:after="0" w:line="15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Prior to accounting for the investment in Vasconia at fair value, equity in losses, net of taxes recognized for the years ended December 31, 2024, 2023 and 2022 in the accompanying consolidated statements of operations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6"/>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740" w:type="dxa"/>
            <w:vAlign w:val="bottom"/>
          </w:tcPr>
          <w:p>
            <w:pPr>
              <w:spacing w:after="0"/>
              <w:rPr>
                <w:sz w:val="15"/>
                <w:szCs w:val="15"/>
                <w:color w:val="auto"/>
              </w:rPr>
            </w:pPr>
          </w:p>
        </w:tc>
      </w:tr>
      <w:tr>
        <w:trPr>
          <w:trHeight w:val="23"/>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1"/>
        </w:trPr>
        <w:tc>
          <w:tcPr>
            <w:tcW w:w="7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Vasconia equity in losses, net of taxes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w:t>
            </w:r>
          </w:p>
        </w:tc>
      </w:tr>
      <w:tr>
        <w:trPr>
          <w:trHeight w:val="220"/>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on investment in Vasconia</w:t>
            </w:r>
          </w:p>
        </w:tc>
        <w:tc>
          <w:tcPr>
            <w:tcW w:w="2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(6,167)</w:t>
            </w:r>
          </w:p>
        </w:tc>
      </w:tr>
      <w:tr>
        <w:trPr>
          <w:trHeight w:val="23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(losses) earnings, net of taxes</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On March 13, 2025, the Company and Vasconia entered into Amendment No. 6 of the Shares Subscription Agreement, which among other items, terminated the Company’s rights to designate individuals to be nominated as members of Vasconia Board of Directors. The Company did not have any designated members to the Vasconia Board of Directors as of the date of the amendment.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intangible assets consist of the following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40" w:type="dxa"/>
            <w:vAlign w:val="bottom"/>
          </w:tcPr>
          <w:p>
            <w:pPr>
              <w:ind w:left="20"/>
              <w:spacing w:after="0" w:line="187" w:lineRule="exact"/>
              <w:rPr>
                <w:sz w:val="20"/>
                <w:szCs w:val="20"/>
                <w:color w:val="auto"/>
              </w:rPr>
            </w:pPr>
            <w:r>
              <w:rPr>
                <w:rFonts w:ascii="Times New Roman" w:cs="Times New Roman" w:eastAsia="Times New Roman" w:hAnsi="Times New Roman"/>
                <w:sz w:val="14"/>
                <w:szCs w:val="14"/>
                <w:b w:val="1"/>
                <w:bCs w:val="1"/>
                <w:color w:val="auto"/>
              </w:rPr>
              <w:t>Goodwill</w:t>
            </w:r>
            <w:r>
              <w:rPr>
                <w:rFonts w:ascii="Times New Roman" w:cs="Times New Roman" w:eastAsia="Times New Roman" w:hAnsi="Times New Roman"/>
                <w:sz w:val="17"/>
                <w:szCs w:val="17"/>
                <w:b w:val="1"/>
                <w:bCs w:val="1"/>
                <w:color w:val="auto"/>
                <w:vertAlign w:val="superscript"/>
              </w:rPr>
              <w:t>(1)</w:t>
            </w: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Indefinite - lived intangible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40" w:type="dxa"/>
            <w:vAlign w:val="bottom"/>
          </w:tcPr>
          <w:p>
            <w:pPr>
              <w:ind w:left="340"/>
              <w:spacing w:after="0" w:line="194" w:lineRule="exact"/>
              <w:rPr>
                <w:sz w:val="20"/>
                <w:szCs w:val="20"/>
                <w:color w:val="auto"/>
              </w:rPr>
            </w:pPr>
            <w:r>
              <w:rPr>
                <w:rFonts w:ascii="Times New Roman" w:cs="Times New Roman" w:eastAsia="Times New Roman" w:hAnsi="Times New Roman"/>
                <w:sz w:val="14"/>
                <w:szCs w:val="14"/>
                <w:color w:val="auto"/>
              </w:rPr>
              <w:t>Trade name</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Finite -lived intangible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Licenses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Trade names </w:t>
            </w:r>
            <w:r>
              <w:rPr>
                <w:rFonts w:ascii="Times New Roman" w:cs="Times New Roman" w:eastAsia="Times New Roman" w:hAnsi="Times New Roman"/>
                <w:sz w:val="17"/>
                <w:szCs w:val="17"/>
                <w:color w:val="auto"/>
                <w:vertAlign w:val="superscript"/>
              </w:rPr>
              <w:t>(2)</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38,631</w:t>
            </w:r>
          </w:p>
        </w:tc>
        <w:tc>
          <w:tcPr>
            <w:tcW w:w="0" w:type="dxa"/>
            <w:vAlign w:val="bottom"/>
          </w:tcPr>
          <w:p>
            <w:pPr>
              <w:spacing w:after="0"/>
              <w:rPr>
                <w:sz w:val="1"/>
                <w:szCs w:val="1"/>
                <w:color w:val="auto"/>
              </w:rPr>
            </w:pPr>
          </w:p>
        </w:tc>
      </w:tr>
      <w:tr>
        <w:trPr>
          <w:trHeight w:val="186"/>
        </w:trPr>
        <w:tc>
          <w:tcPr>
            <w:tcW w:w="3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Customer relationships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79,528</w:t>
            </w: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302,568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(119,041)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183,527</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302,607</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(103,474)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199,133</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right="200" w:hanging="457"/>
        <w:spacing w:after="0" w:line="217" w:lineRule="auto"/>
        <w:tabs>
          <w:tab w:leader="none" w:pos="448"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gross and net value at December 31, 2024 and 2023 reflect a reduction of $79.8 million impairment charges within U.S. segment and $11.9 million impairment charges within International segment.</w:t>
      </w:r>
    </w:p>
    <w:p>
      <w:pPr>
        <w:spacing w:after="0" w:line="42" w:lineRule="exact"/>
        <w:rPr>
          <w:rFonts w:ascii="Times New Roman" w:cs="Times New Roman" w:eastAsia="Times New Roman" w:hAnsi="Times New Roman"/>
          <w:sz w:val="18"/>
          <w:szCs w:val="18"/>
          <w:color w:val="auto"/>
          <w:vertAlign w:val="superscript"/>
        </w:rPr>
      </w:pPr>
    </w:p>
    <w:p>
      <w:pPr>
        <w:ind w:left="460" w:right="60" w:hanging="457"/>
        <w:spacing w:after="0" w:line="263" w:lineRule="auto"/>
        <w:tabs>
          <w:tab w:leader="none" w:pos="448"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2024, in connection with the annual impairment test completed as of October 1, 2024, the Company determined that one trade name, that was previously estimated to contribute to cash flows indefinitely, has a definite life. Accordingly, the trade name, with a carrying value of $42.0 million, was reclassified from indefinite-lived intangible asset to a finite-lived intangible asset as of October 1, 2024. The trade name is being amortized over an estimated useful life of 15 years.</w:t>
      </w:r>
    </w:p>
    <w:p>
      <w:pPr>
        <w:spacing w:after="0" w:line="200" w:lineRule="exact"/>
        <w:rPr>
          <w:sz w:val="20"/>
          <w:szCs w:val="20"/>
          <w:color w:val="auto"/>
        </w:rPr>
      </w:pPr>
    </w:p>
    <w:p>
      <w:pPr>
        <w:spacing w:after="0" w:line="270" w:lineRule="exact"/>
        <w:rPr>
          <w:sz w:val="20"/>
          <w:szCs w:val="20"/>
          <w:color w:val="auto"/>
        </w:rPr>
      </w:pPr>
    </w:p>
    <w:p>
      <w:pPr>
        <w:ind w:right="540"/>
        <w:spacing w:after="0" w:line="272" w:lineRule="auto"/>
        <w:rPr>
          <w:sz w:val="20"/>
          <w:szCs w:val="20"/>
          <w:color w:val="auto"/>
        </w:rPr>
      </w:pPr>
      <w:r>
        <w:rPr>
          <w:rFonts w:ascii="Times New Roman" w:cs="Times New Roman" w:eastAsia="Times New Roman" w:hAnsi="Times New Roman"/>
          <w:sz w:val="17"/>
          <w:szCs w:val="17"/>
          <w:color w:val="auto"/>
        </w:rPr>
        <w:t>A summary of the activities related to the Company’s intangible assets for the years ended December 31, 2024, 2023 and 2022 consists of the following (in thousands):</w:t>
      </w:r>
    </w:p>
    <w:tbl>
      <w:tblPr>
        <w:tblLayout w:type="fixed"/>
        <w:tblInd w:w="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Total Intangible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Assets and</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0" w:type="dxa"/>
            <w:vAlign w:val="bottom"/>
          </w:tcPr>
          <w:p>
            <w:pPr>
              <w:spacing w:after="0"/>
              <w:rPr>
                <w:sz w:val="1"/>
                <w:szCs w:val="1"/>
                <w:color w:val="auto"/>
              </w:rPr>
            </w:pPr>
          </w:p>
        </w:tc>
      </w:tr>
      <w:tr>
        <w:trPr>
          <w:trHeight w:val="21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2021</w:t>
            </w:r>
          </w:p>
        </w:tc>
        <w:tc>
          <w:tcPr>
            <w:tcW w:w="2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of goodwill</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of trade name</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2022</w:t>
            </w:r>
          </w:p>
        </w:tc>
        <w:tc>
          <w:tcPr>
            <w:tcW w:w="2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180,650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2023</w:t>
            </w:r>
          </w:p>
        </w:tc>
        <w:tc>
          <w:tcPr>
            <w:tcW w:w="2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2024</w:t>
            </w:r>
          </w:p>
        </w:tc>
        <w:tc>
          <w:tcPr>
            <w:tcW w:w="26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150,290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99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weighted-average amortization periods for the Company’s finite-lived intangible assets as of December 31, 2024 are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Licenses</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707"/>
        </w:trPr>
        <w:tc>
          <w:tcPr>
            <w:tcW w:w="4620" w:type="dxa"/>
            <w:vAlign w:val="bottom"/>
          </w:tcPr>
          <w:p>
            <w:pPr>
              <w:spacing w:after="0"/>
              <w:rPr>
                <w:sz w:val="24"/>
                <w:szCs w:val="24"/>
                <w:color w:val="auto"/>
              </w:rPr>
            </w:pPr>
          </w:p>
        </w:tc>
        <w:tc>
          <w:tcPr>
            <w:tcW w:w="2840" w:type="dxa"/>
            <w:vAlign w:val="bottom"/>
            <w:gridSpan w:val="2"/>
          </w:tcPr>
          <w:p>
            <w:pPr>
              <w:jc w:val="right"/>
              <w:ind w:right="1594"/>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2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80" w:type="dxa"/>
            <w:vAlign w:val="bottom"/>
          </w:tcPr>
          <w:p>
            <w:pPr>
              <w:jc w:val="center"/>
              <w:ind w:left="1194"/>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9980" w:type="dxa"/>
            <w:vAlign w:val="bottom"/>
          </w:tcPr>
          <w:p>
            <w:pPr>
              <w:jc w:val="center"/>
              <w:ind w:left="1174"/>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7"/>
        </w:trPr>
        <w:tc>
          <w:tcPr>
            <w:tcW w:w="9980" w:type="dxa"/>
            <w:vAlign w:val="bottom"/>
          </w:tcPr>
          <w:p>
            <w:pPr>
              <w:jc w:val="center"/>
              <w:ind w:left="1174"/>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827"/>
        </w:trPr>
        <w:tc>
          <w:tcPr>
            <w:tcW w:w="9980" w:type="dxa"/>
            <w:vAlign w:val="bottom"/>
          </w:tcPr>
          <w:p>
            <w:pPr>
              <w:spacing w:after="0"/>
              <w:rPr>
                <w:sz w:val="20"/>
                <w:szCs w:val="20"/>
                <w:color w:val="auto"/>
              </w:rPr>
            </w:pPr>
            <w:r>
              <w:rPr>
                <w:rFonts w:ascii="Times New Roman" w:cs="Times New Roman" w:eastAsia="Times New Roman" w:hAnsi="Times New Roman"/>
                <w:sz w:val="17"/>
                <w:szCs w:val="17"/>
                <w:color w:val="auto"/>
              </w:rPr>
              <w:t>Estimated amortization expense for each of the five succeeding fiscal years is as follows (in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6"/>
        </w:trPr>
        <w:tc>
          <w:tcPr>
            <w:tcW w:w="9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99"/>
              <w:spacing w:after="0" w:line="156" w:lineRule="exact"/>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88"/>
        </w:trPr>
        <w:tc>
          <w:tcPr>
            <w:tcW w:w="9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7"/>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17,432</w:t>
            </w:r>
          </w:p>
        </w:tc>
      </w:tr>
      <w:tr>
        <w:trPr>
          <w:trHeight w:val="220"/>
        </w:trPr>
        <w:tc>
          <w:tcPr>
            <w:tcW w:w="9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17,078</w:t>
            </w:r>
          </w:p>
        </w:tc>
      </w:tr>
      <w:tr>
        <w:trPr>
          <w:trHeight w:val="22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16,374</w:t>
            </w:r>
          </w:p>
        </w:tc>
      </w:tr>
      <w:tr>
        <w:trPr>
          <w:trHeight w:val="220"/>
        </w:trPr>
        <w:tc>
          <w:tcPr>
            <w:tcW w:w="9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15,915</w:t>
            </w:r>
          </w:p>
        </w:tc>
      </w:tr>
      <w:tr>
        <w:trPr>
          <w:trHeight w:val="22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15,403</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impairment test</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170"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7"/>
          <w:szCs w:val="17"/>
          <w:color w:val="auto"/>
        </w:rPr>
        <w:t>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17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w:t>
      </w:r>
    </w:p>
    <w:p>
      <w:pPr>
        <w:spacing w:after="0"/>
        <w:rPr>
          <w:sz w:val="20"/>
          <w:szCs w:val="20"/>
          <w:color w:val="auto"/>
        </w:rPr>
      </w:pPr>
      <w:r>
        <w:rPr>
          <w:rFonts w:ascii="Times New Roman" w:cs="Times New Roman" w:eastAsia="Times New Roman" w:hAnsi="Times New Roman"/>
          <w:sz w:val="17"/>
          <w:szCs w:val="17"/>
          <w:color w:val="auto"/>
        </w:rPr>
        <w:t>reporting unit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also evaluates qualitative factors to determine whether or not its indefinite-lived intangible have been impaired and then performs quantitative tests if required. These tests can include the relief from royalty model or other valuation models. The significant assumptions used in the relief from royalty model are future net sales for the related brand, royalty rate and the cost of capital to determine the fair value of the indefinite lived intangible. Projected net sales for the related brand and royalty rate were determined to be significant assumptions because they are the primary drivers of the projected cash flows in the relief from royalty model. Cost of capital was also determined to be a significant assumption as it is the discount rate used to calculate the current fair value of those projected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 Reporting Unit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value of the goodwill for the International reporting unit was zero as of December 31, 2024 and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Reporting Unit</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Company performed its annual impairment assessment of its U.S. reporting unit as of October 1, 2024 by comparing the fair value of the reporting unit with its carrying value. The Company performed the analysis using a discounted cash flow and market multiple method. As of October 1, 2024, the fair value of the U.S. reporting unit exceeded the carrying value of goodwill by 5.4%.</w:t>
      </w:r>
    </w:p>
    <w:p>
      <w:pPr>
        <w:spacing w:after="0" w:line="1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Management’s projections used to estimate the cash flows included organic net sales growth and net sales growth through new customer channels as well as continued operating efficiencies in future periods. Changes in any of the significant assumptions used in the valuation of the reporting unit, including projected net sales, projected EBITDA and cost of capital could materially affect the expected cash flows, and such impacts could potentially result in a material non-cash impairment charge.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December 31, 2024, the Company assessed the carrying value of goodwill and determined, based on qualitative factors, that no impairment indicators existed for goodwill.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indefinite-lived trade name impairment test</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values its indefinite-lived trade name using a relief-from-royalty approach, which assumes the value of the trade name is the discounted cash flows of the amount that would be paid by a hypothetical market participant had they not owned the trade name and instead licensed the trade name from another company.</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bypassed the optional qualitative impairment analysis for its indefinite-lived trade name asset annual October 1, 2024 impairment test. The Company completed the quantitative impairment analysis by comparing the fair value of the indefinite-lived trade name to its carrying value using a relief from royalty approach, which assumes the value of the trade name is the discounted cash flows of the amount that would be paid by a hypothetical market participant had they not owned the trade name and instead licensed the trade name from another company. The Company determined that the fair value exceeded its carrying value as of October 1, 2024, and therefore the indefinite-lived intangible asset was not impaired. As of October 1, 2024, the fair value of the Company’s indefinite-lived trade name exceeded its carrying value by 2.4%. In connection with the annual impairment analysis, the Company determined that the trade name, previously estimated to contribute to cash flows indefinitely, has a definite life. Accordingly, the trade name was reclassified from indefinite-lived to finite-lived or amortizable intangible asset as of October 1, 2024. The trade name will be amortized over an estimated useful life of 15 years.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DEBT</w:t>
      </w:r>
    </w:p>
    <w:p>
      <w:pPr>
        <w:spacing w:after="0" w:line="11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spacing w:after="0" w:line="17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spacing w:after="0" w:line="1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 Term Loan will be repaid in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spacing w:after="0" w:line="17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and 2023, the total availability under the ABL Agreement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176,329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181,919</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borrowings under the ABL Agreement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(60,395)</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w:t>
            </w:r>
          </w:p>
        </w:tc>
      </w:tr>
      <w:tr>
        <w:trPr>
          <w:trHeight w:val="213"/>
        </w:trPr>
        <w:tc>
          <w:tcPr>
            <w:tcW w:w="740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124,808</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118,630</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December 31, 2024, the availability under the ABL Agreement, limited by the Term Loan financial covenant, was $82.8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current and non-current portions of the Company’s Term Loan included in the consolidated balance sheets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Pr>
          <w:p>
            <w:pPr>
              <w:spacing w:after="0"/>
              <w:rPr>
                <w:sz w:val="18"/>
                <w:szCs w:val="18"/>
                <w:color w:val="auto"/>
              </w:rPr>
            </w:pPr>
          </w:p>
        </w:tc>
        <w:tc>
          <w:tcPr>
            <w:tcW w:w="196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0"/>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3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20"/>
        </w:trPr>
        <w:tc>
          <w:tcPr>
            <w:tcW w:w="6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 Loan payment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2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Estimated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portion of Term Loan</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3"/>
        </w:trPr>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0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portion of Term Loan:</w:t>
            </w: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3"/>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Term Loan, net of current portion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142,500</w:t>
            </w:r>
          </w:p>
        </w:tc>
      </w:tr>
      <w:tr>
        <w:trPr>
          <w:trHeight w:val="220"/>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Estimated unamortized debt issuance costs</w:t>
            </w: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(6,666)</w:t>
            </w:r>
          </w:p>
        </w:tc>
      </w:tr>
      <w:tr>
        <w:trPr>
          <w:trHeight w:val="23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portion of Term Loan</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130,949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135,834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estimated 2024 excess cash flow payment of $1.3 million will be applied to the 2025 scheduled quarterly payments of the Term Loan, per the terms of the debt agreement.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2024, the future principal payments of the Term Loan are as follows (in thousands):</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2"/>
        </w:trPr>
        <w:tc>
          <w:tcPr>
            <w:tcW w:w="9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20"/>
        </w:trPr>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2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127,500</w:t>
            </w:r>
          </w:p>
        </w:tc>
      </w:tr>
      <w:tr>
        <w:trPr>
          <w:trHeight w:val="213"/>
        </w:trPr>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142,500</w:t>
            </w:r>
          </w:p>
        </w:tc>
      </w:tr>
      <w:tr>
        <w:trPr>
          <w:trHeight w:val="20"/>
        </w:trPr>
        <w:tc>
          <w:tcPr>
            <w:tcW w:w="9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spacing w:after="0" w:line="1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December 31, 2024 was between 4.29% and 7.88%. The Company paid a commitment fee of 0.25% on the unused portion of the ABL Agreement during the year ended December 31, 2024.</w:t>
      </w:r>
    </w:p>
    <w:p>
      <w:pPr>
        <w:spacing w:after="0" w:line="17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Term Loan bears interest, at the Company’s option, at one of the following rates: (i) alternate base rate, defined, for any day, as the greater of (x) the prime rate, (y) a federal funds and overnight bank funding based rate plus 0.5%or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December 31, 2024 was 10.06%.</w:t>
      </w:r>
    </w:p>
    <w:p>
      <w:pPr>
        <w:spacing w:after="0" w:line="1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was in compliance with the covenants of the Debt Agreements at December 31, 2024.</w:t>
      </w:r>
    </w:p>
    <w:p>
      <w:pPr>
        <w:spacing w:after="0" w:line="21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was $1.5 million, net of fees and expenses.</w:t>
      </w:r>
    </w:p>
    <w:p>
      <w:pPr>
        <w:spacing w:after="0" w:line="1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In connection with the Term Loan Amendment, the Company reduced its outstanding principal by a net amount of $48.7 million through a voluntary prepayment of principal (in accordance with the terms of the original Term Loan Agreement), net of the issuance of new proceeds and an extension of a portion of existing Term Loan. In connection with the Term Loan Amendment that Company incurred fees of $9.1 million, which will be amortized over the life of the debt using the effective interest method. The Company recognized a loss of $0.7 million of unamortized debt issuance costs on the partial extinguishment for the portion of the Term Loan that was repaid.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Credit Agreements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 subsidiary of the Company holds a credit facility (“HSBC Facility”) with HSBC Bank (China) Company Limited, Shanghai Branch (“HSBC”) for up to $10.0 million Chinese renminbi ($1.4 million). The HSBC Facility is subject to annual renewal and may be used to fund general working capital needs of the Company’s subsidiary, which is a trading company in China. Borrowings under the HSBC Facility were guaranteed by the Company and were granted at the sole discretion of HSBC. No borrowings were outstanding under the HSBC Facility at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DERIVATIVES</w:t>
      </w:r>
    </w:p>
    <w:p>
      <w:pPr>
        <w:spacing w:after="0" w:line="11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The Company’s risk management strategy includes the use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spacing w:after="0" w:line="1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anticipate non-performance by any of its counterparties.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Swap Agreements</w:t>
      </w:r>
    </w:p>
    <w:p>
      <w:pPr>
        <w:spacing w:after="0" w:line="11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spacing w:after="0" w:line="16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 June 2019 the Company entered into interest rate swap agreements, with an aggregate notional value of $25.0 million and expire in February 2025. In March 2024 and October 2024, the Company entered into new interest rate swap agreements, each with an aggregate notion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$75.0 million at December 31, 2024.</w:t>
      </w:r>
    </w:p>
    <w:p>
      <w:pPr>
        <w:spacing w:after="0" w:line="170"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Company’s interest rate swaps that were designated as cash flow hedges of the Company’s exposure to the variability of the payment of interest on a portion of its Term Loan borrowings expired in March 2023. The Company has no designated interest rate swaps at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Contracts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reduce the impact of changes in foreign currency exchange rates on its results, from time to time the Company is a party to certain foreign exchange contracts,</w:t>
      </w:r>
    </w:p>
    <w:p>
      <w:pPr>
        <w:spacing w:after="0" w:line="50"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primarily to offset the earnings impact related to fluctuations in foreign currency exchange rates associated with inventory purchases. The Company designates these contracts for accounting purposes as cash flow hedges. The Company purchases foreign currency forward contracts with terms less than 18 months. The aggregate gross notional values of foreign exchange contracts at December 31, 2024 and 2023 was $8.0 million and $9.8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values of the Company’s derivative financial instruments included in the consolidated balance sheets are presented as follows (in thousands):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80" w:type="dxa"/>
            <w:vAlign w:val="bottom"/>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412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180" w:type="dxa"/>
            <w:vAlign w:val="bottom"/>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44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45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7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58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740" w:type="dxa"/>
            <w:vAlign w:val="bottom"/>
            <w:vMerge w:val="continue"/>
          </w:tcPr>
          <w:p>
            <w:pPr>
              <w:spacing w:after="0"/>
              <w:rPr>
                <w:sz w:val="15"/>
                <w:szCs w:val="15"/>
                <w:color w:val="auto"/>
              </w:rPr>
            </w:pPr>
          </w:p>
        </w:tc>
        <w:tc>
          <w:tcPr>
            <w:tcW w:w="45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7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rate swaps</w:t>
            </w:r>
          </w:p>
        </w:tc>
        <w:tc>
          <w:tcPr>
            <w:tcW w:w="44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40" w:type="dxa"/>
            <w:vAlign w:val="bottom"/>
          </w:tcPr>
          <w:p>
            <w:pPr>
              <w:spacing w:after="0"/>
              <w:rPr>
                <w:sz w:val="19"/>
                <w:szCs w:val="19"/>
                <w:color w:val="auto"/>
              </w:rPr>
            </w:pPr>
          </w:p>
        </w:tc>
        <w:tc>
          <w:tcPr>
            <w:tcW w:w="45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1"/>
        </w:trPr>
        <w:tc>
          <w:tcPr>
            <w:tcW w:w="3740" w:type="dxa"/>
            <w:vAlign w:val="bottom"/>
          </w:tcPr>
          <w:p>
            <w:pPr>
              <w:spacing w:after="0"/>
              <w:rPr>
                <w:sz w:val="24"/>
                <w:szCs w:val="24"/>
                <w:color w:val="auto"/>
              </w:rPr>
            </w:pPr>
          </w:p>
        </w:tc>
        <w:tc>
          <w:tcPr>
            <w:tcW w:w="4580" w:type="dxa"/>
            <w:vAlign w:val="bottom"/>
            <w:gridSpan w:val="2"/>
          </w:tcPr>
          <w:p>
            <w:pPr>
              <w:ind w:left="172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-23</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74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The fair value of the interest rate swaps have been obtained from the counterparties to the agreements and were based on Level 2 observable inputs using proprietary models and estimates about relevant future market conditions. The fair value of the foreign exchange contracts were based on Level 2 observable inputs using quoted market prices for similar assets in an active market.</w:t>
      </w:r>
    </w:p>
    <w:p>
      <w:pPr>
        <w:spacing w:after="0" w:line="167"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7"/>
          <w:szCs w:val="17"/>
          <w:color w:val="auto"/>
        </w:rPr>
        <w:t>The amounts of the gains and (losses), realized and unrealized, net of taxes, related to the Company’s derivative financial instruments designated as hedging instruments are recognized in other comprehensive income (loss)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9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68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rate swaps</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98"/>
              </w:rPr>
              <w:t>(12)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0" w:type="dxa"/>
            <w:vAlign w:val="bottom"/>
          </w:tcPr>
          <w:p>
            <w:pPr>
              <w:spacing w:after="0"/>
              <w:rPr>
                <w:sz w:val="1"/>
                <w:szCs w:val="1"/>
                <w:color w:val="auto"/>
              </w:rPr>
            </w:pPr>
          </w:p>
        </w:tc>
      </w:tr>
      <w:tr>
        <w:trPr>
          <w:trHeight w:val="220"/>
        </w:trPr>
        <w:tc>
          <w:tcPr>
            <w:tcW w:w="69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7"/>
                <w:szCs w:val="17"/>
                <w:color w:val="auto"/>
              </w:rPr>
              <w:t>393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381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Realized gains and losses on the interest rate swaps that are reported in other comprehensive income (loss) are reclassified into earnings as the interest expense on the debt is recognized.</w:t>
      </w:r>
    </w:p>
    <w:p>
      <w:pPr>
        <w:spacing w:after="0" w:line="15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Realized gains and losses on foreign exchange contracts that are reported in other comprehensive income (loss) are reclassified into cost of sales as the underlying inventory purchased is sold.</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the Company reclassified $0.2 million of cash flow hedges in accumulated other comprehensive losses to earnings, related to foreign exchange contracts recognized in cost of sales. At December 31, 2024, the estimated amount of existing net gains expected to be reclassified into earnings within the next 12 months was $0.2 million.</w:t>
      </w:r>
    </w:p>
    <w:p>
      <w:pPr>
        <w:spacing w:after="0" w:line="16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2023, the Company reclassified $0.5 million of cash flow hedges in accumulated other comprehensive losses to earnings. This comprised of a charge of $0.1 million related to interest rate swaps recognized in interest expense and a gain of $0.4 million related to foreign exchange contracts recognized in cost of sales.</w:t>
      </w:r>
    </w:p>
    <w:p>
      <w:pPr>
        <w:spacing w:after="0" w:line="16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amounts of the gains and losses related to the Company’s derivative financial instruments not designated as hedging instruments are recognized in earnings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70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200" w:type="dxa"/>
            <w:vAlign w:val="bottom"/>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32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rate swaps</w:t>
            </w:r>
          </w:p>
        </w:tc>
        <w:tc>
          <w:tcPr>
            <w:tcW w:w="46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 to market (loss) gain on interest rate derivatives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220"/>
        </w:trPr>
        <w:tc>
          <w:tcPr>
            <w:tcW w:w="320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gridSpan w:val="2"/>
            <w:vMerge w:val="restart"/>
          </w:tcPr>
          <w:p>
            <w:pPr>
              <w:ind w:left="226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3200" w:type="dxa"/>
            <w:vAlign w:val="bottom"/>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20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CAPITAL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were declared in 2024 and 2023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28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 of record</w:t>
            </w:r>
          </w:p>
        </w:tc>
        <w:tc>
          <w:tcPr>
            <w:tcW w:w="25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3"/>
        </w:trPr>
        <w:tc>
          <w:tcPr>
            <w:tcW w:w="2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8, 2023</w:t>
            </w:r>
          </w:p>
        </w:tc>
        <w:tc>
          <w:tcPr>
            <w:tcW w:w="340" w:type="dxa"/>
            <w:vAlign w:val="bottom"/>
            <w:shd w:val="clear" w:color="auto" w:fill="CCEEFF"/>
          </w:tcPr>
          <w:p>
            <w:pPr>
              <w:spacing w:after="0"/>
              <w:rPr>
                <w:sz w:val="18"/>
                <w:szCs w:val="18"/>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 2023</w:t>
            </w: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15, 2023</w:t>
            </w:r>
          </w:p>
        </w:tc>
      </w:tr>
      <w:tr>
        <w:trPr>
          <w:trHeight w:val="220"/>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22, 2023</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2023</w:t>
            </w:r>
          </w:p>
        </w:tc>
      </w:tr>
      <w:tr>
        <w:trPr>
          <w:trHeight w:val="22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2, 2023</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2023</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2023</w:t>
            </w:r>
          </w:p>
        </w:tc>
      </w:tr>
      <w:tr>
        <w:trPr>
          <w:trHeight w:val="220"/>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7, 2023</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2024</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15, 2024</w:t>
            </w:r>
          </w:p>
        </w:tc>
      </w:tr>
      <w:tr>
        <w:trPr>
          <w:trHeight w:val="22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8, 2024</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 2024</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15, 2024</w:t>
            </w:r>
          </w:p>
        </w:tc>
      </w:tr>
      <w:tr>
        <w:trPr>
          <w:trHeight w:val="220"/>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20, 2024</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2024</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2024</w:t>
            </w:r>
          </w:p>
        </w:tc>
      </w:tr>
      <w:tr>
        <w:trPr>
          <w:trHeight w:val="22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6, 2024</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2024</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2024</w:t>
            </w: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5, 2024</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January 31, 2025</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14, 2025</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11, 2025, the Board of Directors declared a quarterly dividend of $0.0425 per share payable on May 15, 2025 to shareholders of record on May 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repurchase program</w:t>
      </w:r>
    </w:p>
    <w:p>
      <w:pPr>
        <w:spacing w:after="0" w:line="11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year ended December 31, 2024. During the year ended December 31, 2023, the Company repurchased 320,204 shares for a total costs of $2.5 million, and thereafter retired the shares. During the year ended December 31, 2022, the Company repurchased 597,195 shares for a total costs of $6.3 million. As of December 31, 2024, the remaining dollar amount available for repurchases under the Board authorized plan was $11.1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Company is authorized to issue 100 shares of Series A Preferred Stock and 2,000,000 shares of Series B Preferred Stock, none of which has been issued or is outstanding at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incentive plan</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Company’s Amended and Restated 2000 Long-Term Incentive Plan (the “Plan”) provides for the granting of awards of up to 9,717,500 shares of common stock. On June 20, 2024, the stockholders of the Company approved an amendment and restatement of the Plan. The amendment and restatement of the Plan revised the terms and conditions of the Plan to, among other things, increase the shares available for grant under the Plan by 1,500,000 shares to 9,717,500 shares. These shares of the Company’s common stock are available for grants to directors, officers, employees, consultants and service providers and affiliates in the form of stock options or other equity-based awards. The Plan authorizes the Board of Directors of the Company, or a duly appointed committee thereof, to issue incentive stock options, non-qualified options, restricted stock, performance-based awards and other stock-based awards. Options that have been granted under the Plan expire over a range of 5 years to 10 years from the date of grant and vest over a range of up to 4 years from the date of grant. Shares of restricted stock that have been granted under the Plan vest over a range of up to 4 years from the date of grant. Performance-based awards that have been granted under the Plan vest after 3 years based upon the attainment of specified performance goals. As of December 31, 2024, there were 1,838,644 shares available for the grant of awards under the Plan assuming maximum performance of performance-based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stock option activity and related information for the three years ended December 31, 2024,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60" w:type="dxa"/>
            <w:vAlign w:val="bottom"/>
          </w:tcPr>
          <w:p>
            <w:pPr>
              <w:spacing w:after="0"/>
              <w:rPr>
                <w:sz w:val="13"/>
                <w:szCs w:val="13"/>
                <w:color w:val="auto"/>
              </w:rPr>
            </w:pPr>
          </w:p>
        </w:tc>
        <w:tc>
          <w:tcPr>
            <w:tcW w:w="110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1"/>
        </w:trPr>
        <w:tc>
          <w:tcPr>
            <w:tcW w:w="5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3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0" w:type="dxa"/>
            <w:vAlign w:val="bottom"/>
          </w:tcPr>
          <w:p>
            <w:pPr>
              <w:spacing w:after="0"/>
              <w:rPr>
                <w:sz w:val="11"/>
                <w:szCs w:val="11"/>
                <w:color w:val="auto"/>
              </w:rPr>
            </w:pPr>
          </w:p>
        </w:tc>
        <w:tc>
          <w:tcPr>
            <w:tcW w:w="1100" w:type="dxa"/>
            <w:vAlign w:val="bottom"/>
          </w:tcPr>
          <w:p>
            <w:pPr>
              <w:jc w:val="center"/>
              <w:ind w:right="85"/>
              <w:spacing w:after="0" w:line="12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2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60" w:type="dxa"/>
            <w:vAlign w:val="bottom"/>
          </w:tcPr>
          <w:p>
            <w:pPr>
              <w:spacing w:after="0"/>
              <w:rPr>
                <w:sz w:val="12"/>
                <w:szCs w:val="12"/>
                <w:color w:val="auto"/>
              </w:rPr>
            </w:pPr>
          </w:p>
        </w:tc>
        <w:tc>
          <w:tcPr>
            <w:tcW w:w="1100" w:type="dxa"/>
            <w:vAlign w:val="bottom"/>
          </w:tcPr>
          <w:p>
            <w:pPr>
              <w:jc w:val="center"/>
              <w:ind w:right="85"/>
              <w:spacing w:after="0" w:line="142" w:lineRule="exact"/>
              <w:rPr>
                <w:sz w:val="20"/>
                <w:szCs w:val="20"/>
                <w:color w:val="auto"/>
              </w:rPr>
            </w:pPr>
            <w:r>
              <w:rPr>
                <w:rFonts w:ascii="Times New Roman" w:cs="Times New Roman" w:eastAsia="Times New Roman" w:hAnsi="Times New Roman"/>
                <w:sz w:val="14"/>
                <w:szCs w:val="14"/>
                <w:b w:val="1"/>
                <w:bCs w:val="1"/>
                <w:color w:val="auto"/>
                <w:w w:val="93"/>
              </w:rPr>
              <w:t>value</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life (years)</w:t>
            </w:r>
          </w:p>
        </w:tc>
        <w:tc>
          <w:tcPr>
            <w:tcW w:w="16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17"/>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1,094,575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Exercises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Expirations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Expirations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Grants</w:t>
            </w:r>
            <w:r>
              <w:rPr>
                <w:rFonts w:ascii="Times New Roman" w:cs="Times New Roman" w:eastAsia="Times New Roman" w:hAnsi="Times New Roman"/>
                <w:sz w:val="22"/>
                <w:szCs w:val="22"/>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Expirations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Options outstanding at December 31, 2024</w:t>
            </w:r>
            <w:r>
              <w:rPr>
                <w:rFonts w:ascii="Times New Roman" w:cs="Times New Roman" w:eastAsia="Times New Roman" w:hAnsi="Times New Roman"/>
                <w:sz w:val="22"/>
                <w:szCs w:val="22"/>
                <w:b w:val="1"/>
                <w:bCs w:val="1"/>
                <w:color w:val="auto"/>
                <w:vertAlign w:val="superscript"/>
              </w:rPr>
              <w:t>(1)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exercisable at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657,000</w:t>
            </w:r>
          </w:p>
        </w:tc>
        <w:tc>
          <w:tcPr>
            <w:tcW w:w="3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7"/>
        <w:spacing w:after="0"/>
        <w:tabs>
          <w:tab w:leader="none" w:pos="46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 non-plan stock option award of 15,000 stock options</w:t>
      </w:r>
      <w:r>
        <w:rPr>
          <w:rFonts w:ascii="Times New Roman" w:cs="Times New Roman" w:eastAsia="Times New Roman" w:hAnsi="Times New Roman"/>
          <w:sz w:val="15"/>
          <w:szCs w:val="15"/>
          <w:color w:val="auto"/>
        </w:rPr>
        <w:t>.</w:t>
      </w:r>
    </w:p>
    <w:p>
      <w:pPr>
        <w:spacing w:after="0" w:line="18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pre-tax intrinsic value that would have been received by the option holders had all option holders exercised their exercisable in-the-money stock options on December 31, 2024. The intrinsic value is calculated for each in-the-money stock option as the difference between the closing price of the Company’s common stock on December 31, 2024 and the exercise price.</w:t>
      </w:r>
    </w:p>
    <w:p>
      <w:pPr>
        <w:spacing w:after="0" w:line="167"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No stock options were exercised in the year ended December 31, 2024 and December 31, 2023. The total intrinsic values of those stock options that were exercised in the year ended December 31, 2022 was $0.1 million. The intrinsic value of a stock option that is exercised is calculated at the date of exercise.</w:t>
      </w:r>
    </w:p>
    <w:p>
      <w:pPr>
        <w:spacing w:after="0" w:line="151"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17"/>
          <w:szCs w:val="17"/>
          <w:color w:val="auto"/>
        </w:rPr>
        <w:t>Total unrecognized stock option compensation expense at December 31, 2024, before the effect of income taxes, was $0.4 million and is expected to be recognized over a weighted-average period of 1.5 years.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 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2024, 2023 and 2022, was $5.13, $2.61 and $5.44,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values for these stock options were estimated at the dates of grant using the following weighted-average assumptions: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gridSpan w:val="2"/>
          </w:tcPr>
          <w:p>
            <w:pPr>
              <w:ind w:left="74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Historical volatility</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2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3.15 %</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1.74 %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restricted stock activity and related information for the three years ended December 31, 2024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1"/>
        </w:trPr>
        <w:tc>
          <w:tcPr>
            <w:tcW w:w="8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9"/>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31"/>
        </w:trPr>
        <w:tc>
          <w:tcPr>
            <w:tcW w:w="8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w w:val="97"/>
              </w:rPr>
              <w:t>grant</w:t>
            </w: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3"/>
              </w:rPr>
              <w:t>date</w:t>
            </w:r>
          </w:p>
        </w:tc>
        <w:tc>
          <w:tcPr>
            <w:tcW w:w="0" w:type="dxa"/>
            <w:vAlign w:val="bottom"/>
          </w:tcPr>
          <w:p>
            <w:pPr>
              <w:spacing w:after="0"/>
              <w:rPr>
                <w:sz w:val="1"/>
                <w:szCs w:val="1"/>
                <w:color w:val="auto"/>
              </w:rPr>
            </w:pPr>
          </w:p>
        </w:tc>
      </w:tr>
      <w:tr>
        <w:trPr>
          <w:trHeight w:val="188"/>
        </w:trPr>
        <w:tc>
          <w:tcPr>
            <w:tcW w:w="8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484,143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2024</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593,526</w:t>
            </w:r>
          </w:p>
        </w:tc>
        <w:tc>
          <w:tcPr>
            <w:tcW w:w="3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unrecognized compensation expense remaining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40" w:type="dxa"/>
            <w:vAlign w:val="bottom"/>
            <w:vMerge w:val="continue"/>
          </w:tcPr>
          <w:p>
            <w:pPr>
              <w:spacing w:after="0"/>
              <w:rPr>
                <w:sz w:val="16"/>
                <w:szCs w:val="16"/>
                <w:color w:val="auto"/>
              </w:rPr>
            </w:pPr>
          </w:p>
        </w:tc>
        <w:tc>
          <w:tcPr>
            <w:tcW w:w="200" w:type="dxa"/>
            <w:vAlign w:val="bottom"/>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3,524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years expected to be recognized over</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fair value of restricted stock that vested during the year ended December 31, 2024 was $2.8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shares</w:t>
      </w:r>
    </w:p>
    <w:p>
      <w:pPr>
        <w:spacing w:after="0" w:line="119" w:lineRule="exact"/>
        <w:rPr>
          <w:sz w:val="20"/>
          <w:szCs w:val="20"/>
          <w:color w:val="auto"/>
        </w:rPr>
      </w:pPr>
    </w:p>
    <w:p>
      <w:pPr>
        <w:jc w:val="both"/>
        <w:ind w:right="440"/>
        <w:spacing w:after="0" w:line="270" w:lineRule="auto"/>
        <w:rPr>
          <w:sz w:val="20"/>
          <w:szCs w:val="20"/>
          <w:color w:val="auto"/>
        </w:rPr>
      </w:pPr>
      <w:r>
        <w:rPr>
          <w:rFonts w:ascii="Times New Roman" w:cs="Times New Roman" w:eastAsia="Times New Roman" w:hAnsi="Times New Roman"/>
          <w:sz w:val="17"/>
          <w:szCs w:val="17"/>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performance-based award activity and related information for the three years ended December 31, 2024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1"/>
        </w:trPr>
        <w:tc>
          <w:tcPr>
            <w:tcW w:w="8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Performance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8"/>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31"/>
        </w:trPr>
        <w:tc>
          <w:tcPr>
            <w:tcW w:w="8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98"/>
              <w:spacing w:after="0" w:line="131" w:lineRule="exact"/>
              <w:rPr>
                <w:sz w:val="20"/>
                <w:szCs w:val="20"/>
                <w:color w:val="auto"/>
              </w:rPr>
            </w:pPr>
            <w:r>
              <w:rPr>
                <w:rFonts w:ascii="Times New Roman" w:cs="Times New Roman" w:eastAsia="Times New Roman" w:hAnsi="Times New Roman"/>
                <w:sz w:val="14"/>
                <w:szCs w:val="14"/>
                <w:b w:val="1"/>
                <w:bCs w:val="1"/>
                <w:color w:val="auto"/>
                <w:w w:val="97"/>
              </w:rPr>
              <w:t>grant</w:t>
            </w:r>
          </w:p>
        </w:tc>
        <w:tc>
          <w:tcPr>
            <w:tcW w:w="0" w:type="dxa"/>
            <w:vAlign w:val="bottom"/>
          </w:tcPr>
          <w:p>
            <w:pPr>
              <w:spacing w:after="0"/>
              <w:rPr>
                <w:sz w:val="1"/>
                <w:szCs w:val="1"/>
                <w:color w:val="auto"/>
              </w:rPr>
            </w:pPr>
          </w:p>
        </w:tc>
      </w:tr>
      <w:tr>
        <w:trPr>
          <w:trHeight w:val="141"/>
        </w:trPr>
        <w:tc>
          <w:tcPr>
            <w:tcW w:w="8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6"/>
              <w:spacing w:after="0" w:line="141"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8"/>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 xml:space="preserve">awards </w:t>
            </w:r>
            <w:r>
              <w:rPr>
                <w:rFonts w:ascii="Times New Roman" w:cs="Times New Roman" w:eastAsia="Times New Roman" w:hAnsi="Times New Roman"/>
                <w:sz w:val="8"/>
                <w:szCs w:val="8"/>
                <w:b w:val="1"/>
                <w:bCs w:val="1"/>
                <w:color w:val="auto"/>
                <w:w w:val="99"/>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0" w:type="dxa"/>
            <w:vAlign w:val="bottom"/>
          </w:tcPr>
          <w:p>
            <w:pPr>
              <w:spacing w:after="0"/>
              <w:rPr>
                <w:sz w:val="1"/>
                <w:szCs w:val="1"/>
                <w:color w:val="auto"/>
              </w:rPr>
            </w:pPr>
          </w:p>
        </w:tc>
      </w:tr>
      <w:tr>
        <w:trPr>
          <w:trHeight w:val="220"/>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Achieved performance over target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20"/>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0" w:type="dxa"/>
            <w:vAlign w:val="bottom"/>
          </w:tcPr>
          <w:p>
            <w:pPr>
              <w:spacing w:after="0"/>
              <w:rPr>
                <w:sz w:val="1"/>
                <w:szCs w:val="1"/>
                <w:color w:val="auto"/>
              </w:rPr>
            </w:pP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2022</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400,302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0" w:type="dxa"/>
            <w:vAlign w:val="bottom"/>
          </w:tcPr>
          <w:p>
            <w:pPr>
              <w:spacing w:after="0"/>
              <w:rPr>
                <w:sz w:val="1"/>
                <w:szCs w:val="1"/>
                <w:color w:val="auto"/>
              </w:rPr>
            </w:pPr>
          </w:p>
        </w:tc>
      </w:tr>
      <w:tr>
        <w:trPr>
          <w:trHeight w:val="220"/>
        </w:trPr>
        <w:tc>
          <w:tcPr>
            <w:tcW w:w="8420" w:type="dxa"/>
            <w:vAlign w:val="bottom"/>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Achieved performance over target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20"/>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0" w:type="dxa"/>
            <w:vAlign w:val="bottom"/>
          </w:tcPr>
          <w:p>
            <w:pPr>
              <w:spacing w:after="0"/>
              <w:rPr>
                <w:sz w:val="1"/>
                <w:szCs w:val="1"/>
                <w:color w:val="auto"/>
              </w:rPr>
            </w:pPr>
          </w:p>
        </w:tc>
      </w:tr>
      <w:tr>
        <w:trPr>
          <w:trHeight w:val="21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486,972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0" w:type="dxa"/>
            <w:vAlign w:val="bottom"/>
          </w:tcPr>
          <w:p>
            <w:pPr>
              <w:spacing w:after="0"/>
              <w:rPr>
                <w:sz w:val="1"/>
                <w:szCs w:val="1"/>
                <w:color w:val="auto"/>
              </w:rPr>
            </w:pPr>
          </w:p>
        </w:tc>
      </w:tr>
      <w:tr>
        <w:trPr>
          <w:trHeight w:val="220"/>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0" w:type="dxa"/>
            <w:vAlign w:val="bottom"/>
          </w:tcPr>
          <w:p>
            <w:pPr>
              <w:spacing w:after="0"/>
              <w:rPr>
                <w:sz w:val="1"/>
                <w:szCs w:val="1"/>
                <w:color w:val="auto"/>
              </w:rPr>
            </w:pPr>
          </w:p>
        </w:tc>
      </w:tr>
      <w:tr>
        <w:trPr>
          <w:trHeight w:val="220"/>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0" w:type="dxa"/>
            <w:vAlign w:val="bottom"/>
          </w:tcPr>
          <w:p>
            <w:pPr>
              <w:spacing w:after="0"/>
              <w:rPr>
                <w:sz w:val="1"/>
                <w:szCs w:val="1"/>
                <w:color w:val="auto"/>
              </w:rPr>
            </w:pPr>
          </w:p>
        </w:tc>
      </w:tr>
      <w:tr>
        <w:trPr>
          <w:trHeight w:val="238"/>
        </w:trPr>
        <w:tc>
          <w:tcPr>
            <w:tcW w:w="842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Non-vested performance-based awards, December 31, 2024</w:t>
            </w:r>
            <w:r>
              <w:rPr>
                <w:rFonts w:ascii="Times New Roman" w:cs="Times New Roman" w:eastAsia="Times New Roman" w:hAnsi="Times New Roman"/>
                <w:sz w:val="22"/>
                <w:szCs w:val="22"/>
                <w:b w:val="1"/>
                <w:bCs w:val="1"/>
                <w:color w:val="auto"/>
                <w:vertAlign w:val="superscript"/>
              </w:rPr>
              <w:t>(4)</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529,407</w:t>
            </w:r>
          </w:p>
        </w:tc>
        <w:tc>
          <w:tcPr>
            <w:tcW w:w="3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unrecognized compensation expense remaining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2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years expected to be recognized over</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457"/>
        <w:spacing w:after="0"/>
        <w:tabs>
          <w:tab w:leader="none" w:pos="46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target number of shares to be issued for each performance-based award.</w:t>
      </w:r>
    </w:p>
    <w:p>
      <w:pPr>
        <w:spacing w:after="0" w:line="42" w:lineRule="exact"/>
        <w:rPr>
          <w:rFonts w:ascii="Times New Roman" w:cs="Times New Roman" w:eastAsia="Times New Roman" w:hAnsi="Times New Roman"/>
          <w:sz w:val="18"/>
          <w:szCs w:val="18"/>
          <w:color w:val="auto"/>
          <w:vertAlign w:val="superscript"/>
        </w:rPr>
      </w:pPr>
    </w:p>
    <w:p>
      <w:pPr>
        <w:ind w:left="460" w:right="60" w:hanging="457"/>
        <w:spacing w:after="0" w:line="255" w:lineRule="auto"/>
        <w:tabs>
          <w:tab w:leader="none" w:pos="448"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number of shares earned over target for performance-based awards granted in 2019 based on performance goals attained. These awards vested in the three months ended March 31, 2022.</w:t>
      </w:r>
    </w:p>
    <w:p>
      <w:pPr>
        <w:spacing w:after="0" w:line="31" w:lineRule="exact"/>
        <w:rPr>
          <w:rFonts w:ascii="Times New Roman" w:cs="Times New Roman" w:eastAsia="Times New Roman" w:hAnsi="Times New Roman"/>
          <w:sz w:val="9"/>
          <w:szCs w:val="9"/>
          <w:color w:val="auto"/>
        </w:rPr>
      </w:pPr>
    </w:p>
    <w:p>
      <w:pPr>
        <w:ind w:left="460" w:right="60" w:hanging="457"/>
        <w:spacing w:after="0" w:line="226" w:lineRule="auto"/>
        <w:tabs>
          <w:tab w:leader="none" w:pos="448"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number of shares earned over target for performance-based awards granted in 2020 based on performance goals attained. These awards vested in the three months ended March 31, 2023.</w:t>
      </w:r>
    </w:p>
    <w:p>
      <w:pPr>
        <w:spacing w:after="0" w:line="41" w:lineRule="exact"/>
        <w:rPr>
          <w:rFonts w:ascii="Times New Roman" w:cs="Times New Roman" w:eastAsia="Times New Roman" w:hAnsi="Times New Roman"/>
          <w:sz w:val="18"/>
          <w:szCs w:val="18"/>
          <w:color w:val="auto"/>
          <w:vertAlign w:val="superscript"/>
        </w:rPr>
      </w:pPr>
    </w:p>
    <w:p>
      <w:pPr>
        <w:ind w:left="460" w:right="60" w:hanging="457"/>
        <w:spacing w:after="0" w:line="217" w:lineRule="auto"/>
        <w:tabs>
          <w:tab w:leader="none" w:pos="448"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performance metric for the performance-based awards granted in 2022 was not attained at the end of the performance period. Therefore, no compensation expense has been recorded on these awards and these awards will not vest.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fair value of performance-based awards that vested during the year ended December 31, 2024 was $1.5 million.</w:t>
      </w:r>
    </w:p>
    <w:p>
      <w:pPr>
        <w:spacing w:after="0" w:line="21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On March 11, 2025, the Compensation Committee of the Board of Directors determined the performance goals set forth in the performance-based awards granted in 2022 were not attained.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Cash-settled performance-based awards</w:t>
      </w:r>
    </w:p>
    <w:p>
      <w:pPr>
        <w:spacing w:after="0" w:line="11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cash-settled performance-based awards activity and related information for the year ended December 31, 2024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Cash-settled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5"/>
              </w:rPr>
              <w:t>Weighted-</w:t>
            </w:r>
          </w:p>
        </w:tc>
      </w:tr>
      <w:tr>
        <w:trPr>
          <w:trHeight w:val="155"/>
        </w:trPr>
        <w:tc>
          <w:tcPr>
            <w:tcW w:w="7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6"/>
              </w:rPr>
              <w:t>performance-based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2"/>
              <w:spacing w:after="0" w:line="155" w:lineRule="exact"/>
              <w:rPr>
                <w:sz w:val="20"/>
                <w:szCs w:val="20"/>
                <w:color w:val="auto"/>
              </w:rPr>
            </w:pPr>
            <w:r>
              <w:rPr>
                <w:rFonts w:ascii="Times New Roman" w:cs="Times New Roman" w:eastAsia="Times New Roman" w:hAnsi="Times New Roman"/>
                <w:sz w:val="16"/>
                <w:szCs w:val="16"/>
                <w:b w:val="1"/>
                <w:bCs w:val="1"/>
                <w:color w:val="auto"/>
                <w:w w:val="97"/>
              </w:rPr>
              <w:t>average fair</w:t>
            </w:r>
          </w:p>
        </w:tc>
      </w:tr>
      <w:tr>
        <w:trPr>
          <w:trHeight w:val="207"/>
        </w:trPr>
        <w:tc>
          <w:tcPr>
            <w:tcW w:w="77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2"/>
              <w:spacing w:after="0" w:line="207" w:lineRule="exact"/>
              <w:rPr>
                <w:sz w:val="20"/>
                <w:szCs w:val="20"/>
                <w:color w:val="auto"/>
              </w:rPr>
            </w:pPr>
            <w:r>
              <w:rPr>
                <w:rFonts w:ascii="Times New Roman" w:cs="Times New Roman" w:eastAsia="Times New Roman" w:hAnsi="Times New Roman"/>
                <w:sz w:val="16"/>
                <w:szCs w:val="16"/>
                <w:b w:val="1"/>
                <w:bCs w:val="1"/>
                <w:color w:val="auto"/>
                <w:w w:val="92"/>
              </w:rPr>
              <w:t xml:space="preserve">awards </w:t>
            </w:r>
            <w:r>
              <w:rPr>
                <w:rFonts w:ascii="Times New Roman" w:cs="Times New Roman" w:eastAsia="Times New Roman" w:hAnsi="Times New Roman"/>
                <w:sz w:val="20"/>
                <w:szCs w:val="20"/>
                <w:b w:val="1"/>
                <w:bCs w:val="1"/>
                <w:color w:val="auto"/>
                <w:w w:val="92"/>
                <w:vertAlign w:val="superscript"/>
              </w:rPr>
              <w:t>(1)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20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cash stock unit awards, December 31, 2021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2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cash-settled performance-based awards, December 31, 2022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2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0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cash-settled performance-based awards, December 31, 2023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2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00"/>
        </w:trPr>
        <w:tc>
          <w:tcPr>
            <w:tcW w:w="7700" w:type="dxa"/>
            <w:vAlign w:val="bottom"/>
          </w:tcPr>
          <w:p>
            <w:pPr>
              <w:ind w:left="20"/>
              <w:spacing w:after="0" w:line="200" w:lineRule="exact"/>
              <w:rPr>
                <w:sz w:val="20"/>
                <w:szCs w:val="20"/>
                <w:color w:val="auto"/>
              </w:rPr>
            </w:pPr>
            <w:r>
              <w:rPr>
                <w:rFonts w:ascii="Times New Roman" w:cs="Times New Roman" w:eastAsia="Times New Roman" w:hAnsi="Times New Roman"/>
                <w:sz w:val="17"/>
                <w:szCs w:val="17"/>
                <w:b w:val="1"/>
                <w:bCs w:val="1"/>
                <w:color w:val="auto"/>
              </w:rPr>
              <w:t>Non-vested cash-settled performance-based awards, December 31, 2024</w:t>
            </w:r>
            <w:r>
              <w:rPr>
                <w:rFonts w:ascii="Times New Roman" w:cs="Times New Roman" w:eastAsia="Times New Roman" w:hAnsi="Times New Roman"/>
                <w:sz w:val="22"/>
                <w:szCs w:val="22"/>
                <w:b w:val="1"/>
                <w:bCs w:val="1"/>
                <w:color w:val="auto"/>
                <w:vertAlign w:val="superscript"/>
              </w:rPr>
              <w:t>(2)</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82,176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9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unrecognized compensation expense remaining (in thousands)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years expected to be recognized over</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86" w:lineRule="exact"/>
        <w:rPr>
          <w:sz w:val="20"/>
          <w:szCs w:val="20"/>
          <w:color w:val="auto"/>
        </w:rPr>
      </w:pPr>
    </w:p>
    <w:p>
      <w:pPr>
        <w:ind w:left="460" w:hanging="457"/>
        <w:spacing w:after="0"/>
        <w:tabs>
          <w:tab w:leader="none" w:pos="46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target number of units to be settled in cash.</w:t>
      </w:r>
    </w:p>
    <w:p>
      <w:pPr>
        <w:spacing w:after="0" w:line="42" w:lineRule="exact"/>
        <w:rPr>
          <w:rFonts w:ascii="Times New Roman" w:cs="Times New Roman" w:eastAsia="Times New Roman" w:hAnsi="Times New Roman"/>
          <w:sz w:val="18"/>
          <w:szCs w:val="18"/>
          <w:color w:val="auto"/>
          <w:vertAlign w:val="superscript"/>
        </w:rPr>
      </w:pPr>
    </w:p>
    <w:p>
      <w:pPr>
        <w:ind w:left="460" w:right="380" w:hanging="457"/>
        <w:spacing w:after="0" w:line="255" w:lineRule="auto"/>
        <w:tabs>
          <w:tab w:leader="none" w:pos="448"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performance metric for the cash-settled performance-based awards granted in 2022 was not attained at the end of the performance period. Therefore, no compensation expense has been recorded on these awards and these awards will not vest.</w:t>
      </w:r>
    </w:p>
    <w:p>
      <w:pPr>
        <w:spacing w:after="0" w:line="191"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On March 11, 2025, the Compensation Committee of the Board of Directors determined the performance goals set forth in the cash-settled performance-based awards granted in 2022 were not attained.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recorded stock compensation expense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
        </w:trPr>
        <w:tc>
          <w:tcPr>
            <w:tcW w:w="46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 Compensation Expense Components</w:t>
            </w:r>
          </w:p>
        </w:tc>
        <w:tc>
          <w:tcPr>
            <w:tcW w:w="2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7"/>
                <w:szCs w:val="17"/>
                <w:color w:val="auto"/>
              </w:rPr>
            </w:pPr>
          </w:p>
        </w:tc>
      </w:tr>
      <w:tr>
        <w:trPr>
          <w:trHeight w:val="20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based stock option expense</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275</w:t>
            </w:r>
          </w:p>
        </w:tc>
        <w:tc>
          <w:tcPr>
            <w:tcW w:w="660" w:type="dxa"/>
            <w:vAlign w:val="bottom"/>
          </w:tcPr>
          <w:p>
            <w:pPr>
              <w:spacing w:after="0"/>
              <w:rPr>
                <w:sz w:val="17"/>
                <w:szCs w:val="17"/>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and performance-based stock awards expense</w:t>
            </w:r>
          </w:p>
        </w:tc>
        <w:tc>
          <w:tcPr>
            <w:tcW w:w="2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3,420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3,586</w:t>
            </w:r>
          </w:p>
        </w:tc>
        <w:tc>
          <w:tcPr>
            <w:tcW w:w="660" w:type="dxa"/>
            <w:vAlign w:val="bottom"/>
          </w:tcPr>
          <w:p>
            <w:pPr>
              <w:spacing w:after="0"/>
              <w:rPr>
                <w:sz w:val="19"/>
                <w:szCs w:val="19"/>
                <w:color w:val="auto"/>
              </w:rPr>
            </w:pPr>
          </w:p>
        </w:tc>
      </w:tr>
      <w:tr>
        <w:trPr>
          <w:trHeight w:val="20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 compensation expense for equity based awards</w:t>
            </w: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3,861</w:t>
            </w:r>
          </w:p>
        </w:tc>
        <w:tc>
          <w:tcPr>
            <w:tcW w:w="660" w:type="dxa"/>
            <w:vAlign w:val="bottom"/>
          </w:tcPr>
          <w:p>
            <w:pPr>
              <w:spacing w:after="0"/>
              <w:rPr>
                <w:sz w:val="17"/>
                <w:szCs w:val="17"/>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based stock option expense</w:t>
            </w:r>
          </w:p>
        </w:tc>
        <w:tc>
          <w:tcPr>
            <w:tcW w:w="2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60" w:type="dxa"/>
            <w:vAlign w:val="bottom"/>
          </w:tcPr>
          <w:p>
            <w:pPr>
              <w:spacing w:after="0"/>
              <w:rPr>
                <w:sz w:val="19"/>
                <w:szCs w:val="19"/>
                <w:color w:val="auto"/>
              </w:rPr>
            </w:pPr>
          </w:p>
        </w:tc>
      </w:tr>
      <w:tr>
        <w:trPr>
          <w:trHeight w:val="200"/>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 Compensation Expense</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3,687</w:t>
            </w:r>
          </w:p>
        </w:tc>
        <w:tc>
          <w:tcPr>
            <w:tcW w:w="12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3,846</w:t>
            </w:r>
          </w:p>
        </w:tc>
        <w:tc>
          <w:tcPr>
            <w:tcW w:w="66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703"/>
        </w:trPr>
        <w:tc>
          <w:tcPr>
            <w:tcW w:w="4680" w:type="dxa"/>
            <w:vAlign w:val="bottom"/>
          </w:tcPr>
          <w:p>
            <w:pPr>
              <w:spacing w:after="0"/>
              <w:rPr>
                <w:sz w:val="24"/>
                <w:szCs w:val="24"/>
                <w:color w:val="auto"/>
              </w:rPr>
            </w:pPr>
          </w:p>
        </w:tc>
        <w:tc>
          <w:tcPr>
            <w:tcW w:w="2380" w:type="dxa"/>
            <w:vAlign w:val="bottom"/>
            <w:gridSpan w:val="2"/>
          </w:tcPr>
          <w:p>
            <w:pPr>
              <w:jc w:val="right"/>
              <w:ind w:right="128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-29</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9"/>
        </w:trPr>
        <w:tc>
          <w:tcPr>
            <w:tcW w:w="46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LOSS PER COMMON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loss per common share has been computed by dividing net loss by the weighted-average number of shares of the Company’s common stock outstanding.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Diluted loss per common share adjusts net loss and basic loss per common share for the effect of all potentially dilutive shares of the Company’s common 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Anti-dilutive securities are not included in the computation of diluted earnings per share under the treasury stock method.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calculations of basic and diluted loss per common share for the years ended December 31, 2024, 2023 and 2022,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gridSpan w:val="6"/>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(in thousands - except per share amounts)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 Basic and Diluted</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 – 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21,558</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 of dilutive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 and other stock awards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 – Diluted</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21,558</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Basic 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260" w:type="dxa"/>
            <w:vAlign w:val="bottom"/>
            <w:vMerge w:val="continue"/>
          </w:tcPr>
          <w:p>
            <w:pPr>
              <w:spacing w:after="0"/>
              <w:rPr>
                <w:sz w:val="24"/>
                <w:szCs w:val="24"/>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loss per common share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Antidilutive shares </w:t>
            </w:r>
            <w:r>
              <w:rPr>
                <w:rFonts w:ascii="Times New Roman" w:cs="Times New Roman" w:eastAsia="Times New Roman" w:hAnsi="Times New Roman"/>
                <w:sz w:val="22"/>
                <w:szCs w:val="22"/>
                <w:b w:val="1"/>
                <w:bCs w:val="1"/>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60" w:hanging="457"/>
        <w:spacing w:after="0"/>
        <w:tabs>
          <w:tab w:leader="none" w:pos="46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Stock options and other stock awards that have been excluded from the denominator as their inclusion would have been anti-dilutive.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(loss) income before income taxes and equity in losses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20,796</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(11,767)</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 loss on equity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(loss) income before income taxes and equity in earnings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9,029</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provision for income taxes (before equity in losses) consists of:</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7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6"/>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Federal</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6,890</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State and local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w:t>
            </w: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components of the Company’s deferred income tax assets and (liabilities)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5"/>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17,257</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options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3,323</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loss carryforwards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21,036</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 allowances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compensation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compensation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Environmental remediation accrual</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Capitalized research and experimental expenditures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163j interest carryforward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57,236</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(17,060)</w:t>
            </w: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Fixed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Intangibles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(26,207)</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(41,361)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(44,515)</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12,721</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(21,692)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(20,159)</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capital loss carryforwards of $7.1 million in foreign jurisdictions at December 31, 2024 that are offset entirely by a valuation allowance.</w:t>
      </w:r>
    </w:p>
    <w:p>
      <w:pPr>
        <w:spacing w:after="0" w:line="218"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At December 31, 2024, the Company has net operating losses in foreign jurisdictions of $81.1 million and $11.6 million in state jurisdictions that are fully offset by valuation allowance, and $5.4 million of net operating losses in foreign jurisdictions that are not offset by valuation allowance. Approximately $85.8 million of foreign net operating losses can be carried forward indefinitely. The remaining definite-lived foreign net operating losses, if not utilized, will expire beginning in 2026 through 2034. The state net operating losses begin to expire in 2026.</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for income taxes (before equity in losses) differs from the amounts computed by applying the applicable federal statutory rates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69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taxes at the statutory rate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0"/>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(decreases):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State and local income taxes, net of Federal income tax benefit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13.9</w:t>
            </w:r>
          </w:p>
        </w:tc>
      </w:tr>
      <w:tr>
        <w:trPr>
          <w:trHeight w:val="220"/>
        </w:trPr>
        <w:tc>
          <w:tcPr>
            <w:tcW w:w="6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Foreign rate differences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6.9</w:t>
            </w:r>
          </w:p>
        </w:tc>
      </w:tr>
      <w:tr>
        <w:trPr>
          <w:trHeight w:val="22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withholding tax</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6.1</w:t>
            </w:r>
          </w:p>
        </w:tc>
      </w:tr>
      <w:tr>
        <w:trPr>
          <w:trHeight w:val="220"/>
        </w:trPr>
        <w:tc>
          <w:tcPr>
            <w:tcW w:w="6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Non-deductible expenses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6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on equity securities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Uncertain tax positions</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6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 credit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(5.4)</w:t>
            </w:r>
          </w:p>
        </w:tc>
      </w:tr>
      <w:tr>
        <w:trPr>
          <w:trHeight w:val="22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Federal return to provision</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69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15.9</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63.4 %</w:t>
            </w: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6"/>
        </w:trPr>
        <w:tc>
          <w:tcPr>
            <w:tcW w:w="98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estimated values of the Company’s gross uncertain tax positions at December 31, 2024, 2023 and 2022 consist of the following: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7"/>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7"/>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80" w:type="dxa"/>
            <w:vAlign w:val="bottom"/>
          </w:tcPr>
          <w:p>
            <w:pPr>
              <w:spacing w:after="0"/>
              <w:rPr>
                <w:sz w:val="17"/>
                <w:szCs w:val="17"/>
                <w:color w:val="auto"/>
              </w:rPr>
            </w:pPr>
          </w:p>
        </w:tc>
      </w:tr>
      <w:tr>
        <w:trPr>
          <w:trHeight w:val="23"/>
        </w:trPr>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(1,130)</w:t>
            </w:r>
          </w:p>
        </w:tc>
        <w:tc>
          <w:tcPr>
            <w:tcW w:w="3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r>
      <w:tr>
        <w:trPr>
          <w:trHeight w:val="220"/>
        </w:trPr>
        <w:tc>
          <w:tcPr>
            <w:tcW w:w="6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0"/>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Reductions for tax position of prior years</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r>
      <w:tr>
        <w:trPr>
          <w:trHeight w:val="20"/>
        </w:trPr>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had approximately $0.2 million and $0.4 million, net of federal and state tax benefit, accrued at December 31, 2024 and 2023, respectively, for the payment of interest and penalties. The Company’s policy for recording interest and penalties is to record such items as a component of the provision for income taxes.</w:t>
      </w:r>
    </w:p>
    <w:p>
      <w:pPr>
        <w:spacing w:after="0" w:line="16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If the Company’s tax positions are ultimately sustained, the Company’s liability, including interest, would be reduced by $0.7 million, all of which would impact the Company’s tax provision. On a quarterly basis, the Company evaluates its tax positions and revises its estimates accordingly. The Company believes that it is reasonably possible that an immaterial amount of its tax positions will be resolved within the next 12 months.</w:t>
      </w:r>
    </w:p>
    <w:p>
      <w:pPr>
        <w:spacing w:after="0" w:line="16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The Company is no longer subject to U.S. Federal income tax examinations for the years prior to 2021. The Company has identified the following jurisdictions as “major” tax jurisdictions: U.S. Federal, California, Massachusetts, New Jersey, New York, and the United Kingdom. At December 31, 2024, the periods subject to examination by the Company’s major state jurisdictions are generally for the years ended 2020 through 2023. In certain jurisdictions, Filament, an acquired entity, may have additional periods subject to examination. As of December 31, 2024, there are no material assessments in any given year.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BUSINESS SEGMENTS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1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Company’s chief operation decision maker (“CODM”) is the Company’s Chief Executive Officer. The Company has segmented its operations to reflect the manner in which the CODM reviews and evaluates the results of its operations. The CODM allocates operating and capital resources and evaluates the performance of the Company’s segments based on segment net sales, segment gross margin, and segment income from operations. Such measures give recognition to specifically identifiable operating costs. Significant segment expenses that are included in segment operating income consist of cost of sales, distribution expenses and selling, general and administrative expenses.</w:t>
      </w:r>
    </w:p>
    <w:p>
      <w:pPr>
        <w:spacing w:after="0" w:line="17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Certain general and administrative expenses are not allocated to the Company’s segments as these represent corporate level activities and are reflected below as unallocated corporate expenses. These costs primarily include senior executive salaries and benefits, stock compensation, director fees and accounting, legal fees and consulting fees.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Segment Performance Measures: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627,202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633,079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669,179</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58,483</w:t>
            </w:r>
          </w:p>
        </w:tc>
        <w:tc>
          <w:tcPr>
            <w:tcW w:w="0" w:type="dxa"/>
            <w:vAlign w:val="bottom"/>
          </w:tcPr>
          <w:p>
            <w:pPr>
              <w:spacing w:after="0"/>
              <w:rPr>
                <w:sz w:val="1"/>
                <w:szCs w:val="1"/>
                <w:color w:val="auto"/>
              </w:rPr>
            </w:pPr>
          </w:p>
        </w:tc>
      </w:tr>
      <w:tr>
        <w:trPr>
          <w:trHeight w:val="187"/>
        </w:trPr>
        <w:tc>
          <w:tcPr>
            <w:tcW w:w="7260" w:type="dxa"/>
            <w:vAlign w:val="bottom"/>
          </w:tcPr>
          <w:p>
            <w:pPr>
              <w:ind w:left="640"/>
              <w:spacing w:after="0" w:line="187" w:lineRule="exact"/>
              <w:rPr>
                <w:sz w:val="20"/>
                <w:szCs w:val="20"/>
                <w:color w:val="auto"/>
              </w:rPr>
            </w:pPr>
            <w:r>
              <w:rPr>
                <w:rFonts w:ascii="Times New Roman" w:cs="Times New Roman" w:eastAsia="Times New Roman" w:hAnsi="Times New Roman"/>
                <w:sz w:val="17"/>
                <w:szCs w:val="17"/>
                <w:color w:val="auto"/>
              </w:rPr>
              <w:t>Total net sales</w:t>
            </w:r>
          </w:p>
        </w:tc>
        <w:tc>
          <w:tcPr>
            <w:tcW w:w="280" w:type="dxa"/>
            <w:vAlign w:val="bottom"/>
            <w:tcBorders>
              <w:bottom w:val="single" w:sz="8" w:color="auto"/>
            </w:tcBorders>
          </w:tcPr>
          <w:p>
            <w:pPr>
              <w:jc w:val="right"/>
              <w:ind w:right="9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682,952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686,683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727,662</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Gross margin:</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240,265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236,568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241,093</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19,223</w:t>
            </w:r>
          </w:p>
        </w:tc>
        <w:tc>
          <w:tcPr>
            <w:tcW w:w="0" w:type="dxa"/>
            <w:vAlign w:val="bottom"/>
          </w:tcPr>
          <w:p>
            <w:pPr>
              <w:spacing w:after="0"/>
              <w:rPr>
                <w:sz w:val="1"/>
                <w:szCs w:val="1"/>
                <w:color w:val="auto"/>
              </w:rPr>
            </w:pPr>
          </w:p>
        </w:tc>
      </w:tr>
      <w:tr>
        <w:trPr>
          <w:trHeight w:val="213"/>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gross margin</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260,703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254,639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260,316</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U.S.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63,341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61,479</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(12,153)</w:t>
            </w:r>
          </w:p>
        </w:tc>
        <w:tc>
          <w:tcPr>
            <w:tcW w:w="0" w:type="dxa"/>
            <w:vAlign w:val="bottom"/>
          </w:tcPr>
          <w:p>
            <w:pPr>
              <w:spacing w:after="0"/>
              <w:rPr>
                <w:sz w:val="1"/>
                <w:szCs w:val="1"/>
                <w:color w:val="auto"/>
              </w:rPr>
            </w:pPr>
          </w:p>
        </w:tc>
      </w:tr>
      <w:tr>
        <w:trPr>
          <w:trHeight w:val="220"/>
        </w:trPr>
        <w:tc>
          <w:tcPr>
            <w:tcW w:w="7260" w:type="dxa"/>
            <w:vAlign w:val="bottom"/>
            <w:tcBorders>
              <w:bottom w:val="single" w:sz="8" w:color="CCEEFF"/>
            </w:tcBorders>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Unallocated corporate expenses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(25,063)</w:t>
            </w:r>
          </w:p>
        </w:tc>
        <w:tc>
          <w:tcPr>
            <w:tcW w:w="0" w:type="dxa"/>
            <w:vAlign w:val="bottom"/>
          </w:tcPr>
          <w:p>
            <w:pPr>
              <w:spacing w:after="0"/>
              <w:rPr>
                <w:sz w:val="1"/>
                <w:szCs w:val="1"/>
                <w:color w:val="auto"/>
              </w:rPr>
            </w:pPr>
          </w:p>
        </w:tc>
      </w:tr>
      <w:tr>
        <w:trPr>
          <w:trHeight w:val="238"/>
        </w:trPr>
        <w:tc>
          <w:tcPr>
            <w:tcW w:w="7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income from operations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7"/>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information for significant segment expenses: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386,937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396,511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428,086</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39,260</w:t>
            </w:r>
          </w:p>
        </w:tc>
        <w:tc>
          <w:tcPr>
            <w:tcW w:w="0" w:type="dxa"/>
            <w:vAlign w:val="bottom"/>
          </w:tcPr>
          <w:p>
            <w:pPr>
              <w:spacing w:after="0"/>
              <w:rPr>
                <w:sz w:val="1"/>
                <w:szCs w:val="1"/>
                <w:color w:val="auto"/>
              </w:rPr>
            </w:pPr>
          </w:p>
        </w:tc>
      </w:tr>
      <w:tr>
        <w:trPr>
          <w:trHeight w:val="213"/>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cost of sales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422,249</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467,346</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Freight-out expenses: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13,333</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0" w:type="dxa"/>
            <w:vAlign w:val="bottom"/>
          </w:tcPr>
          <w:p>
            <w:pPr>
              <w:spacing w:after="0"/>
              <w:rPr>
                <w:sz w:val="1"/>
                <w:szCs w:val="1"/>
                <w:color w:val="auto"/>
              </w:rPr>
            </w:pPr>
          </w:p>
        </w:tc>
      </w:tr>
      <w:tr>
        <w:trPr>
          <w:trHeight w:val="213"/>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freight-out expenses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16,586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17,365</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Warehouse expenses: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46,545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42,148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47,691</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9,892</w:t>
            </w:r>
          </w:p>
        </w:tc>
        <w:tc>
          <w:tcPr>
            <w:tcW w:w="0" w:type="dxa"/>
            <w:vAlign w:val="bottom"/>
          </w:tcPr>
          <w:p>
            <w:pPr>
              <w:spacing w:after="0"/>
              <w:rPr>
                <w:sz w:val="1"/>
                <w:szCs w:val="1"/>
                <w:color w:val="auto"/>
              </w:rPr>
            </w:pPr>
          </w:p>
        </w:tc>
      </w:tr>
      <w:tr>
        <w:trPr>
          <w:trHeight w:val="213"/>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warehouse expenses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57,224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52,156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57,583</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123,018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117,443</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118,175</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International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17,018</w:t>
            </w:r>
          </w:p>
        </w:tc>
        <w:tc>
          <w:tcPr>
            <w:tcW w:w="0" w:type="dxa"/>
            <w:vAlign w:val="bottom"/>
          </w:tcPr>
          <w:p>
            <w:pPr>
              <w:spacing w:after="0"/>
              <w:rPr>
                <w:sz w:val="1"/>
                <w:szCs w:val="1"/>
                <w:color w:val="auto"/>
              </w:rPr>
            </w:pPr>
          </w:p>
        </w:tc>
      </w:tr>
      <w:tr>
        <w:trPr>
          <w:trHeight w:val="220"/>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Unallocated corporate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0" w:type="dxa"/>
            <w:vAlign w:val="bottom"/>
          </w:tcPr>
          <w:p>
            <w:pPr>
              <w:spacing w:after="0"/>
              <w:rPr>
                <w:sz w:val="1"/>
                <w:szCs w:val="1"/>
                <w:color w:val="auto"/>
              </w:rPr>
            </w:pPr>
          </w:p>
        </w:tc>
      </w:tr>
      <w:tr>
        <w:trPr>
          <w:trHeight w:val="238"/>
        </w:trPr>
        <w:tc>
          <w:tcPr>
            <w:tcW w:w="7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selling, general and administrative expenses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159,809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154,545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Other expenses: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20"/>
        </w:trPr>
        <w:tc>
          <w:tcPr>
            <w:tcW w:w="7260" w:type="dxa"/>
            <w:vAlign w:val="bottom"/>
          </w:tcPr>
          <w:p>
            <w:pPr>
              <w:ind w:left="340"/>
              <w:spacing w:after="0" w:line="220" w:lineRule="exact"/>
              <w:rPr>
                <w:sz w:val="20"/>
                <w:szCs w:val="20"/>
                <w:color w:val="auto"/>
              </w:rPr>
            </w:pPr>
            <w:r>
              <w:rPr>
                <w:rFonts w:ascii="Times New Roman" w:cs="Times New Roman" w:eastAsia="Times New Roman" w:hAnsi="Times New Roman"/>
                <w:sz w:val="17"/>
                <w:szCs w:val="17"/>
                <w:color w:val="auto"/>
              </w:rPr>
              <w:t>International</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Unallocated corporate expenses</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5,711</w:t>
            </w:r>
          </w:p>
        </w:tc>
        <w:tc>
          <w:tcPr>
            <w:tcW w:w="0" w:type="dxa"/>
            <w:vAlign w:val="bottom"/>
          </w:tcPr>
          <w:p>
            <w:pPr>
              <w:spacing w:after="0"/>
              <w:rPr>
                <w:sz w:val="1"/>
                <w:szCs w:val="1"/>
                <w:color w:val="auto"/>
              </w:rPr>
            </w:pPr>
          </w:p>
        </w:tc>
      </w:tr>
      <w:tr>
        <w:trPr>
          <w:trHeight w:val="213"/>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other expenses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60" w:hanging="457"/>
        <w:spacing w:after="0"/>
        <w:tabs>
          <w:tab w:leader="none" w:pos="460"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2022, other expenses and income from operations includes restructuring expenses of $0.4 million for the U.S. segment and $0.4 million for the International segment, as described in NOTE 1</w:t>
      </w:r>
    </w:p>
    <w:p>
      <w:pPr>
        <w:ind w:left="46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 SIGNIFICANT ACCOUNTING POLICIES.</w:t>
      </w:r>
    </w:p>
    <w:p>
      <w:pPr>
        <w:spacing w:after="0" w:line="44" w:lineRule="exact"/>
        <w:rPr>
          <w:rFonts w:ascii="Times New Roman" w:cs="Times New Roman" w:eastAsia="Times New Roman" w:hAnsi="Times New Roman"/>
          <w:sz w:val="17"/>
          <w:szCs w:val="17"/>
          <w:color w:val="auto"/>
          <w:vertAlign w:val="superscript"/>
        </w:rPr>
      </w:pPr>
    </w:p>
    <w:p>
      <w:pPr>
        <w:ind w:left="460" w:right="320" w:hanging="457"/>
        <w:spacing w:after="0" w:line="278" w:lineRule="auto"/>
        <w:tabs>
          <w:tab w:leader="none" w:pos="448" w:val="left"/>
        </w:tabs>
        <w:numPr>
          <w:ilvl w:val="0"/>
          <w:numId w:val="38"/>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The Company recognized expenses of $5.1 million in 2022 for estimated remediation costs related to the Wallace EPA Matter, as described in NOTE 13 — COMMITMENTS AND CONTINGENCIES. In 2023 and 2022, the Company recognized $0.8 million and $0.6 million, respectively, of restructuring expenses within unallocated corporate expenses, as described in</w:t>
      </w:r>
    </w:p>
    <w:p>
      <w:pPr>
        <w:ind w:left="460"/>
        <w:spacing w:after="0"/>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NOTE 1 — SIGNIFICANT ACCOUNTING POLICIES.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7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7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18,279</w:t>
            </w:r>
          </w:p>
        </w:tc>
      </w:tr>
      <w:tr>
        <w:trPr>
          <w:trHeight w:val="22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r>
      <w:tr>
        <w:trPr>
          <w:trHeight w:val="213"/>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19,571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19,536</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Capital expenditures: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0"/>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w:t>
            </w:r>
          </w:p>
        </w:tc>
      </w:tr>
      <w:tr>
        <w:trPr>
          <w:trHeight w:val="22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r>
      <w:tr>
        <w:trPr>
          <w:trHeight w:val="213"/>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5"/>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542,420</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560,716</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90,237</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Unallocated corporate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16,189</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634,310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667,142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8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0" w:type="dxa"/>
            <w:vAlign w:val="bottom"/>
          </w:tcPr>
          <w:p>
            <w:pPr>
              <w:spacing w:after="0"/>
              <w:rPr>
                <w:sz w:val="1"/>
                <w:szCs w:val="1"/>
                <w:color w:val="auto"/>
              </w:rPr>
            </w:pPr>
          </w:p>
        </w:tc>
      </w:tr>
      <w:tr>
        <w:trPr>
          <w:trHeight w:val="23"/>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5"/>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goodwill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Geographical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sets forth long-lived assets by the major geographic locations: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3"/>
              </w:rPr>
              <w:t>December,</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5"/>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Long-lived assets, excluding intangible assets, at period-end: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54,526</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66,341</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United Kingdom</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22,692</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Rest of World</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91,654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COMMITMENTS AND CONTINGENCIES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Royalties</w:t>
      </w:r>
    </w:p>
    <w:p>
      <w:pPr>
        <w:spacing w:after="0" w:line="119"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7"/>
          <w:szCs w:val="17"/>
          <w:color w:val="auto"/>
        </w:rPr>
        <w:t>The Company has license agreements that require the payment of minimum royalties on sales of licensed products. The estimated future minimum royalties payable under the noncancellable term of these agreements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
        </w:trPr>
        <w:tc>
          <w:tcPr>
            <w:tcW w:w="10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8,163</w:t>
            </w:r>
          </w:p>
        </w:tc>
      </w:tr>
      <w:tr>
        <w:trPr>
          <w:trHeight w:val="220"/>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38"/>
        </w:trPr>
        <w:tc>
          <w:tcPr>
            <w:tcW w:w="10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8,223</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Wallace EPA Matter</w:t>
      </w:r>
    </w:p>
    <w:p>
      <w:pPr>
        <w:spacing w:after="0" w:line="1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organic compounds present in the local drinking water supply.</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affiliated with the Site, which used the organic compounds of concern.</w:t>
      </w:r>
    </w:p>
    <w:p>
      <w:pPr>
        <w:spacing w:after="0" w:line="18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The tolling agreements do not constitute in any way an admission or acknowledgment of any fact, conclusion of law, or liability by the parties to the agreements.</w:t>
      </w:r>
    </w:p>
    <w:p>
      <w:pPr>
        <w:spacing w:after="0" w:line="17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In August 2021, WSPR received a Notice of Liability for the Site from the Department of Justice on behalf of the EPA, and in September 2021, WSPR responded with a good faith offer to conduct additional testing and remedial design work for OU-1. WSPR has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comment period. On September 6, 2023, at the conclusion of the public comment period, the U.S. Government filed a Motion to Enter the Decree, and the court entered the Decree into order on December 14, 2023, thereby effectuating the Decree. On January 10, 2024, EPA issued a notice to proceed with the OU-1 remedial work. The Company thereafter commenced remedial work on OU-1 in accordance with the Decree.</w:t>
      </w:r>
    </w:p>
    <w:p>
      <w:pPr>
        <w:spacing w:after="0" w:line="39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Company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 As of December 31, 2024, the remaining liability is $5.4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Contingency Settlement</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2015, Taylor Precision Products, Inc. (“Taylor” and/or the “Plaintiff”), acquired by the Company on March 2, 2018, commenced a legal action related to a 2013 acquisition, alleging that the seller failed to sufficiently disclose certain adverse information as part of the acquisition. In February 2025, the Company received a net settlement of $6.4 million related to this case. The Company will recognize this settlement in the statement of operations for the quarter ended March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w:t>
      </w:r>
    </w:p>
    <w:p>
      <w:pPr>
        <w:spacing w:after="0" w:line="11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RETIREMENT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401(k) plan and other defined contribution plans</w:t>
      </w:r>
    </w:p>
    <w:p>
      <w:pPr>
        <w:spacing w:after="0" w:line="11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Company maintains a defined contribution retirement plan for eligible employees under Section 401(k) of the Internal Revenue Code. Participants can make voluntary contributions up to the Internal Revenue Service limit of $23,000 ($30,500 for employees 50 years old or over) for 2024. The Company’s United Kingdom-based subsidiary, Lifetime Brands Europe Limited, maintains a defined contribution pension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benefit obligations</w:t>
      </w:r>
    </w:p>
    <w:p>
      <w:pPr>
        <w:spacing w:after="0" w:line="119"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 Company assumed retirement benefit obligations, which are paid to certain former executives of a business acquired in 2006. The obligations under the agreements with these former executives are unfunded and amounted to $4.7 million at December 31, 2024 and $5.6 million at December 31, 2023.</w:t>
      </w:r>
    </w:p>
    <w:p>
      <w:pPr>
        <w:spacing w:after="0" w:line="151"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discount rate used to calculate the retirement benefit obligations was 5.35% at December 31, 2024 and 4.66% at December 31, 2023. The retirement benefit obligations are included in accrued expenses and other long-term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expects to recognize less than $0.1 million of actuarial losses included in accumulated other comprehensive loss in net periodic benefit cost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benefit payments for each of the next five fiscal years and in the aggregate for the five fiscal years thereafter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 through 2034</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604"/>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15 — OTHER</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Inventory</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inventory are as follows: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5"/>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180,860</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7,681</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202,408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188,647</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(including finance leases) consist of:</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8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furniture and equipment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80,140</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38,962</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hardware and software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38,408</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159,139</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(148,568)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(142,169)</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Depreciation and amortization expense of property and equipment for the years ended December 31, 2024, 2023 and 2022 was $6.7 million, $4.7 million and $5.0 million,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444444"/>
        </w:rPr>
        <w:t>F</w:t>
      </w:r>
      <w:r>
        <w:rPr>
          <w:rFonts w:ascii="Times New Roman" w:cs="Times New Roman" w:eastAsia="Times New Roman" w:hAnsi="Times New Roman"/>
          <w:sz w:val="16"/>
          <w:szCs w:val="16"/>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 of:</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r>
      <w:tr>
        <w:trPr>
          <w:trHeight w:val="23"/>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allowances and rebates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29,162</w:t>
            </w: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12,434</w:t>
            </w: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invoices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10,504</w:t>
            </w: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Freight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5,627</w:t>
            </w: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Wallace facility remediation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w:t>
            </w: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Royalties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w:t>
            </w: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w:t>
            </w: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non-income tax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4,684</w:t>
            </w:r>
          </w:p>
        </w:tc>
      </w:tr>
      <w:tr>
        <w:trPr>
          <w:trHeight w:val="213"/>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70,848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78,356</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Customer allowances and rebates, includes estimated variable consideration related to certain advertising, sales incentives and promotional deductions, volume rebates as well as allowances for returns.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long-term liabilities consist of:</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r>
      <w:tr>
        <w:trPr>
          <w:trHeight w:val="23"/>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Retirement benefit obligations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w:t>
            </w:r>
          </w:p>
        </w:tc>
      </w:tr>
      <w:tr>
        <w:trPr>
          <w:trHeight w:val="220"/>
        </w:trPr>
        <w:tc>
          <w:tcPr>
            <w:tcW w:w="86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Wallace facility remediation</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non-income tax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3,156</w:t>
            </w:r>
          </w:p>
        </w:tc>
      </w:tr>
      <w:tr>
        <w:trPr>
          <w:trHeight w:val="22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obligations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w:t>
            </w:r>
          </w:p>
        </w:tc>
      </w:tr>
      <w:tr>
        <w:trPr>
          <w:trHeight w:val="238"/>
        </w:trPr>
        <w:tc>
          <w:tcPr>
            <w:tcW w:w="8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460" w:right="420" w:hanging="457"/>
        <w:spacing w:after="0" w:line="276" w:lineRule="auto"/>
        <w:tabs>
          <w:tab w:leader="none" w:pos="211"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Wallace facility remediation liability was classified within accrued expenses in the Company’s Consolidated Balance Sheet at December 31, 2023. Based on current estimates of the project timeline a portion of the liability is classified within other long-term liabilities in the Company’s Consolidated Balance Sheet at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
        </w:trPr>
        <w:tc>
          <w:tcPr>
            <w:tcW w:w="3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3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r>
      <w:tr>
        <w:trPr>
          <w:trHeight w:val="185"/>
        </w:trPr>
        <w:tc>
          <w:tcPr>
            <w:tcW w:w="39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03"/>
              <w:spacing w:after="0"/>
              <w:rPr>
                <w:sz w:val="20"/>
                <w:szCs w:val="20"/>
                <w:color w:val="auto"/>
              </w:rPr>
            </w:pPr>
            <w:r>
              <w:rPr>
                <w:rFonts w:ascii="Times New Roman" w:cs="Times New Roman" w:eastAsia="Times New Roman" w:hAnsi="Times New Roman"/>
                <w:sz w:val="14"/>
                <w:szCs w:val="14"/>
                <w:color w:val="auto"/>
                <w:w w:val="97"/>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39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19,961</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15,421</w:t>
            </w:r>
          </w:p>
        </w:tc>
        <w:tc>
          <w:tcPr>
            <w:tcW w:w="20" w:type="dxa"/>
            <w:vAlign w:val="bottom"/>
          </w:tcPr>
          <w:p>
            <w:pPr>
              <w:spacing w:after="0"/>
              <w:rPr>
                <w:sz w:val="19"/>
                <w:szCs w:val="19"/>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taxes, net of refunds</w:t>
            </w:r>
          </w:p>
        </w:tc>
        <w:tc>
          <w:tcPr>
            <w:tcW w:w="3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9,757</w:t>
            </w:r>
          </w:p>
        </w:tc>
        <w:tc>
          <w:tcPr>
            <w:tcW w:w="20" w:type="dxa"/>
            <w:vAlign w:val="bottom"/>
          </w:tcPr>
          <w:p>
            <w:pPr>
              <w:spacing w:after="0"/>
              <w:rPr>
                <w:sz w:val="19"/>
                <w:szCs w:val="19"/>
                <w:color w:val="auto"/>
              </w:rPr>
            </w:pPr>
          </w:p>
        </w:tc>
      </w:tr>
      <w:tr>
        <w:trPr>
          <w:trHeight w:val="711"/>
        </w:trPr>
        <w:tc>
          <w:tcPr>
            <w:tcW w:w="3920" w:type="dxa"/>
            <w:vAlign w:val="bottom"/>
          </w:tcPr>
          <w:p>
            <w:pPr>
              <w:spacing w:after="0"/>
              <w:rPr>
                <w:sz w:val="24"/>
                <w:szCs w:val="24"/>
                <w:color w:val="auto"/>
              </w:rPr>
            </w:pPr>
          </w:p>
        </w:tc>
        <w:tc>
          <w:tcPr>
            <w:tcW w:w="3620" w:type="dxa"/>
            <w:vAlign w:val="bottom"/>
            <w:gridSpan w:val="2"/>
          </w:tcPr>
          <w:p>
            <w:pPr>
              <w:jc w:val="right"/>
              <w:ind w:right="176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-39</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392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accumulated other comprehensive loss, net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w w:val="97"/>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Accumulated translation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(31,752)</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Translation adjustment during period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0" w:type="dxa"/>
            <w:vAlign w:val="bottom"/>
          </w:tcPr>
          <w:p>
            <w:pPr>
              <w:spacing w:after="0"/>
              <w:rPr>
                <w:sz w:val="1"/>
                <w:szCs w:val="1"/>
                <w:color w:val="auto"/>
              </w:rPr>
            </w:pPr>
          </w:p>
        </w:tc>
      </w:tr>
      <w:tr>
        <w:trPr>
          <w:trHeight w:val="220"/>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Amount reclassified from accumulated other comprehensive loss </w:t>
            </w:r>
            <w:r>
              <w:rPr>
                <w:rFonts w:ascii="Times New Roman" w:cs="Times New Roman" w:eastAsia="Times New Roman" w:hAnsi="Times New Roman"/>
                <w:sz w:val="10"/>
                <w:szCs w:val="10"/>
                <w:color w:val="auto"/>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Translation Adjustment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(32,614)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(36,072)</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i w:val="1"/>
                <w:iCs w:val="1"/>
                <w:color w:val="auto"/>
              </w:rPr>
              <w:t>Accumulated deferred gains (losses) on cash flow hedges: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unrealized gains (losses)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Amounts reclassified from accumulated other comprehensive loss: </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Settlement of cash flow hedges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0" w:type="dxa"/>
            <w:vAlign w:val="bottom"/>
          </w:tcPr>
          <w:p>
            <w:pPr>
              <w:spacing w:after="0"/>
              <w:rPr>
                <w:sz w:val="1"/>
                <w:szCs w:val="1"/>
                <w:color w:val="auto"/>
              </w:rPr>
            </w:pPr>
          </w:p>
        </w:tc>
      </w:tr>
      <w:tr>
        <w:trPr>
          <w:trHeight w:val="21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change in cash flow hedges, net of taxes of $12, $(30) and $(190)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23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Accumulated effect of retirement benefit obligations: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20"/>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retirement benefit obligations, net of tax of $(173), $31 and $(359)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Amount reclassified from accumulated other comprehensive loss:</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Amortization of loss, net of tax of $(17), $(16) and $(39)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effects of retirement benefit obligations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accumulated other comprehensive loss at end of period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60" w:hanging="457"/>
        <w:spacing w:after="0"/>
        <w:tabs>
          <w:tab w:leader="none" w:pos="46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 is recorded in equity in losses on the consolidated statements of operations.</w:t>
      </w:r>
    </w:p>
    <w:p>
      <w:pPr>
        <w:spacing w:after="0" w:line="42" w:lineRule="exact"/>
        <w:rPr>
          <w:rFonts w:ascii="Times New Roman" w:cs="Times New Roman" w:eastAsia="Times New Roman" w:hAnsi="Times New Roman"/>
          <w:sz w:val="18"/>
          <w:szCs w:val="18"/>
          <w:color w:val="auto"/>
          <w:vertAlign w:val="superscript"/>
        </w:rPr>
      </w:pPr>
    </w:p>
    <w:p>
      <w:pPr>
        <w:ind w:left="460" w:hanging="457"/>
        <w:spacing w:after="0"/>
        <w:tabs>
          <w:tab w:leader="none" w:pos="46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are recorded in interest expense and cost of goods sold on the consolidated statements of operations.</w:t>
      </w:r>
    </w:p>
    <w:p>
      <w:pPr>
        <w:spacing w:after="0" w:line="44" w:lineRule="exact"/>
        <w:rPr>
          <w:rFonts w:ascii="Times New Roman" w:cs="Times New Roman" w:eastAsia="Times New Roman" w:hAnsi="Times New Roman"/>
          <w:sz w:val="9"/>
          <w:szCs w:val="9"/>
          <w:color w:val="auto"/>
        </w:rPr>
      </w:pPr>
    </w:p>
    <w:p>
      <w:pPr>
        <w:ind w:left="460" w:hanging="457"/>
        <w:spacing w:after="0"/>
        <w:tabs>
          <w:tab w:leader="none" w:pos="46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 is recorded in selling, general and administrative expenses on the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t>Item 15(a)</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(in thousands)</w:t>
      </w:r>
    </w:p>
    <w:p>
      <w:pPr>
        <w:spacing w:after="0" w:line="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COL. A</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COL. B</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COL. C</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COL. D</w:t>
            </w:r>
          </w:p>
        </w:tc>
        <w:tc>
          <w:tcPr>
            <w:tcW w:w="200" w:type="dxa"/>
            <w:vAlign w:val="bottom"/>
          </w:tcPr>
          <w:p>
            <w:pPr>
              <w:spacing w:after="0"/>
              <w:rPr>
                <w:sz w:val="13"/>
                <w:szCs w:val="13"/>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4"/>
              </w:rPr>
              <w:t>COL. 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38"/>
              <w:spacing w:after="0" w:line="124"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8"/>
              <w:spacing w:after="0" w:line="124"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1"/>
        </w:trPr>
        <w:tc>
          <w:tcPr>
            <w:tcW w:w="4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beginning</w:t>
            </w:r>
          </w:p>
        </w:tc>
        <w:tc>
          <w:tcPr>
            <w:tcW w:w="22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Deductions</w:t>
            </w:r>
          </w:p>
        </w:tc>
        <w:tc>
          <w:tcPr>
            <w:tcW w:w="200" w:type="dxa"/>
            <w:vAlign w:val="bottom"/>
          </w:tcPr>
          <w:p>
            <w:pPr>
              <w:spacing w:after="0"/>
              <w:rPr>
                <w:sz w:val="12"/>
                <w:szCs w:val="12"/>
                <w:color w:val="auto"/>
              </w:rPr>
            </w:pPr>
          </w:p>
        </w:tc>
        <w:tc>
          <w:tcPr>
            <w:tcW w:w="1040" w:type="dxa"/>
            <w:vAlign w:val="bottom"/>
          </w:tcPr>
          <w:p>
            <w:pPr>
              <w:jc w:val="center"/>
              <w:ind w:right="118"/>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 of</w:t>
            </w:r>
          </w:p>
        </w:tc>
        <w:tc>
          <w:tcPr>
            <w:tcW w:w="0" w:type="dxa"/>
            <w:vAlign w:val="bottom"/>
          </w:tcPr>
          <w:p>
            <w:pPr>
              <w:spacing w:after="0"/>
              <w:rPr>
                <w:sz w:val="1"/>
                <w:szCs w:val="1"/>
                <w:color w:val="auto"/>
              </w:rPr>
            </w:pPr>
          </w:p>
        </w:tc>
      </w:tr>
      <w:tr>
        <w:trPr>
          <w:trHeight w:val="142"/>
        </w:trPr>
        <w:tc>
          <w:tcPr>
            <w:tcW w:w="49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of period</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22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Accounts receivable allowances: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300"/>
              <w:spacing w:after="0" w:line="220" w:lineRule="exact"/>
              <w:rPr>
                <w:sz w:val="20"/>
                <w:szCs w:val="20"/>
                <w:color w:val="auto"/>
              </w:rPr>
            </w:pPr>
            <w:r>
              <w:rPr>
                <w:rFonts w:ascii="Times New Roman" w:cs="Times New Roman" w:eastAsia="Times New Roman" w:hAnsi="Times New Roman"/>
                <w:sz w:val="17"/>
                <w:szCs w:val="17"/>
                <w:color w:val="auto"/>
              </w:rPr>
              <w:t>Allowance for doubtful accounts</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8,192</w:t>
            </w:r>
          </w:p>
        </w:tc>
        <w:tc>
          <w:tcPr>
            <w:tcW w:w="0" w:type="dxa"/>
            <w:vAlign w:val="bottom"/>
          </w:tcPr>
          <w:p>
            <w:pPr>
              <w:spacing w:after="0"/>
              <w:rPr>
                <w:sz w:val="1"/>
                <w:szCs w:val="1"/>
                <w:color w:val="auto"/>
              </w:rPr>
            </w:pPr>
          </w:p>
        </w:tc>
      </w:tr>
      <w:tr>
        <w:trPr>
          <w:trHeight w:val="426"/>
        </w:trPr>
        <w:tc>
          <w:tcPr>
            <w:tcW w:w="20" w:type="dxa"/>
            <w:vAlign w:val="bottom"/>
            <w:tcBorders>
              <w:bottom w:val="single" w:sz="8" w:color="CCEEFF"/>
            </w:tcBorders>
          </w:tcPr>
          <w:p>
            <w:pPr>
              <w:spacing w:after="0"/>
              <w:rPr>
                <w:sz w:val="24"/>
                <w:szCs w:val="24"/>
                <w:color w:val="auto"/>
              </w:rPr>
            </w:pPr>
          </w:p>
        </w:tc>
        <w:tc>
          <w:tcPr>
            <w:tcW w:w="49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7"/>
                <w:szCs w:val="17"/>
                <w:color w:val="auto"/>
              </w:rPr>
              <w:t>Allowance for anticipated customer deductions</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CCEEFF"/>
            </w:tcBorders>
            <w:gridSpan w:val="3"/>
            <w:shd w:val="clear" w:color="auto" w:fill="CCEEFF"/>
          </w:tcPr>
          <w:p>
            <w:pPr>
              <w:ind w:left="300"/>
              <w:spacing w:after="0" w:line="187" w:lineRule="exact"/>
              <w:rPr>
                <w:sz w:val="20"/>
                <w:szCs w:val="20"/>
                <w:color w:val="auto"/>
              </w:rPr>
            </w:pPr>
            <w:r>
              <w:rPr>
                <w:rFonts w:ascii="Times New Roman" w:cs="Times New Roman" w:eastAsia="Times New Roman" w:hAnsi="Times New Roman"/>
                <w:sz w:val="17"/>
                <w:szCs w:val="17"/>
                <w:color w:val="auto"/>
              </w:rPr>
              <w:t>Total accounts receivable allowances:</w:t>
            </w:r>
          </w:p>
        </w:tc>
        <w:tc>
          <w:tcPr>
            <w:tcW w:w="220" w:type="dxa"/>
            <w:vAlign w:val="bottom"/>
            <w:tcBorders>
              <w:bottom w:val="single" w:sz="8" w:color="auto"/>
            </w:tcBorders>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15,952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4,787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(6,646)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14,093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9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300"/>
              <w:spacing w:after="0" w:line="220" w:lineRule="exact"/>
              <w:rPr>
                <w:sz w:val="20"/>
                <w:szCs w:val="20"/>
                <w:color w:val="auto"/>
              </w:rPr>
            </w:pPr>
            <w:r>
              <w:rPr>
                <w:rFonts w:ascii="Times New Roman" w:cs="Times New Roman" w:eastAsia="Times New Roman" w:hAnsi="Times New Roman"/>
                <w:sz w:val="17"/>
                <w:szCs w:val="17"/>
                <w:color w:val="auto"/>
              </w:rPr>
              <w:t>Allowance for doubtful accounts</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7,311</w:t>
            </w:r>
          </w:p>
        </w:tc>
        <w:tc>
          <w:tcPr>
            <w:tcW w:w="0" w:type="dxa"/>
            <w:vAlign w:val="bottom"/>
          </w:tcPr>
          <w:p>
            <w:pPr>
              <w:spacing w:after="0"/>
              <w:rPr>
                <w:sz w:val="1"/>
                <w:szCs w:val="1"/>
                <w:color w:val="auto"/>
              </w:rPr>
            </w:pPr>
          </w:p>
        </w:tc>
      </w:tr>
      <w:tr>
        <w:trPr>
          <w:trHeight w:val="426"/>
        </w:trPr>
        <w:tc>
          <w:tcPr>
            <w:tcW w:w="20" w:type="dxa"/>
            <w:vAlign w:val="bottom"/>
            <w:tcBorders>
              <w:bottom w:val="single" w:sz="8" w:color="CCEEFF"/>
            </w:tcBorders>
          </w:tcPr>
          <w:p>
            <w:pPr>
              <w:spacing w:after="0"/>
              <w:rPr>
                <w:sz w:val="24"/>
                <w:szCs w:val="24"/>
                <w:color w:val="auto"/>
              </w:rPr>
            </w:pPr>
          </w:p>
        </w:tc>
        <w:tc>
          <w:tcPr>
            <w:tcW w:w="49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7"/>
                <w:szCs w:val="17"/>
                <w:color w:val="auto"/>
              </w:rPr>
              <w:t>Allowance for anticipated customer deductions</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8,641</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CCEEFF"/>
            </w:tcBorders>
            <w:gridSpan w:val="3"/>
            <w:shd w:val="clear" w:color="auto" w:fill="CCEEFF"/>
          </w:tcPr>
          <w:p>
            <w:pPr>
              <w:ind w:left="300"/>
              <w:spacing w:after="0" w:line="187" w:lineRule="exact"/>
              <w:rPr>
                <w:sz w:val="20"/>
                <w:szCs w:val="20"/>
                <w:color w:val="auto"/>
              </w:rPr>
            </w:pPr>
            <w:r>
              <w:rPr>
                <w:rFonts w:ascii="Times New Roman" w:cs="Times New Roman" w:eastAsia="Times New Roman" w:hAnsi="Times New Roman"/>
                <w:sz w:val="17"/>
                <w:szCs w:val="17"/>
                <w:color w:val="auto"/>
              </w:rPr>
              <w:t>Total accounts receivable allowances:</w:t>
            </w:r>
          </w:p>
        </w:tc>
        <w:tc>
          <w:tcPr>
            <w:tcW w:w="220" w:type="dxa"/>
            <w:vAlign w:val="bottom"/>
            <w:tcBorders>
              <w:bottom w:val="single" w:sz="8" w:color="auto"/>
            </w:tcBorders>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14,606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9,016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(7,670)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15,952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9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300"/>
              <w:spacing w:after="0" w:line="220" w:lineRule="exact"/>
              <w:rPr>
                <w:sz w:val="20"/>
                <w:szCs w:val="20"/>
                <w:color w:val="auto"/>
              </w:rPr>
            </w:pPr>
            <w:r>
              <w:rPr>
                <w:rFonts w:ascii="Times New Roman" w:cs="Times New Roman" w:eastAsia="Times New Roman" w:hAnsi="Times New Roman"/>
                <w:sz w:val="17"/>
                <w:szCs w:val="17"/>
                <w:color w:val="auto"/>
              </w:rPr>
              <w:t>Allowance for doubtful accounts</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0" w:type="dxa"/>
            <w:vAlign w:val="bottom"/>
          </w:tcPr>
          <w:p>
            <w:pPr>
              <w:spacing w:after="0"/>
              <w:rPr>
                <w:sz w:val="1"/>
                <w:szCs w:val="1"/>
                <w:color w:val="auto"/>
              </w:rPr>
            </w:pPr>
          </w:p>
        </w:tc>
      </w:tr>
      <w:tr>
        <w:trPr>
          <w:trHeight w:val="426"/>
        </w:trPr>
        <w:tc>
          <w:tcPr>
            <w:tcW w:w="20" w:type="dxa"/>
            <w:vAlign w:val="bottom"/>
            <w:tcBorders>
              <w:bottom w:val="single" w:sz="8" w:color="CCEEFF"/>
            </w:tcBorders>
          </w:tcPr>
          <w:p>
            <w:pPr>
              <w:spacing w:after="0"/>
              <w:rPr>
                <w:sz w:val="24"/>
                <w:szCs w:val="24"/>
                <w:color w:val="auto"/>
              </w:rPr>
            </w:pPr>
          </w:p>
        </w:tc>
        <w:tc>
          <w:tcPr>
            <w:tcW w:w="49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7"/>
                <w:szCs w:val="17"/>
                <w:color w:val="auto"/>
              </w:rPr>
              <w:t>Allowance for anticipated customer deductions</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valuation allowance: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20,159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16,323</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60" w:right="80" w:hanging="457"/>
        <w:spacing w:after="0" w:line="232" w:lineRule="auto"/>
        <w:tabs>
          <w:tab w:leader="none" w:pos="456"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allowance for doubtful accounts represents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Additions to the allowance for doubtful accounts are recognized in selling, general and administrative expense in the Company’s consolidated statement of operations. Deductions to the allowance for doubtful accounts represents receivables previously reserved that have been written-off, less any recoveries.</w:t>
      </w:r>
    </w:p>
    <w:p>
      <w:pPr>
        <w:spacing w:after="0" w:line="43" w:lineRule="exact"/>
        <w:rPr>
          <w:rFonts w:ascii="Times New Roman" w:cs="Times New Roman" w:eastAsia="Times New Roman" w:hAnsi="Times New Roman"/>
          <w:sz w:val="18"/>
          <w:szCs w:val="18"/>
          <w:color w:val="auto"/>
          <w:vertAlign w:val="superscript"/>
        </w:rPr>
      </w:pPr>
    </w:p>
    <w:p>
      <w:pPr>
        <w:ind w:left="460" w:hanging="457"/>
        <w:spacing w:after="0" w:line="226" w:lineRule="auto"/>
        <w:tabs>
          <w:tab w:leader="none" w:pos="448"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Additions to the allowance for anticipated customer deductions is recognized as a reduction of net sales. Deductions to the allowance for anticipated customer deductions includes deductions that were ultimately taken by the customer.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1160"/>
          </w:cols>
          <w:pgMar w:left="320" w:top="1049" w:right="4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10.55</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Amendment Agreement No. 6 </w:t>
      </w:r>
      <w:r>
        <w:rPr>
          <w:rFonts w:ascii="Times New Roman" w:cs="Times New Roman" w:eastAsia="Times New Roman" w:hAnsi="Times New Roman"/>
          <w:sz w:val="21"/>
          <w:szCs w:val="21"/>
          <w:color w:val="auto"/>
        </w:rPr>
        <w:t>dated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__March 13__</w:t>
      </w:r>
      <w:r>
        <w:rPr>
          <w:rFonts w:ascii="Times New Roman" w:cs="Times New Roman" w:eastAsia="Times New Roman" w:hAnsi="Times New Roman"/>
          <w:sz w:val="21"/>
          <w:szCs w:val="21"/>
          <w:color w:val="auto"/>
        </w:rPr>
        <w:t>, 2025 among:</w:t>
      </w:r>
    </w:p>
    <w:p>
      <w:pPr>
        <w:spacing w:after="0" w:line="30" w:lineRule="exact"/>
        <w:rPr>
          <w:sz w:val="20"/>
          <w:szCs w:val="20"/>
          <w:color w:val="auto"/>
        </w:rPr>
      </w:pPr>
    </w:p>
    <w:p>
      <w:pPr>
        <w:ind w:firstLine="436"/>
        <w:spacing w:after="0" w:line="248" w:lineRule="auto"/>
        <w:tabs>
          <w:tab w:leader="none" w:pos="84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Lifetime Brands, Inc., a company duly organized and in existence pursuant to the laws of the State of Delaware in the United States of America (“</w:t>
      </w:r>
      <w:r>
        <w:rPr>
          <w:rFonts w:ascii="Times New Roman" w:cs="Times New Roman" w:eastAsia="Times New Roman" w:hAnsi="Times New Roman"/>
          <w:sz w:val="21"/>
          <w:szCs w:val="21"/>
          <w:u w:val="single" w:color="auto"/>
          <w:color w:val="auto"/>
        </w:rPr>
        <w:t>LTB</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Strategic Investor</w:t>
      </w:r>
      <w:r>
        <w:rPr>
          <w:rFonts w:ascii="Times New Roman" w:cs="Times New Roman" w:eastAsia="Times New Roman" w:hAnsi="Times New Roman"/>
          <w:sz w:val="21"/>
          <w:szCs w:val="21"/>
          <w:color w:val="auto"/>
        </w:rPr>
        <w:t>”);</w:t>
      </w:r>
    </w:p>
    <w:p>
      <w:pPr>
        <w:spacing w:after="0" w:line="198" w:lineRule="exact"/>
        <w:rPr>
          <w:rFonts w:ascii="Times New Roman" w:cs="Times New Roman" w:eastAsia="Times New Roman" w:hAnsi="Times New Roman"/>
          <w:sz w:val="21"/>
          <w:szCs w:val="21"/>
          <w:color w:val="auto"/>
        </w:rPr>
      </w:pPr>
    </w:p>
    <w:p>
      <w:pPr>
        <w:jc w:val="both"/>
        <w:ind w:firstLine="558"/>
        <w:spacing w:after="0" w:line="265" w:lineRule="auto"/>
        <w:tabs>
          <w:tab w:leader="none" w:pos="108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Grupo Vasconia, S.A.B., formerly known as Ekco, S.A.B., a Mexican </w:t>
      </w:r>
      <w:r>
        <w:rPr>
          <w:rFonts w:ascii="Times New Roman" w:cs="Times New Roman" w:eastAsia="Times New Roman" w:hAnsi="Times New Roman"/>
          <w:sz w:val="21"/>
          <w:szCs w:val="21"/>
          <w:i w:val="1"/>
          <w:iCs w:val="1"/>
          <w:color w:val="auto"/>
        </w:rPr>
        <w:t>sociedad anónima bursátil</w:t>
      </w:r>
      <w:r>
        <w:rPr>
          <w:rFonts w:ascii="Times New Roman" w:cs="Times New Roman" w:eastAsia="Times New Roman" w:hAnsi="Times New Roman"/>
          <w:sz w:val="21"/>
          <w:szCs w:val="21"/>
          <w:color w:val="auto"/>
        </w:rPr>
        <w:t xml:space="preserve"> duly organized and in existence pursuant to the laws of the United Mexican States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provided that when the context so requires it, “Company” shall also include the Company Subsidiaries); and</w:t>
      </w:r>
    </w:p>
    <w:p>
      <w:pPr>
        <w:spacing w:after="0" w:line="186" w:lineRule="exact"/>
        <w:rPr>
          <w:rFonts w:ascii="Times New Roman" w:cs="Times New Roman" w:eastAsia="Times New Roman" w:hAnsi="Times New Roman"/>
          <w:sz w:val="21"/>
          <w:szCs w:val="21"/>
          <w:color w:val="auto"/>
        </w:rPr>
      </w:pPr>
    </w:p>
    <w:p>
      <w:pPr>
        <w:ind w:firstLine="556"/>
        <w:spacing w:after="0" w:line="270" w:lineRule="auto"/>
        <w:tabs>
          <w:tab w:leader="none" w:pos="1139"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Mr. José Ramón Elizondo Anaya, a Mexican individual (“</w:t>
      </w:r>
      <w:r>
        <w:rPr>
          <w:rFonts w:ascii="Times New Roman" w:cs="Times New Roman" w:eastAsia="Times New Roman" w:hAnsi="Times New Roman"/>
          <w:sz w:val="21"/>
          <w:szCs w:val="21"/>
          <w:u w:val="single" w:color="auto"/>
          <w:color w:val="auto"/>
        </w:rPr>
        <w:t>Mr. Elizondo</w:t>
      </w:r>
      <w:r>
        <w:rPr>
          <w:rFonts w:ascii="Times New Roman" w:cs="Times New Roman" w:eastAsia="Times New Roman" w:hAnsi="Times New Roman"/>
          <w:sz w:val="21"/>
          <w:szCs w:val="21"/>
          <w:color w:val="auto"/>
        </w:rPr>
        <w:t>”), Mr. Miguel Ángel Huerta Pando, a Mexican individual (“</w:t>
      </w:r>
      <w:r>
        <w:rPr>
          <w:rFonts w:ascii="Times New Roman" w:cs="Times New Roman" w:eastAsia="Times New Roman" w:hAnsi="Times New Roman"/>
          <w:sz w:val="21"/>
          <w:szCs w:val="21"/>
          <w:u w:val="single" w:color="auto"/>
          <w:color w:val="auto"/>
        </w:rPr>
        <w:t>Mr. Huerta</w:t>
      </w:r>
      <w:r>
        <w:rPr>
          <w:rFonts w:ascii="Times New Roman" w:cs="Times New Roman" w:eastAsia="Times New Roman" w:hAnsi="Times New Roman"/>
          <w:sz w:val="21"/>
          <w:szCs w:val="21"/>
          <w:color w:val="auto"/>
        </w:rPr>
        <w:t>” and together with Mr. Elizondo the “</w:t>
      </w:r>
      <w:r>
        <w:rPr>
          <w:rFonts w:ascii="Times New Roman" w:cs="Times New Roman" w:eastAsia="Times New Roman" w:hAnsi="Times New Roman"/>
          <w:sz w:val="21"/>
          <w:szCs w:val="21"/>
          <w:u w:val="single" w:color="auto"/>
          <w:color w:val="auto"/>
        </w:rPr>
        <w:t>Primary Shareholders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WITNESSETH</w:t>
      </w:r>
    </w:p>
    <w:p>
      <w:pPr>
        <w:spacing w:after="0" w:line="21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Lifetime Brands, Inc., Ekco, S.A.B. (now known as Grupo Vasconia, S.A.B.), Mr. José Ramón Elizondo Anaya and Mr.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Miguel Angel Huerta Pando (hereinafter are collectively,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entered into a Shares Subscription Agreement dated June 8, 2007 (the “</w:t>
      </w:r>
      <w:r>
        <w:rPr>
          <w:rFonts w:ascii="Times New Roman" w:cs="Times New Roman" w:eastAsia="Times New Roman" w:hAnsi="Times New Roman"/>
          <w:sz w:val="21"/>
          <w:szCs w:val="21"/>
          <w:u w:val="single" w:color="auto"/>
          <w:color w:val="auto"/>
        </w:rPr>
        <w:t>SSA</w:t>
      </w:r>
      <w:r>
        <w:rPr>
          <w:rFonts w:ascii="Times New Roman" w:cs="Times New Roman" w:eastAsia="Times New Roman" w:hAnsi="Times New Roman"/>
          <w:sz w:val="21"/>
          <w:szCs w:val="21"/>
          <w:color w:val="auto"/>
        </w:rPr>
        <w:t>”) pursuant to which they agreed, among others, on the terms and conditions for a subscription of shares issued by Ekco, S.A.B. (now known as Grupo Vasconia, S.A.B.) by Lifetime Brands, Inc.;</w:t>
      </w:r>
    </w:p>
    <w:p>
      <w:pPr>
        <w:spacing w:after="0" w:line="163"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on September 5, 2007 the Parties entered into an Amendment Agreement No. 1 to amend the SSA, on September 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2008 the Parties entered into an Amendment Agreement No. 2 to amend the SSA, on December 30, 2008 the Parties entered into an Amendment Agreement No. 3 to amend the SSA, on October 21, 2011 the Parties entered into an Amendment Agreement No. 4 to amend the SSA, on February 22, 2023 the Parties entered into an Amendment Agreement No. 4 to amend the SSA and from time to time the Parties further amended the SSA by way of waiver letters executed by the Parties or by any other means (collectively, the “</w:t>
      </w:r>
      <w:r>
        <w:rPr>
          <w:rFonts w:ascii="Times New Roman" w:cs="Times New Roman" w:eastAsia="Times New Roman" w:hAnsi="Times New Roman"/>
          <w:sz w:val="21"/>
          <w:szCs w:val="21"/>
          <w:u w:val="single" w:color="auto"/>
          <w:color w:val="auto"/>
        </w:rPr>
        <w:t>SSA Amendments</w:t>
      </w:r>
      <w:r>
        <w:rPr>
          <w:rFonts w:ascii="Times New Roman" w:cs="Times New Roman" w:eastAsia="Times New Roman" w:hAnsi="Times New Roman"/>
          <w:sz w:val="21"/>
          <w:szCs w:val="21"/>
          <w:color w:val="auto"/>
        </w:rPr>
        <w:t>”);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wish to amend the SSA as described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the Parties hereto agree as follows:</w:t>
      </w:r>
    </w:p>
    <w:p>
      <w:pPr>
        <w:spacing w:after="0" w:line="224"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21"/>
          <w:szCs w:val="21"/>
          <w:b w:val="1"/>
          <w:bCs w:val="1"/>
          <w:u w:val="single" w:color="auto"/>
          <w:color w:val="auto"/>
        </w:rPr>
        <w:t>FIRST</w:t>
      </w:r>
      <w:r>
        <w:rPr>
          <w:rFonts w:ascii="Times New Roman" w:cs="Times New Roman" w:eastAsia="Times New Roman" w:hAnsi="Times New Roman"/>
          <w:sz w:val="21"/>
          <w:szCs w:val="21"/>
          <w:b w:val="1"/>
          <w:bCs w:val="1"/>
          <w:color w:val="auto"/>
        </w:rPr>
        <w:t>. Definitions</w:t>
      </w:r>
      <w:r>
        <w:rPr>
          <w:rFonts w:ascii="Times New Roman" w:cs="Times New Roman" w:eastAsia="Times New Roman" w:hAnsi="Times New Roman"/>
          <w:sz w:val="21"/>
          <w:szCs w:val="21"/>
          <w:color w:val="auto"/>
        </w:rPr>
        <w:t>. (a) Capitalized terms used herein shall have the meanings set forth in the SSA unless otherwise defined herein;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 reference in this Amendment to “</w:t>
      </w:r>
      <w:r>
        <w:rPr>
          <w:rFonts w:ascii="Times New Roman" w:cs="Times New Roman" w:eastAsia="Times New Roman" w:hAnsi="Times New Roman"/>
          <w:sz w:val="21"/>
          <w:szCs w:val="21"/>
          <w:u w:val="single" w:color="auto"/>
          <w:color w:val="auto"/>
        </w:rPr>
        <w:t>SSA</w:t>
      </w:r>
      <w:r>
        <w:rPr>
          <w:rFonts w:ascii="Times New Roman" w:cs="Times New Roman" w:eastAsia="Times New Roman" w:hAnsi="Times New Roman"/>
          <w:sz w:val="21"/>
          <w:szCs w:val="21"/>
          <w:color w:val="auto"/>
        </w:rPr>
        <w:t>” shall mean the SSA as amended by the SSA Amendments.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SECOND</w:t>
      </w:r>
      <w:r>
        <w:rPr>
          <w:rFonts w:ascii="Times New Roman" w:cs="Times New Roman" w:eastAsia="Times New Roman" w:hAnsi="Times New Roman"/>
          <w:sz w:val="21"/>
          <w:szCs w:val="21"/>
          <w:b w:val="1"/>
          <w:bCs w:val="1"/>
          <w:color w:val="auto"/>
        </w:rPr>
        <w:t>. Amendment</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right="40" w:firstLine="3"/>
        <w:spacing w:after="0" w:line="257" w:lineRule="auto"/>
        <w:tabs>
          <w:tab w:leader="none" w:pos="30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9.1(f) is hereby terminated so that the obligations included therein are no longer applicable to the Parties as of the date hereof. In that sense, Section 9.1(f) shall read as follows and all references thereto, in the SSA or any document related to it, including, but not limited to, all</w:t>
      </w:r>
    </w:p>
    <w:p>
      <w:pPr>
        <w:sectPr>
          <w:pgSz w:w="11900" w:h="16838" w:orient="portrait"/>
          <w:cols w:equalWidth="0" w:num="1">
            <w:col w:w="11240"/>
          </w:cols>
          <w:pgMar w:left="320" w:top="97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1"/>
          <w:szCs w:val="21"/>
          <w:color w:val="auto"/>
        </w:rPr>
        <w:t>Transaction Documents, shall cease to be effective and shall be deemed terminated as of the date hereof:</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9.l. Mutual Covenants of the Parties.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w:t>
      </w:r>
    </w:p>
    <w:p>
      <w:pPr>
        <w:spacing w:after="0" w:line="211" w:lineRule="exact"/>
        <w:rPr>
          <w:sz w:val="20"/>
          <w:szCs w:val="20"/>
          <w:color w:val="auto"/>
        </w:rPr>
      </w:pPr>
    </w:p>
    <w:p>
      <w:pPr>
        <w:ind w:left="880" w:hanging="256"/>
        <w:spacing w:after="0"/>
        <w:tabs>
          <w:tab w:leader="none" w:pos="880" w:val="left"/>
        </w:tabs>
        <w:numPr>
          <w:ilvl w:val="1"/>
          <w:numId w:val="4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[Intentionally Omitted]</w:t>
      </w:r>
    </w:p>
    <w:p>
      <w:pPr>
        <w:spacing w:after="0" w:line="214" w:lineRule="exact"/>
        <w:rPr>
          <w:rFonts w:ascii="Times New Roman" w:cs="Times New Roman" w:eastAsia="Times New Roman" w:hAnsi="Times New Roman"/>
          <w:sz w:val="21"/>
          <w:szCs w:val="21"/>
          <w:i w:val="1"/>
          <w:iCs w:val="1"/>
          <w:color w:val="auto"/>
        </w:rPr>
      </w:pPr>
    </w:p>
    <w:p>
      <w:pPr>
        <w:jc w:val="both"/>
        <w:ind w:right="40" w:firstLine="3"/>
        <w:spacing w:after="0" w:line="251" w:lineRule="auto"/>
        <w:tabs>
          <w:tab w:leader="none" w:pos="29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Simultaneous with the execution of this Amendment, the Parties shall enter into a Mutual Termination and Release Agreement to provide for the formal termination of all Transaction Documents. Therefore, Sections 13.1, 13.2, and 13.3 are hereby terminated so that the obligations included therein and any other obligation related to the Transaction Documents (including the obligation related thereto in Sections 15.2, 15.3 and 15.4) are no longer applicable to the Parties as of the date hereof. In that sense, Sections 13.1, 13.2, and 13.3 shall read as follows and all references thereto, in the SSA or any document related to it, including, but not limited to, all Transaction Documents, shall cease to be effective and shall be deemed terminated as of the date hereof:</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13.1. [Intentionally Omitted]</w:t>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13.2. [Intentionally Omitted]</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13.3. [Intentionally Omitted]</w:t>
      </w:r>
    </w:p>
    <w:p>
      <w:pPr>
        <w:spacing w:after="0" w:line="202" w:lineRule="exact"/>
        <w:rPr>
          <w:sz w:val="20"/>
          <w:szCs w:val="20"/>
          <w:color w:val="auto"/>
        </w:rPr>
      </w:pPr>
    </w:p>
    <w:p>
      <w:pPr>
        <w:jc w:val="both"/>
        <w:ind w:right="40" w:firstLine="3"/>
        <w:spacing w:after="0" w:line="263" w:lineRule="auto"/>
        <w:tabs>
          <w:tab w:leader="none" w:pos="33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in the SSA or any of the Transaction Documents to the contrary, the Parties hereby acknowledge and mutually agree that: (i) neither Party has any liability or financial obligation to the other Party under the SSA and/or under any of the Transaction Documents and/or any other arrangements between the Parties as of the date hereof; (ii) each Party hereby waives any rights to any amounts that may be owed or owing to the other Party under the SSA and/or any of the Transaction Documents and/or any other arrangements between the Parties as of the date hereof, including, but not limited to, any payment obligations by LTB to the Company relating to sales of products by LTB to Costco in Mexico; and (iii) any references to “the second anniversary of the Exit Date” are hereby deleted with immediate effect such that there is no longer any second anniversary option under the SSA or any Transaction Documents or any other documents, agreements or other arrangements between the Parties.</w:t>
      </w:r>
    </w:p>
    <w:p>
      <w:pPr>
        <w:spacing w:after="0" w:line="167" w:lineRule="exact"/>
        <w:rPr>
          <w:rFonts w:ascii="Times New Roman" w:cs="Times New Roman" w:eastAsia="Times New Roman" w:hAnsi="Times New Roman"/>
          <w:sz w:val="20"/>
          <w:szCs w:val="20"/>
          <w:color w:val="auto"/>
        </w:rPr>
      </w:pPr>
    </w:p>
    <w:p>
      <w:pPr>
        <w:ind w:left="300" w:hanging="297"/>
        <w:spacing w:after="0"/>
        <w:tabs>
          <w:tab w:leader="none" w:pos="3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provisions of the SSA shall remain in full force and effect.</w:t>
      </w:r>
    </w:p>
    <w:p>
      <w:pPr>
        <w:spacing w:after="0" w:line="207"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20"/>
          <w:szCs w:val="20"/>
          <w:b w:val="1"/>
          <w:bCs w:val="1"/>
          <w:u w:val="single" w:color="auto"/>
          <w:color w:val="auto"/>
        </w:rPr>
        <w:t>THIRD</w:t>
      </w:r>
      <w:r>
        <w:rPr>
          <w:rFonts w:ascii="Times New Roman" w:cs="Times New Roman" w:eastAsia="Times New Roman" w:hAnsi="Times New Roman"/>
          <w:sz w:val="20"/>
          <w:szCs w:val="20"/>
          <w:b w:val="1"/>
          <w:bCs w:val="1"/>
          <w:color w:val="auto"/>
        </w:rPr>
        <w:t>. Vasconia’s Reorganization Proceeding; Concurso Mercantil</w:t>
      </w:r>
      <w:r>
        <w:rPr>
          <w:rFonts w:ascii="Times New Roman" w:cs="Times New Roman" w:eastAsia="Times New Roman" w:hAnsi="Times New Roman"/>
          <w:sz w:val="20"/>
          <w:szCs w:val="20"/>
          <w:color w:val="auto"/>
        </w:rPr>
        <w:t>. The Company hereby represents and warrants that despite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currently being in a </w:t>
      </w:r>
      <w:r>
        <w:rPr>
          <w:rFonts w:ascii="Times New Roman" w:cs="Times New Roman" w:eastAsia="Times New Roman" w:hAnsi="Times New Roman"/>
          <w:sz w:val="20"/>
          <w:szCs w:val="20"/>
          <w:i w:val="1"/>
          <w:iCs w:val="1"/>
          <w:color w:val="auto"/>
        </w:rPr>
        <w:t>concurso mercantil</w:t>
      </w:r>
      <w:r>
        <w:rPr>
          <w:rFonts w:ascii="Times New Roman" w:cs="Times New Roman" w:eastAsia="Times New Roman" w:hAnsi="Times New Roman"/>
          <w:sz w:val="20"/>
          <w:szCs w:val="20"/>
          <w:color w:val="auto"/>
        </w:rPr>
        <w:t xml:space="preserve"> proceeding in Mexico (i) it has all the legal authorizations and capacity required to execute this agreement and terminate the Transaction Documents, (ii) its legal representative has all required legal capacity to bound it, and (iii) the conciliator in the </w:t>
      </w:r>
      <w:r>
        <w:rPr>
          <w:rFonts w:ascii="Times New Roman" w:cs="Times New Roman" w:eastAsia="Times New Roman" w:hAnsi="Times New Roman"/>
          <w:sz w:val="20"/>
          <w:szCs w:val="20"/>
          <w:i w:val="1"/>
          <w:iCs w:val="1"/>
          <w:color w:val="auto"/>
        </w:rPr>
        <w:t>concurso mercantil</w:t>
      </w:r>
      <w:r>
        <w:rPr>
          <w:rFonts w:ascii="Times New Roman" w:cs="Times New Roman" w:eastAsia="Times New Roman" w:hAnsi="Times New Roman"/>
          <w:sz w:val="20"/>
          <w:szCs w:val="20"/>
          <w:color w:val="auto"/>
        </w:rPr>
        <w:t xml:space="preserve"> has expressly authorized the execution of this amendment agreement on the terms hereof.</w:t>
      </w:r>
    </w:p>
    <w:p>
      <w:pPr>
        <w:spacing w:after="0" w:line="1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b w:val="1"/>
          <w:bCs w:val="1"/>
          <w:u w:val="single" w:color="auto"/>
          <w:color w:val="auto"/>
        </w:rPr>
        <w:t>FOURTH</w:t>
      </w:r>
      <w:r>
        <w:rPr>
          <w:rFonts w:ascii="Times New Roman" w:cs="Times New Roman" w:eastAsia="Times New Roman" w:hAnsi="Times New Roman"/>
          <w:sz w:val="21"/>
          <w:szCs w:val="21"/>
          <w:b w:val="1"/>
          <w:bCs w:val="1"/>
          <w:color w:val="auto"/>
        </w:rPr>
        <w:t>. Absence Of Novation</w:t>
      </w:r>
      <w:r>
        <w:rPr>
          <w:rFonts w:ascii="Times New Roman" w:cs="Times New Roman" w:eastAsia="Times New Roman" w:hAnsi="Times New Roman"/>
          <w:sz w:val="21"/>
          <w:szCs w:val="21"/>
          <w:color w:val="auto"/>
        </w:rPr>
        <w:t>. This Amendment shall not represent the novation of the Agreement and the remainder of its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remain valid and effective as originally agreed.</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u w:val="single" w:color="auto"/>
          <w:color w:val="auto"/>
        </w:rPr>
        <w:t>FIFTH</w:t>
      </w:r>
      <w:r>
        <w:rPr>
          <w:rFonts w:ascii="Times New Roman" w:cs="Times New Roman" w:eastAsia="Times New Roman" w:hAnsi="Times New Roman"/>
          <w:sz w:val="21"/>
          <w:szCs w:val="21"/>
          <w:b w:val="1"/>
          <w:bCs w:val="1"/>
          <w:color w:val="auto"/>
        </w:rPr>
        <w:t>. Counterparts</w:t>
      </w:r>
      <w:r>
        <w:rPr>
          <w:rFonts w:ascii="Times New Roman" w:cs="Times New Roman" w:eastAsia="Times New Roman" w:hAnsi="Times New Roman"/>
          <w:sz w:val="21"/>
          <w:szCs w:val="21"/>
          <w:color w:val="auto"/>
        </w:rPr>
        <w:t>. This Agreement may be executed in any number of counterparts, each of which shall be deemed to be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original, but all of which together shall constitute one and the same instrument. A signed copy of this Agreement or any amendment thereto delivered by e-mail (including but not limited, through electronic signatures platforms or by exchange of PDF copies</w:t>
      </w:r>
    </w:p>
    <w:p>
      <w:pPr>
        <w:sectPr>
          <w:pgSz w:w="11900" w:h="16838" w:orient="portrait"/>
          <w:cols w:equalWidth="0" w:num="1">
            <w:col w:w="11240"/>
          </w:cols>
          <w:pgMar w:left="320" w:top="1187" w:right="339" w:bottom="1440" w:gutter="0" w:footer="0" w:header="0"/>
        </w:sectPr>
      </w:pPr>
    </w:p>
    <w:bookmarkStart w:id="97" w:name="page98"/>
    <w:bookmarkEnd w:id="97"/>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of executed signature pages under appropriate written closing instructions) shall be deemed as </w:t>
      </w:r>
      <w:r>
        <w:rPr>
          <w:rFonts w:ascii="Times New Roman" w:cs="Times New Roman" w:eastAsia="Times New Roman" w:hAnsi="Times New Roman"/>
          <w:sz w:val="21"/>
          <w:szCs w:val="21"/>
          <w:i w:val="1"/>
          <w:iCs w:val="1"/>
          <w:color w:val="auto"/>
        </w:rPr>
        <w:t>mensajes de datos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firma electrónica</w:t>
      </w:r>
      <w:r>
        <w:rPr>
          <w:rFonts w:ascii="Times New Roman" w:cs="Times New Roman" w:eastAsia="Times New Roman" w:hAnsi="Times New Roman"/>
          <w:sz w:val="21"/>
          <w:szCs w:val="21"/>
          <w:color w:val="auto"/>
        </w:rPr>
        <w:t>, pursuant to articles 89, 89 bis, 90, 90 bis and other applicable articles of the Commercial Code (</w:t>
      </w:r>
      <w:r>
        <w:rPr>
          <w:rFonts w:ascii="Times New Roman" w:cs="Times New Roman" w:eastAsia="Times New Roman" w:hAnsi="Times New Roman"/>
          <w:sz w:val="21"/>
          <w:szCs w:val="21"/>
          <w:i w:val="1"/>
          <w:iCs w:val="1"/>
          <w:color w:val="auto"/>
        </w:rPr>
        <w:t>Código de Comercio</w:t>
      </w:r>
      <w:r>
        <w:rPr>
          <w:rFonts w:ascii="Times New Roman" w:cs="Times New Roman" w:eastAsia="Times New Roman" w:hAnsi="Times New Roman"/>
          <w:sz w:val="21"/>
          <w:szCs w:val="21"/>
          <w:color w:val="auto"/>
        </w:rPr>
        <w:t xml:space="preserve">), and therefore shall be deemed to have the same legal effect as delivery of an original signed copy of this Agreement, and the Parties hereby waive any objection to the contrary. For such purposes, the Parties hereby agree to consider the following e-mail directions as valid and binding </w:t>
      </w:r>
      <w:r>
        <w:rPr>
          <w:rFonts w:ascii="Times New Roman" w:cs="Times New Roman" w:eastAsia="Times New Roman" w:hAnsi="Times New Roman"/>
          <w:sz w:val="21"/>
          <w:szCs w:val="21"/>
          <w:i w:val="1"/>
          <w:iCs w:val="1"/>
          <w:color w:val="auto"/>
        </w:rPr>
        <w:t>sistemas de información</w:t>
      </w:r>
      <w:r>
        <w:rPr>
          <w:rFonts w:ascii="Times New Roman" w:cs="Times New Roman" w:eastAsia="Times New Roman" w:hAnsi="Times New Roman"/>
          <w:sz w:val="21"/>
          <w:szCs w:val="21"/>
          <w:color w:val="auto"/>
        </w:rPr>
        <w:t xml:space="preserve"> pursuant to article 91 of the Commercial Code (</w:t>
      </w:r>
      <w:r>
        <w:rPr>
          <w:rFonts w:ascii="Times New Roman" w:cs="Times New Roman" w:eastAsia="Times New Roman" w:hAnsi="Times New Roman"/>
          <w:sz w:val="21"/>
          <w:szCs w:val="21"/>
          <w:i w:val="1"/>
          <w:iCs w:val="1"/>
          <w:color w:val="auto"/>
        </w:rPr>
        <w:t>Código de Comercio</w:t>
      </w:r>
      <w:r>
        <w:rPr>
          <w:rFonts w:ascii="Times New Roman" w:cs="Times New Roman" w:eastAsia="Times New Roman" w:hAnsi="Times New Roman"/>
          <w:sz w:val="21"/>
          <w:szCs w:val="21"/>
          <w:color w:val="auto"/>
        </w:rPr>
        <w:t xml:space="preserve">): the Company and the Primary Shareholders, </w:t>
      </w:r>
      <w:r>
        <w:rPr>
          <w:rFonts w:ascii="Times New Roman" w:cs="Times New Roman" w:eastAsia="Times New Roman" w:hAnsi="Times New Roman"/>
          <w:sz w:val="21"/>
          <w:szCs w:val="21"/>
          <w:u w:val="single" w:color="auto"/>
          <w:color w:val="0563C1"/>
        </w:rPr>
        <w:t>jrelizondo@grupovasconia.com</w:t>
      </w:r>
      <w:r>
        <w:rPr>
          <w:rFonts w:ascii="Times New Roman" w:cs="Times New Roman" w:eastAsia="Times New Roman" w:hAnsi="Times New Roman"/>
          <w:sz w:val="21"/>
          <w:szCs w:val="21"/>
          <w:color w:val="auto"/>
        </w:rPr>
        <w:t xml:space="preserve">; LTB, </w:t>
      </w:r>
      <w:r>
        <w:rPr>
          <w:rFonts w:ascii="Times New Roman" w:cs="Times New Roman" w:eastAsia="Times New Roman" w:hAnsi="Times New Roman"/>
          <w:sz w:val="21"/>
          <w:szCs w:val="21"/>
          <w:u w:val="single" w:color="auto"/>
          <w:color w:val="0563C1"/>
        </w:rPr>
        <w:t>rob.kay@lifetimebrands.com</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1"/>
          <w:szCs w:val="21"/>
          <w:b w:val="1"/>
          <w:bCs w:val="1"/>
          <w:u w:val="single" w:color="auto"/>
          <w:color w:val="auto"/>
        </w:rPr>
        <w:t>SIXTH</w:t>
      </w:r>
      <w:r>
        <w:rPr>
          <w:rFonts w:ascii="Times New Roman" w:cs="Times New Roman" w:eastAsia="Times New Roman" w:hAnsi="Times New Roman"/>
          <w:sz w:val="21"/>
          <w:szCs w:val="21"/>
          <w:b w:val="1"/>
          <w:bCs w:val="1"/>
          <w:color w:val="auto"/>
        </w:rPr>
        <w:t xml:space="preserve">. Governing Law. </w:t>
      </w:r>
      <w:r>
        <w:rPr>
          <w:rFonts w:ascii="Times New Roman" w:cs="Times New Roman" w:eastAsia="Times New Roman" w:hAnsi="Times New Roman"/>
          <w:sz w:val="21"/>
          <w:szCs w:val="21"/>
          <w:color w:val="auto"/>
        </w:rPr>
        <w:t>This Amendment shall be governed by, and its terms and conditions construed in accordance with the 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Mexico, without giving effect to the conflict of law rules thereof.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 TO FOLLOW]</w:t>
      </w:r>
    </w:p>
    <w:p>
      <w:pPr>
        <w:sectPr>
          <w:pgSz w:w="11900" w:h="16838" w:orient="portrait"/>
          <w:cols w:equalWidth="0" w:num="1">
            <w:col w:w="11240"/>
          </w:cols>
          <w:pgMar w:left="320" w:top="118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Agreement as of the day and year first above written.</w:t>
      </w:r>
    </w:p>
    <w:p>
      <w:pPr>
        <w:sectPr>
          <w:pgSz w:w="11900" w:h="16838" w:orient="portrait"/>
          <w:cols w:equalWidth="0" w:num="1">
            <w:col w:w="9920"/>
          </w:cols>
          <w:pgMar w:left="540" w:top="1208" w:right="14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1"/>
          <w:szCs w:val="21"/>
          <w:b w:val="1"/>
          <w:bCs w:val="1"/>
          <w:color w:val="auto"/>
        </w:rPr>
        <w:t>LIFETIME BRANDS, INC.</w:t>
      </w:r>
    </w:p>
    <w:p>
      <w:pPr>
        <w:spacing w:after="0" w:line="279" w:lineRule="exact"/>
        <w:rPr>
          <w:sz w:val="20"/>
          <w:szCs w:val="20"/>
          <w:color w:val="auto"/>
        </w:rPr>
      </w:pPr>
    </w:p>
    <w:tbl>
      <w:tblPr>
        <w:tblLayout w:type="fixed"/>
        <w:tblInd w:w="2280" w:type="dxa"/>
        <w:tblCellMar>
          <w:top w:w="0" w:type="dxa"/>
          <w:left w:w="0" w:type="dxa"/>
          <w:bottom w:w="0" w:type="dxa"/>
          <w:right w:w="0" w:type="dxa"/>
        </w:tblCellMar>
      </w:tblPr>
      <w:tr>
        <w:trPr>
          <w:trHeight w:val="268"/>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Robert B. Kay</w:t>
            </w:r>
          </w:p>
        </w:tc>
      </w:tr>
      <w:tr>
        <w:trPr>
          <w:trHeight w:val="24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Robert B. Kay</w:t>
            </w:r>
          </w:p>
        </w:tc>
      </w:tr>
      <w:tr>
        <w:trPr>
          <w:trHeight w:val="268"/>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CEO</w:t>
            </w:r>
          </w:p>
        </w:tc>
      </w:tr>
    </w:tbl>
    <w:p>
      <w:pPr>
        <w:spacing w:after="0" w:line="200" w:lineRule="exact"/>
        <w:rPr>
          <w:sz w:val="20"/>
          <w:szCs w:val="20"/>
          <w:color w:val="auto"/>
        </w:rPr>
      </w:pPr>
    </w:p>
    <w:p>
      <w:pPr>
        <w:spacing w:after="0" w:line="32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GRUPO VASCONIA S.A.B. (FORMERLY KNOWN AS EKCO, S.A.B.)</w:t>
      </w:r>
    </w:p>
    <w:p>
      <w:pPr>
        <w:spacing w:after="0" w:line="278" w:lineRule="exact"/>
        <w:rPr>
          <w:sz w:val="20"/>
          <w:szCs w:val="20"/>
          <w:color w:val="auto"/>
        </w:rPr>
      </w:pPr>
    </w:p>
    <w:tbl>
      <w:tblPr>
        <w:tblLayout w:type="fixed"/>
        <w:tblInd w:w="2280" w:type="dxa"/>
        <w:tblCellMar>
          <w:top w:w="0" w:type="dxa"/>
          <w:left w:w="0" w:type="dxa"/>
          <w:bottom w:w="0" w:type="dxa"/>
          <w:right w:w="0" w:type="dxa"/>
        </w:tblCellMar>
      </w:tblPr>
      <w:tr>
        <w:trPr>
          <w:trHeight w:val="268"/>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 José Ramón Elizondo Anaya</w:t>
            </w:r>
          </w:p>
        </w:tc>
      </w:tr>
      <w:tr>
        <w:trPr>
          <w:trHeight w:val="24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José Ramón Elizondo Anaya</w:t>
            </w:r>
          </w:p>
        </w:tc>
        <w:tc>
          <w:tcPr>
            <w:tcW w:w="1260" w:type="dxa"/>
            <w:vAlign w:val="bottom"/>
          </w:tcPr>
          <w:p>
            <w:pPr>
              <w:spacing w:after="0"/>
              <w:rPr>
                <w:sz w:val="21"/>
                <w:szCs w:val="21"/>
                <w:color w:val="auto"/>
              </w:rPr>
            </w:pPr>
          </w:p>
        </w:tc>
      </w:tr>
      <w:tr>
        <w:trPr>
          <w:trHeight w:val="268"/>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Chairman</w:t>
            </w:r>
          </w:p>
        </w:tc>
      </w:tr>
      <w:tr>
        <w:trPr>
          <w:trHeight w:val="607"/>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5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/s/ Fernando Liceaga Aparicio</w:t>
            </w:r>
          </w:p>
        </w:tc>
      </w:tr>
      <w:tr>
        <w:trPr>
          <w:trHeight w:val="24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Fernando Liceaga Aparicio</w:t>
            </w:r>
          </w:p>
        </w:tc>
      </w:tr>
      <w:tr>
        <w:trPr>
          <w:trHeight w:val="268"/>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Director Corporativo de Administración y Finanzas</w:t>
            </w:r>
          </w:p>
        </w:tc>
      </w:tr>
    </w:tbl>
    <w:p>
      <w:pPr>
        <w:spacing w:after="0" w:line="200" w:lineRule="exact"/>
        <w:rPr>
          <w:sz w:val="20"/>
          <w:szCs w:val="20"/>
          <w:color w:val="auto"/>
        </w:rPr>
      </w:pPr>
    </w:p>
    <w:p>
      <w:pPr>
        <w:spacing w:after="0" w:line="34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1"/>
          <w:szCs w:val="21"/>
          <w:b w:val="1"/>
          <w:bCs w:val="1"/>
          <w:color w:val="auto"/>
        </w:rPr>
        <w:t>PRIMARY SHAREHOLDERS</w:t>
      </w:r>
    </w:p>
    <w:p>
      <w:pPr>
        <w:spacing w:after="0" w:line="266" w:lineRule="exact"/>
        <w:rPr>
          <w:sz w:val="20"/>
          <w:szCs w:val="20"/>
          <w:color w:val="auto"/>
        </w:rPr>
      </w:pPr>
    </w:p>
    <w:p>
      <w:pPr>
        <w:ind w:left="2360"/>
        <w:spacing w:after="0"/>
        <w:tabs>
          <w:tab w:leader="none" w:pos="29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José Ramón Elizondo Anaya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18415</wp:posOffset>
            </wp:positionV>
            <wp:extent cx="22396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2239645" cy="8255"/>
                    </a:xfrm>
                    <a:prstGeom prst="rect">
                      <a:avLst/>
                    </a:prstGeom>
                    <a:noFill/>
                  </pic:spPr>
                </pic:pic>
              </a:graphicData>
            </a:graphic>
          </wp:anchor>
        </w:drawing>
      </w:r>
    </w:p>
    <w:p>
      <w:pPr>
        <w:spacing w:after="0" w:line="1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1"/>
          <w:szCs w:val="21"/>
          <w:color w:val="auto"/>
        </w:rPr>
        <w:t>Name: Mr. José Ramón Elizondo Anaya</w:t>
      </w:r>
    </w:p>
    <w:p>
      <w:pPr>
        <w:spacing w:after="0" w:line="366" w:lineRule="exact"/>
        <w:rPr>
          <w:sz w:val="20"/>
          <w:szCs w:val="20"/>
          <w:color w:val="auto"/>
        </w:rPr>
      </w:pPr>
    </w:p>
    <w:p>
      <w:pPr>
        <w:ind w:left="2360"/>
        <w:spacing w:after="0"/>
        <w:tabs>
          <w:tab w:leader="none" w:pos="29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Miguel Ángel Huerta Pando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18415</wp:posOffset>
            </wp:positionV>
            <wp:extent cx="2239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2239645" cy="8255"/>
                    </a:xfrm>
                    <a:prstGeom prst="rect">
                      <a:avLst/>
                    </a:prstGeom>
                    <a:noFill/>
                  </pic:spPr>
                </pic:pic>
              </a:graphicData>
            </a:graphic>
          </wp:anchor>
        </w:drawing>
      </w:r>
    </w:p>
    <w:p>
      <w:pPr>
        <w:spacing w:after="0" w:line="1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1"/>
          <w:szCs w:val="21"/>
          <w:color w:val="auto"/>
        </w:rPr>
        <w:t>Name: Mr. Miguel Ángel Huerta Pando</w:t>
      </w:r>
    </w:p>
    <w:p>
      <w:pPr>
        <w:sectPr>
          <w:pgSz w:w="11900" w:h="16838" w:orient="portrait"/>
          <w:cols w:equalWidth="0" w:num="1">
            <w:col w:w="9920"/>
          </w:cols>
          <w:pgMar w:left="540" w:top="1208" w:right="1439" w:bottom="1440" w:gutter="0" w:footer="0" w:header="0"/>
          <w:type w:val="continuous"/>
        </w:sectPr>
      </w:pPr>
    </w:p>
    <w:bookmarkStart w:id="99" w:name="page100"/>
    <w:bookmarkEnd w:id="99"/>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COMPANY POLICY REGARDING INSIDER TRADING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March 11, 2025)</w:t>
      </w:r>
    </w:p>
    <w:p>
      <w:pPr>
        <w:spacing w:after="0" w:line="225" w:lineRule="exact"/>
        <w:rPr>
          <w:sz w:val="20"/>
          <w:szCs w:val="20"/>
          <w:color w:val="auto"/>
        </w:rPr>
      </w:pPr>
    </w:p>
    <w:p>
      <w:pPr>
        <w:ind w:firstLine="620"/>
        <w:spacing w:after="0" w:line="293" w:lineRule="auto"/>
        <w:rPr>
          <w:sz w:val="20"/>
          <w:szCs w:val="20"/>
          <w:color w:val="auto"/>
        </w:rPr>
      </w:pPr>
      <w:r>
        <w:rPr>
          <w:rFonts w:ascii="Times New Roman" w:cs="Times New Roman" w:eastAsia="Times New Roman" w:hAnsi="Times New Roman"/>
          <w:sz w:val="17"/>
          <w:szCs w:val="17"/>
          <w:color w:val="auto"/>
        </w:rPr>
        <w:t>This policy applies to all officers, directors, employees, and consultants (“collectively,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 of Lifetime Brands, Inc., and its subsidiaries (collectively,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supersedes all prior insider trading policies of the Company.</w:t>
      </w:r>
    </w:p>
    <w:p>
      <w:pPr>
        <w:spacing w:after="0" w:line="130" w:lineRule="exact"/>
        <w:rPr>
          <w:sz w:val="20"/>
          <w:szCs w:val="20"/>
          <w:color w:val="auto"/>
        </w:rPr>
      </w:pPr>
    </w:p>
    <w:p>
      <w:pPr>
        <w:ind w:left="620" w:hanging="617"/>
        <w:spacing w:after="0"/>
        <w:tabs>
          <w:tab w:leader="none" w:pos="62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THE NEED FOR A POLICY STATEMENT</w:t>
      </w:r>
    </w:p>
    <w:p>
      <w:pPr>
        <w:spacing w:after="0" w:line="192"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color w:val="auto"/>
        </w:rPr>
        <w:t>Under the federal securities laws, it is illegal to transact in the Company’s securities (collectively referred to in this Policy as “</w:t>
      </w:r>
      <w:r>
        <w:rPr>
          <w:rFonts w:ascii="Times New Roman" w:cs="Times New Roman" w:eastAsia="Times New Roman" w:hAnsi="Times New Roman"/>
          <w:sz w:val="17"/>
          <w:szCs w:val="17"/>
          <w:b w:val="1"/>
          <w:bCs w:val="1"/>
          <w:color w:val="auto"/>
        </w:rPr>
        <w:t>Company Securities</w:t>
      </w:r>
      <w:r>
        <w:rPr>
          <w:rFonts w:ascii="Times New Roman" w:cs="Times New Roman" w:eastAsia="Times New Roman" w:hAnsi="Times New Roman"/>
          <w:sz w:val="17"/>
          <w:szCs w:val="17"/>
          <w:color w:val="auto"/>
        </w:rPr>
        <w:t>”) while in the possession of material nonpublic information about the Company. It is also illegal to disclose or give material nonpublic information to others who may trade on the basis of that information or to advise others how to trade while in possession of material nonpublic information. Any person who possesses material nonpublic information about the Company is deemed to be an “insider.”</w:t>
      </w:r>
    </w:p>
    <w:p>
      <w:pPr>
        <w:spacing w:after="0" w:line="167"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auto"/>
        </w:rPr>
        <w:t>Insider trading violations are pursued vigorously by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and the U.S. Department of Justice, and such violations are punished severely.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Both the SEC and the Nasdaq Stock Market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are very effective at detecting and pursuing insider trading cases. The SEC has successfully prosecuted cases against employees trading through foreign accounts, trading by Family Members (as defined herein) and friends, and trading involving only a small number of shares.</w:t>
      </w:r>
    </w:p>
    <w:p>
      <w:pPr>
        <w:spacing w:after="0" w:line="172"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The Company has adopted this Statement of Company Policy Regarding Insider Trading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both to satisfy the Company’s obligation to prevent insider trading and to help Company personnel avoid the severe consequences associated with violations of the insider trading laws. The Policy is also intended to prevent even the appearance of improper conduct on the part of anyone employed by or associated with the Company (not just the officers or directors of the Company). This Policy also applies to Family Members and entities controlled by a Covered Person (“</w:t>
      </w:r>
      <w:r>
        <w:rPr>
          <w:rFonts w:ascii="Times New Roman" w:cs="Times New Roman" w:eastAsia="Times New Roman" w:hAnsi="Times New Roman"/>
          <w:sz w:val="17"/>
          <w:szCs w:val="17"/>
          <w:b w:val="1"/>
          <w:bCs w:val="1"/>
          <w:color w:val="auto"/>
        </w:rPr>
        <w:t>Related Entities</w:t>
      </w:r>
      <w:r>
        <w:rPr>
          <w:rFonts w:ascii="Times New Roman" w:cs="Times New Roman" w:eastAsia="Times New Roman" w:hAnsi="Times New Roman"/>
          <w:sz w:val="17"/>
          <w:szCs w:val="17"/>
          <w:color w:val="auto"/>
        </w:rPr>
        <w:t>”). The Company may also determine, from time to time, that other persons should be subject to this Policy.</w:t>
      </w:r>
    </w:p>
    <w:p>
      <w:pPr>
        <w:spacing w:after="0" w:line="17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Each individual is responsible for making sure that they comply with this Policy, and that any Family Member, household member or entity whose transactions are subject to this Policy, as discussed below, also comply with this Policy.</w:t>
      </w:r>
    </w:p>
    <w:p>
      <w:pPr>
        <w:spacing w:after="0" w:line="134" w:lineRule="exact"/>
        <w:rPr>
          <w:sz w:val="20"/>
          <w:szCs w:val="20"/>
          <w:color w:val="auto"/>
        </w:rPr>
      </w:pPr>
    </w:p>
    <w:p>
      <w:pPr>
        <w:ind w:left="620" w:hanging="617"/>
        <w:spacing w:after="0"/>
        <w:tabs>
          <w:tab w:leader="none" w:pos="62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ADMINISTRATION OF THE POLICY</w:t>
      </w:r>
    </w:p>
    <w:p>
      <w:pPr>
        <w:spacing w:after="0" w:line="20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Company’s Insider Trading Compliance Officer, in consultation with the Company’s General Counsel, shall be responsible for administration of this Policy. In event of the Insider Trading Compliance Officer’s absence, the General Counsel shall serve as the point of contact for purposes of this Policy.</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Compliance with the Policy is a condition of continued employment or service with the Company of each Covered Person. Failure to comply with this Policy will subject the Covered Person to Company-imposed sanctions, which may include dismissal for cause, whether or not the Covered Person’s failure to comply results in a violation of law. The Company reserves the right to determine, in its own discretion and on the basis of the information available to it, whether this Policy has been violated. The Company may also determine that specific conduct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violates this Policy whether or not the conduct also violates the law. It is not necessary for the Company to wait for the filing or conclusion of a civil or criminal action against the alleged violator before taking disciplinary action.</w:t>
      </w:r>
    </w:p>
    <w:p>
      <w:pPr>
        <w:spacing w:after="0" w:line="134" w:lineRule="exact"/>
        <w:rPr>
          <w:sz w:val="20"/>
          <w:szCs w:val="20"/>
          <w:color w:val="auto"/>
        </w:rPr>
      </w:pPr>
    </w:p>
    <w:p>
      <w:pPr>
        <w:ind w:left="620" w:hanging="617"/>
        <w:spacing w:after="0"/>
        <w:tabs>
          <w:tab w:leader="none" w:pos="62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STATEMENT OF POLICY</w:t>
      </w:r>
    </w:p>
    <w:p>
      <w:pPr>
        <w:spacing w:after="0" w:line="19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This Policy applies to transactions in Company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It is the policy of the Company that no Covered Person (or any other person designated by this Policy or by the Insider Trading Compliance Officer as subject to this Policy) who is aware of material nonpublic information relating to the Company may, directly, or indirectly through Family Members or Related Entities:</w:t>
      </w:r>
    </w:p>
    <w:p>
      <w:pPr>
        <w:spacing w:after="0" w:line="167" w:lineRule="exact"/>
        <w:rPr>
          <w:sz w:val="20"/>
          <w:szCs w:val="20"/>
          <w:color w:val="auto"/>
        </w:rPr>
      </w:pPr>
    </w:p>
    <w:p>
      <w:pPr>
        <w:ind w:left="1240" w:hanging="306"/>
        <w:spacing w:after="0" w:line="288" w:lineRule="auto"/>
        <w:tabs>
          <w:tab w:leader="none" w:pos="123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transactions in Company Securities, including, but not limited to, buying and selling Company Securities, except as otherwise specified in this Policy, including under the headings “Transactions Under Company Plans” and “Rule 10b5-1 Plans;”</w:t>
      </w:r>
    </w:p>
    <w:p>
      <w:pPr>
        <w:spacing w:after="0" w:line="151" w:lineRule="exact"/>
        <w:rPr>
          <w:rFonts w:ascii="Times New Roman" w:cs="Times New Roman" w:eastAsia="Times New Roman" w:hAnsi="Times New Roman"/>
          <w:sz w:val="17"/>
          <w:szCs w:val="17"/>
          <w:color w:val="auto"/>
        </w:rPr>
      </w:pPr>
    </w:p>
    <w:p>
      <w:pPr>
        <w:ind w:left="1240" w:hanging="306"/>
        <w:spacing w:after="0" w:line="288"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“Tip,” directly or indirectly, material non-public information to any persons who might (1) trade in Company Securities or (2) pass along such information to others who might trade;</w:t>
      </w:r>
    </w:p>
    <w:p>
      <w:pPr>
        <w:spacing w:after="0" w:line="151"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recommendations or express opinions to any person about trading in Virtus Securities on the basis of material non-public information; or</w:t>
      </w:r>
    </w:p>
    <w:p>
      <w:pPr>
        <w:spacing w:after="0" w:line="217" w:lineRule="exact"/>
        <w:rPr>
          <w:rFonts w:ascii="Times New Roman" w:cs="Times New Roman" w:eastAsia="Times New Roman" w:hAnsi="Times New Roman"/>
          <w:sz w:val="17"/>
          <w:szCs w:val="17"/>
          <w:color w:val="auto"/>
        </w:rPr>
      </w:pPr>
    </w:p>
    <w:p>
      <w:pPr>
        <w:jc w:val="both"/>
        <w:ind w:left="1240" w:hanging="306"/>
        <w:spacing w:after="0" w:line="265"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w:t>
      </w:r>
    </w:p>
    <w:p>
      <w:pPr>
        <w:spacing w:after="0" w:line="1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it is the policy of the Company that no Covered Person (or any other person designated as subject to this Policy) who, in the course of working for the Company, learns of material nonpublic information about a company (1) with which the Company does business, such as the Company’s distributors, vendors, customers and suppliers, or (2) that is involved in a potential transaction or business relationship with Company, may engage in transactions in that Company’s Securities until the information becomes public or is no longer material.</w:t>
      </w:r>
    </w:p>
    <w:p>
      <w:pPr>
        <w:spacing w:after="0" w:line="166"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b w:val="1"/>
          <w:bCs w:val="1"/>
          <w:u w:val="single" w:color="auto"/>
          <w:color w:val="auto"/>
        </w:rPr>
        <w:t>No Exception for Emergencies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 are no exceptions to this Policy, except as specifically noted herein. Transactions that may be necessary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justifiable for independent reasons (such as the need to raise money for an emergency expenditure) are not excepted from the Policy. If the Covered Person has material nonpublic information, the prohibition still applies. The securities laws do not recognize such mitigating circumstances, and, in any event, even the appearance of an improper transaction must be avoided to preserve the Company’s reputation for adhering to high standards of conduct.</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b w:val="1"/>
          <w:bCs w:val="1"/>
          <w:u w:val="single" w:color="auto"/>
          <w:color w:val="auto"/>
        </w:rPr>
        <w:t>Disclosure of Information to Others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has established procedures for releasing material information in a manner that is designed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achieve broad public dissemination of the information immediately upon its release. You may not disclose such information to anyone outside the Company, including Family Members and friends, other than in accordance with those procedures. In the event that you receive an inquiry from outside the Company, such as from a securities analyst or investor, the inquiry should be referred to the Company’s Chief Financial Officer, in consultation with the Company’s General Counsel.</w:t>
      </w:r>
    </w:p>
    <w:p>
      <w:pPr>
        <w:spacing w:after="0" w:line="37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u w:val="single" w:color="auto"/>
          <w:color w:val="auto"/>
        </w:rPr>
        <w:t>Internet Disclosures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Due to the risk of inadvertent disclosure of material nonpublic information, you may not disclose or discuss any nonpublic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of the Company in any Internet chat room, message board or other Internet site (whether or not such site is specifically related to the Company). In addition, the Company strongly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discourages you from participating in such forums in any capacity when the subject matter relates to the Company or to competitors of the Company or entities with which the Company has a significant business relationship.</w:t>
      </w:r>
    </w:p>
    <w:p>
      <w:pPr>
        <w:spacing w:after="0" w:line="147"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b w:val="1"/>
          <w:bCs w:val="1"/>
          <w:u w:val="single" w:color="auto"/>
          <w:color w:val="auto"/>
        </w:rPr>
        <w:t>Material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information is any information that a reasonable investor would consider important in making a decision to buy, hold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sell securities. Any information that could be expected to impact the Company’s stock price, whether it is positive or negative, should be considered material. Some examples of information that ordinarily would be regarded as material are set forth below, but this list is not exhaustive – other information may be deemed material based upon the circumstances:</w:t>
      </w:r>
    </w:p>
    <w:p>
      <w:pPr>
        <w:spacing w:after="0" w:line="171" w:lineRule="exact"/>
        <w:rPr>
          <w:sz w:val="20"/>
          <w:szCs w:val="20"/>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information for a completed fiscal period;</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Known, but unannounced, future financial results;</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previously announced earnings guidance, or the decision to suspend earnings guidance;</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order rates, sales, or shipments or returns;</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or termination of significant contracts with customers, vendors, suppliers, and other business partners;</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News about the disposition or acquisition of significant assets;</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splits;</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restructuring;</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merger, acquisition, joint venture or tender offer;</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or private offering of additional securities, borrowings, credit facilities or other financing transactions;</w:t>
      </w:r>
    </w:p>
    <w:p>
      <w:pPr>
        <w:spacing w:after="0" w:line="213"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Board of Directors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senior management or any other major personnel changes;</w:t>
      </w:r>
    </w:p>
    <w:p>
      <w:pPr>
        <w:spacing w:after="0" w:line="221"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marketing changes;</w:t>
      </w:r>
    </w:p>
    <w:p>
      <w:pPr>
        <w:spacing w:after="0" w:line="21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legal exposure due to actual, pending or threatened litigation;</w:t>
      </w:r>
    </w:p>
    <w:p>
      <w:pPr>
        <w:spacing w:after="0" w:line="217" w:lineRule="exact"/>
        <w:rPr>
          <w:rFonts w:ascii="Times New Roman" w:cs="Times New Roman" w:eastAsia="Times New Roman" w:hAnsi="Times New Roman"/>
          <w:sz w:val="17"/>
          <w:szCs w:val="17"/>
          <w:color w:val="auto"/>
        </w:rPr>
      </w:pPr>
    </w:p>
    <w:p>
      <w:pPr>
        <w:ind w:left="1240" w:hanging="306"/>
        <w:spacing w:after="0" w:line="288"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cybersecurity incident, such as a data breach, or any other significant disruption in the Company’s information technology infrastructure; or</w:t>
      </w:r>
    </w:p>
    <w:p>
      <w:pPr>
        <w:spacing w:after="0" w:line="151"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related party transactions;</w:t>
      </w:r>
    </w:p>
    <w:p>
      <w:pPr>
        <w:spacing w:after="0" w:line="217" w:lineRule="exact"/>
        <w:rPr>
          <w:rFonts w:ascii="Times New Roman" w:cs="Times New Roman" w:eastAsia="Times New Roman" w:hAnsi="Times New Roman"/>
          <w:sz w:val="17"/>
          <w:szCs w:val="17"/>
          <w:color w:val="auto"/>
        </w:rPr>
      </w:pPr>
    </w:p>
    <w:p>
      <w:pPr>
        <w:ind w:left="1240" w:hanging="306"/>
        <w:spacing w:after="0" w:line="288"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an event-specific restriction on trading in Company Securities or the securities of another company or the extension or termination of such restriction; or</w:t>
      </w:r>
    </w:p>
    <w:p>
      <w:pPr>
        <w:spacing w:after="0" w:line="151"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Impending bankruptcy or the existence of financial or liquidity problems.</w:t>
      </w:r>
    </w:p>
    <w:p>
      <w:pPr>
        <w:spacing w:after="0" w:line="214" w:lineRule="exact"/>
        <w:rPr>
          <w:sz w:val="20"/>
          <w:szCs w:val="20"/>
          <w:color w:val="auto"/>
        </w:rPr>
      </w:pPr>
    </w:p>
    <w:p>
      <w:pPr>
        <w:ind w:firstLine="62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Twenty-Twenty Hindsight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Anyone scrutinizing your transactions will be doing so after the fact, with the benefit of 20/20 hindsight. As a practical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 before engaging in any transaction, you should carefully consider how enforcement authorities and others might view the transaction in hindsight.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2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u w:val="single" w:color="auto"/>
          <w:color w:val="auto"/>
        </w:rPr>
        <w:t>When Information is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that has not been disclosed to the public is generally considered to be nonpublic information. If you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aware of material nonpublic information, you may not trade until the information has been disclosed broadly to the marketplace (such as by press release or an SEC filing) and the investing public has had time to absorb the information fully.</w:t>
      </w:r>
    </w:p>
    <w:p>
      <w:pPr>
        <w:spacing w:after="0" w:line="16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Information generally would be considered widely disseminated if it has been disclosed through (i) public filings with the SEC; (ii) press releases; (iii) public news conferences; and (iv) webcasts for which proper prior notice has been given (i.e., earnings calls). By contrast, information would likely not be considered widely disseminated if it is available only to the Company’s employees, or if it is only available to a select group of analysts, brokers and institutional investors.</w:t>
      </w:r>
    </w:p>
    <w:p>
      <w:pPr>
        <w:spacing w:after="0" w:line="166"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 xml:space="preserve">To avoid the appearance of impropriety, as a general rule, </w:t>
      </w:r>
      <w:r>
        <w:rPr>
          <w:rFonts w:ascii="Times New Roman" w:cs="Times New Roman" w:eastAsia="Times New Roman" w:hAnsi="Times New Roman"/>
          <w:sz w:val="17"/>
          <w:szCs w:val="17"/>
          <w:b w:val="1"/>
          <w:bCs w:val="1"/>
          <w:color w:val="auto"/>
        </w:rPr>
        <w:t>information should not be considered fully absorbed by the marketplace until after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first full day on which national stock exchanges are open for trading (a “Trading Day”) after the information is released</w:t>
      </w:r>
      <w:r>
        <w:rPr>
          <w:rFonts w:ascii="Times New Roman" w:cs="Times New Roman" w:eastAsia="Times New Roman" w:hAnsi="Times New Roman"/>
          <w:sz w:val="17"/>
          <w:szCs w:val="17"/>
          <w:color w:val="auto"/>
        </w:rPr>
        <w:t>. If, for example,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were to make an announcement on a Monday, you should not trade in Company Securities until Wednesday. If an announcement was made on a Friday, Tuesday generally would be the first eligible Trading Day after the announcement. Depending on the particular circumstances, the Company may determine that a longer or shorter period should apply to the release of specific material nonpublic information.</w:t>
      </w:r>
    </w:p>
    <w:p>
      <w:pPr>
        <w:spacing w:after="0" w:line="169"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b w:val="1"/>
          <w:bCs w:val="1"/>
          <w:u w:val="single" w:color="auto"/>
          <w:color w:val="auto"/>
        </w:rPr>
        <w:t>Transactions by Family Members and Others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Policy applies to your family members who reside with you (including a spouse, a child, a child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7"/>
          <w:szCs w:val="17"/>
          <w:b w:val="1"/>
          <w:bCs w:val="1"/>
          <w:color w:val="auto"/>
        </w:rPr>
        <w:t>Family Members</w:t>
      </w:r>
      <w:r>
        <w:rPr>
          <w:rFonts w:ascii="Times New Roman" w:cs="Times New Roman" w:eastAsia="Times New Roman" w:hAnsi="Times New Roman"/>
          <w:sz w:val="17"/>
          <w:szCs w:val="17"/>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7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Gifts and Donations</w:t>
      </w:r>
      <w:r>
        <w:rPr>
          <w:rFonts w:ascii="Times New Roman" w:cs="Times New Roman" w:eastAsia="Times New Roman" w:hAnsi="Times New Roman"/>
          <w:sz w:val="17"/>
          <w:szCs w:val="17"/>
          <w:color w:val="auto"/>
        </w:rPr>
        <w:t>. Bona fide gifts are not transactions subject to this Policy, unless the person making the gift has reason to believe that the recipient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intends to sell the Company Securities while the Covered Person is aware of material nonpublic information, or the person making the gift is subject to the trading restrictions specified below under the heading “Additional Procedures” and the sales by the recipient of the Company Securities occur during a blackout period. Whether a gift is truly bona fide will depend on the circumstances surrounding each gift. In addition, please note that a gift transaction by executive officers and directors is required to be reported on a Form 4 within two (2) Trading Days of such transaction. Therefore, it is important that the Board of Directors and Covered Persons designated as “officers” pursuant to Section 16 (collectively, “</w:t>
      </w:r>
      <w:r>
        <w:rPr>
          <w:rFonts w:ascii="Times New Roman" w:cs="Times New Roman" w:eastAsia="Times New Roman" w:hAnsi="Times New Roman"/>
          <w:sz w:val="17"/>
          <w:szCs w:val="17"/>
          <w:b w:val="1"/>
          <w:bCs w:val="1"/>
          <w:color w:val="auto"/>
        </w:rPr>
        <w:t>Section 16 Insiders</w:t>
      </w:r>
      <w:r>
        <w:rPr>
          <w:rFonts w:ascii="Times New Roman" w:cs="Times New Roman" w:eastAsia="Times New Roman" w:hAnsi="Times New Roman"/>
          <w:sz w:val="17"/>
          <w:szCs w:val="17"/>
          <w:color w:val="auto"/>
        </w:rPr>
        <w:t>”) of the Securities Exchange Act of 1934, as amended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inform the Company immediately of any pending gift transactions.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Transactions Under Company Plans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Policy does not apply in the case of the following transactions, except as specifically noted:</w:t>
      </w:r>
    </w:p>
    <w:p>
      <w:pPr>
        <w:spacing w:after="0" w:line="222" w:lineRule="exact"/>
        <w:rPr>
          <w:sz w:val="20"/>
          <w:szCs w:val="20"/>
          <w:color w:val="auto"/>
        </w:rPr>
      </w:pPr>
    </w:p>
    <w:p>
      <w:pPr>
        <w:jc w:val="both"/>
        <w:ind w:left="1240" w:hanging="306"/>
        <w:spacing w:after="0" w:line="220" w:lineRule="auto"/>
        <w:tabs>
          <w:tab w:leader="none" w:pos="122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Stock Option Exercises</w:t>
      </w:r>
      <w:r>
        <w:rPr>
          <w:rFonts w:ascii="Times New Roman" w:cs="Times New Roman" w:eastAsia="Times New Roman" w:hAnsi="Times New Roman"/>
          <w:sz w:val="17"/>
          <w:szCs w:val="17"/>
          <w:color w:val="auto"/>
        </w:rPr>
        <w:t>. This Policy does not apply to the cash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79" w:lineRule="exact"/>
        <w:rPr>
          <w:rFonts w:ascii="Times New Roman" w:cs="Times New Roman" w:eastAsia="Times New Roman" w:hAnsi="Times New Roman"/>
          <w:sz w:val="19"/>
          <w:szCs w:val="19"/>
          <w:color w:val="auto"/>
        </w:rPr>
      </w:pPr>
    </w:p>
    <w:p>
      <w:pPr>
        <w:ind w:left="1240" w:hanging="306"/>
        <w:spacing w:after="0" w:line="226" w:lineRule="auto"/>
        <w:tabs>
          <w:tab w:leader="none" w:pos="12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Restricted Stock Awards</w:t>
      </w:r>
      <w:r>
        <w:rPr>
          <w:rFonts w:ascii="Times New Roman" w:cs="Times New Roman" w:eastAsia="Times New Roman" w:hAnsi="Times New Roman"/>
          <w:sz w:val="17"/>
          <w:szCs w:val="17"/>
          <w:color w:val="auto"/>
        </w:rPr>
        <w:t>. This Policy does not apply to the vesting of restricted stock, or the exercise of a tax withholding right pursuant to which you elect to have the Company withhold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shares of stock to satisfy tax withholding requirements upon the vesting of any restricted stock. The Policy does apply, however, to any market sale of restricted stock.</w:t>
      </w:r>
    </w:p>
    <w:p>
      <w:pPr>
        <w:spacing w:after="0" w:line="178" w:lineRule="exact"/>
        <w:rPr>
          <w:sz w:val="20"/>
          <w:szCs w:val="20"/>
          <w:color w:val="auto"/>
        </w:rPr>
      </w:pPr>
    </w:p>
    <w:p>
      <w:pPr>
        <w:jc w:val="both"/>
        <w:ind w:left="1240" w:hanging="306"/>
        <w:spacing w:after="0" w:line="217" w:lineRule="auto"/>
        <w:tabs>
          <w:tab w:leader="none" w:pos="122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Employee Stock Purchase Plan</w:t>
      </w:r>
      <w:r>
        <w:rPr>
          <w:rFonts w:ascii="Times New Roman" w:cs="Times New Roman" w:eastAsia="Times New Roman" w:hAnsi="Times New Roman"/>
          <w:sz w:val="17"/>
          <w:szCs w:val="17"/>
          <w:color w:val="auto"/>
        </w:rPr>
        <w:t>. This Policy does not apply to purchases of Company Securities in the employee stock purchase plan resulting from your periodic contribution of money to the plan pursuant to the election you made at the time of your enrollment in the plan. This Policy also does not apply to purchases of Company Securities resulting from lump sum contributions to the plan, provided that you elected to participate by lump sum payment at the beginning of the applicable enrollment period. This Policy does apply, however, to your election to participate in the plan for any enrollment period, and to your sales of Company Securities purchased pursuant to the plan.</w:t>
      </w:r>
    </w:p>
    <w:p>
      <w:pPr>
        <w:spacing w:after="0" w:line="17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u w:val="single" w:color="auto"/>
          <w:color w:val="auto"/>
        </w:rPr>
        <w:t>Additional Prohibited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Company considers it improper and inappropriate for any Covered Person of the Company to engage in short-term or speculative transactions in Company Securities. </w:t>
      </w:r>
      <w:r>
        <w:rPr>
          <w:rFonts w:ascii="Times New Roman" w:cs="Times New Roman" w:eastAsia="Times New Roman" w:hAnsi="Times New Roman"/>
          <w:sz w:val="17"/>
          <w:szCs w:val="17"/>
          <w:b w:val="1"/>
          <w:bCs w:val="1"/>
          <w:color w:val="auto"/>
        </w:rPr>
        <w:t>It therefore is the Company’s policy that Covered Persons may NOT engage in any of the following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transactions:</w:t>
      </w:r>
    </w:p>
    <w:p>
      <w:pPr>
        <w:spacing w:after="0" w:line="164" w:lineRule="exact"/>
        <w:rPr>
          <w:sz w:val="20"/>
          <w:szCs w:val="20"/>
          <w:color w:val="auto"/>
        </w:rPr>
      </w:pPr>
    </w:p>
    <w:p>
      <w:pPr>
        <w:jc w:val="both"/>
        <w:ind w:left="1240" w:hanging="306"/>
        <w:spacing w:after="0" w:line="220" w:lineRule="auto"/>
        <w:tabs>
          <w:tab w:leader="none" w:pos="122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Short Sales</w:t>
      </w:r>
      <w:r>
        <w:rPr>
          <w:rFonts w:ascii="Times New Roman" w:cs="Times New Roman" w:eastAsia="Times New Roman" w:hAnsi="Times New Roman"/>
          <w:sz w:val="17"/>
          <w:szCs w:val="17"/>
          <w:color w:val="auto"/>
        </w:rPr>
        <w:t>. Short sales of Company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at least these reasons, short sales of Company Securities are prohibited by Section 16 Insiders. The Company also discourages other Covered Persons from engaging in short sales.</w:t>
      </w:r>
    </w:p>
    <w:p>
      <w:pPr>
        <w:spacing w:after="0" w:line="166" w:lineRule="exact"/>
        <w:rPr>
          <w:rFonts w:ascii="Times New Roman" w:cs="Times New Roman" w:eastAsia="Times New Roman" w:hAnsi="Times New Roman"/>
          <w:sz w:val="19"/>
          <w:szCs w:val="19"/>
          <w:color w:val="auto"/>
        </w:rPr>
      </w:pPr>
    </w:p>
    <w:p>
      <w:pPr>
        <w:jc w:val="both"/>
        <w:ind w:left="1240" w:hanging="306"/>
        <w:spacing w:after="0" w:line="220" w:lineRule="auto"/>
        <w:tabs>
          <w:tab w:leader="none" w:pos="12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Publicly-Traded Options</w:t>
      </w:r>
      <w:r>
        <w:rPr>
          <w:rFonts w:ascii="Times New Roman" w:cs="Times New Roman" w:eastAsia="Times New Roman" w:hAnsi="Times New Roman"/>
          <w:sz w:val="17"/>
          <w:szCs w:val="17"/>
          <w:color w:val="auto"/>
        </w:rPr>
        <w:t>. A transaction in options is, in effect, a bet on the short-term movement of the Company’s stock, and therefore creates the appearance that the Covered Person is trading based on inside information. Transactions in options also may focus the Covered Person’s attention on short-term performance at the expense of the Company’s long-term objectives. Accordingly, transactions in puts, calls or other derivative securities involving the Company, on an exchange or in any other organized market, are prohibited by the Policy. (Option positions arising from certain types of hedging transactions are governed by the section below captioned “</w:t>
      </w:r>
      <w:r>
        <w:rPr>
          <w:rFonts w:ascii="Times New Roman" w:cs="Times New Roman" w:eastAsia="Times New Roman" w:hAnsi="Times New Roman"/>
          <w:sz w:val="17"/>
          <w:szCs w:val="17"/>
          <w:b w:val="1"/>
          <w:bCs w:val="1"/>
          <w:color w:val="auto"/>
        </w:rPr>
        <w:t>Hedging Transactions</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9"/>
          <w:szCs w:val="19"/>
          <w:color w:val="auto"/>
        </w:rPr>
      </w:pPr>
    </w:p>
    <w:p>
      <w:pPr>
        <w:jc w:val="both"/>
        <w:ind w:left="1240" w:hanging="306"/>
        <w:spacing w:after="0" w:line="219" w:lineRule="auto"/>
        <w:tabs>
          <w:tab w:leader="none" w:pos="122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Margin Accounts and Pledges</w:t>
      </w:r>
      <w:r>
        <w:rPr>
          <w:rFonts w:ascii="Times New Roman" w:cs="Times New Roman" w:eastAsia="Times New Roman" w:hAnsi="Times New Roman"/>
          <w:sz w:val="17"/>
          <w:szCs w:val="17"/>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pledging Company Securities as collateral for a loan, unless prior written approval has been obtained from the General Counsel. An exception to this prohibition is available where a person wishes to pledge Company Securities as collateral for a loan (not including margin debt) and clearly demonstrates the financial capacity to repay the loan without resort to the pledged securities.</w:t>
      </w:r>
    </w:p>
    <w:p>
      <w:pPr>
        <w:spacing w:after="0" w:line="164" w:lineRule="exact"/>
        <w:rPr>
          <w:rFonts w:ascii="Times New Roman" w:cs="Times New Roman" w:eastAsia="Times New Roman" w:hAnsi="Times New Roman"/>
          <w:sz w:val="19"/>
          <w:szCs w:val="19"/>
          <w:color w:val="auto"/>
        </w:rPr>
      </w:pPr>
    </w:p>
    <w:p>
      <w:pPr>
        <w:jc w:val="both"/>
        <w:ind w:left="1240" w:hanging="306"/>
        <w:spacing w:after="0" w:line="220" w:lineRule="auto"/>
        <w:tabs>
          <w:tab w:leader="none" w:pos="12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auto"/>
        </w:rPr>
        <w:t>Hedging Transactions</w:t>
      </w:r>
      <w:r>
        <w:rPr>
          <w:rFonts w:ascii="Times New Roman" w:cs="Times New Roman" w:eastAsia="Times New Roman" w:hAnsi="Times New Roman"/>
          <w:sz w:val="17"/>
          <w:szCs w:val="17"/>
          <w:color w:val="auto"/>
        </w:rPr>
        <w:t>. Certain forms of hedging or monetization transactions, such as zero-cost collars and forward sale contracts, allow a Covered Person to lock in much of the value of his or her stock holdings, often in exchange for all or part of the potential for upside appreciation in the stock. These transactions allow the Covered Person to continue to own the covered securities, but without the full risks and rewards of ownership. When that occurs, the Covered Person may no longer have the same objectives as the Company’s other shareholders. The Company prohibits Section 16 Insiders from engaging in hedging transactions and discourages other Covered Persons from engaging in such transactions.</w:t>
      </w:r>
    </w:p>
    <w:p>
      <w:pPr>
        <w:spacing w:after="0" w:line="190"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u w:val="single" w:color="auto"/>
          <w:color w:val="auto"/>
        </w:rPr>
        <w:t>Post-Termination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Policy continues to apply to your transactions in Company Securities even after you have terminated service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Covered Person of the Company. If you are in possession of material nonpublic information when your service terminates, you may not trade in Company Securities until that information has become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3"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b w:val="1"/>
          <w:bCs w:val="1"/>
          <w:u w:val="single" w:color="auto"/>
          <w:color w:val="auto"/>
        </w:rPr>
        <w:t>Blackout Periods and Trading Windows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help prevent inadvertent violations and avoid even the appearance of trading on the basis of material non-public information, the Company has adopted quarterly trading blackout periods applicable to Section 16 Insiders and all other Covered Persons. The Company will provide notification to Covered Persons who are subject to the quarterly trading blackouts. Covered Persons who are subject to these requirements may not trade in Company Securities during the pendency of blackout periods.</w:t>
      </w:r>
    </w:p>
    <w:p>
      <w:pPr>
        <w:spacing w:after="0" w:line="17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From time to time, the Company may also impose certain event–specific blackouts, even during a period when the trading window is scheduled to be “open.” It is important to note that the fact that a blackout period has been extended or a special blackout period has been imposed should be considered material non-public information. Any person made aware of a special blackout period should not disclose the existence of the special blackout period to anyone else.</w:t>
      </w:r>
    </w:p>
    <w:p>
      <w:pPr>
        <w:spacing w:after="0" w:line="163"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u w:val="single" w:color="auto"/>
          <w:color w:val="auto"/>
        </w:rPr>
        <w:t>Rule 10b5-1 Plans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Rule 10b5-1 under the Exchange Act provides a defense from insider trading liability under Rule 10b-5. In order to be eligible to rely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7"/>
          <w:szCs w:val="17"/>
          <w:b w:val="1"/>
          <w:bCs w:val="1"/>
          <w:color w:val="auto"/>
        </w:rPr>
        <w:t>Rule 10b5-1 Plan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 Rule 10b5-1 Plan must be approved by the Insider Trading Compliance Officer and meet the requirements of Rule 10b5-1 and these guidelines. Any Rule 10b5-1 Plan must be submitted for approval prior to the entry into the Rule 10b5-1 Plan. Once the plan is approved and executed, no further pre-approval of transactions conducted pursuant to the Rule 10b5-1 Plan will be required.</w:t>
      </w:r>
    </w:p>
    <w:p>
      <w:pPr>
        <w:spacing w:after="0" w:line="127" w:lineRule="exact"/>
        <w:rPr>
          <w:sz w:val="20"/>
          <w:szCs w:val="20"/>
          <w:color w:val="auto"/>
        </w:rPr>
      </w:pPr>
    </w:p>
    <w:p>
      <w:pPr>
        <w:jc w:val="both"/>
        <w:ind w:firstLine="620"/>
        <w:spacing w:after="0" w:line="219" w:lineRule="exact"/>
        <w:rPr>
          <w:sz w:val="20"/>
          <w:szCs w:val="20"/>
          <w:color w:val="auto"/>
        </w:rPr>
      </w:pPr>
      <w:r>
        <w:rPr>
          <w:rFonts w:ascii="Times New Roman" w:cs="Times New Roman" w:eastAsia="Times New Roman" w:hAnsi="Times New Roman"/>
          <w:sz w:val="17"/>
          <w:szCs w:val="17"/>
          <w:b w:val="1"/>
          <w:bCs w:val="1"/>
          <w:u w:val="single" w:color="auto"/>
          <w:color w:val="auto"/>
        </w:rPr>
        <w:t>Pre</w:t>
      </w:r>
      <w:r>
        <w:rPr>
          <w:rFonts w:ascii="MS PGothic" w:cs="MS PGothic" w:eastAsia="MS PGothic" w:hAnsi="MS PGothic"/>
          <w:sz w:val="17"/>
          <w:szCs w:val="17"/>
          <w:u w:val="single" w:color="auto"/>
          <w:color w:val="auto"/>
          <w:strike w:val="1"/>
        </w:rPr>
        <w:t>‐</w:t>
      </w:r>
      <w:r>
        <w:rPr>
          <w:rFonts w:ascii="Times New Roman" w:cs="Times New Roman" w:eastAsia="Times New Roman" w:hAnsi="Times New Roman"/>
          <w:sz w:val="17"/>
          <w:szCs w:val="17"/>
          <w:b w:val="1"/>
          <w:bCs w:val="1"/>
          <w:u w:val="single" w:color="auto"/>
          <w:color w:val="auto"/>
        </w:rPr>
        <w:t>Clearance of Trades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has determined that all Section 16 Insiders and all other Covered Persons must refrain from trading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Securities, even during a Trading Window, without first complying with the Company’s “pre-clearance” process. Each such person should contact the Company’s Insider Trading Compliance Officer prior to commencing any trade in Company Securities. The Insider Trading Compliance Officer will consult as necessary with senior management of and/or counsel to the Company before clearing any proposed trade. Although an insider wishing to trade pursuant to an Approved Rule 10b5-1 Trading Plan need not seek preclearance from the Company’s Insider Trading Compliance Officer before each trade made pursuant to such Plan takes place, such an insider must obtain the approval of the Insider Trading Compliance Officer of the proposed Rule 10b5-1 Trading Plan before it is adopted.</w:t>
      </w:r>
    </w:p>
    <w:p>
      <w:pPr>
        <w:spacing w:after="0" w:line="200" w:lineRule="exact"/>
        <w:rPr>
          <w:sz w:val="20"/>
          <w:szCs w:val="20"/>
          <w:color w:val="auto"/>
        </w:rPr>
      </w:pPr>
    </w:p>
    <w:p>
      <w:pPr>
        <w:spacing w:after="0" w:line="206"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u w:val="single" w:color="auto"/>
          <w:color w:val="auto"/>
        </w:rPr>
        <w:t>Policy Applicable to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 is also the policy of the Company that the Company will not trade in Company Securities while aware of 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non-public information relating to the Company or Company Securities, except for permitted transactions as discussed herein or transactions authorized by and executed pursuant to Rule 10b5-1.</w:t>
      </w:r>
    </w:p>
    <w:p>
      <w:pPr>
        <w:spacing w:after="0" w:line="186"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b w:val="1"/>
          <w:bCs w:val="1"/>
          <w:u w:val="single" w:color="auto"/>
          <w:color w:val="auto"/>
        </w:rPr>
        <w:t>Company Assistance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person who has a question about this Policy or its application to any proposed transaction may obtain additional guidance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the Insider Trading Compliance Officer, Chief Financial Officer, or the Company’s General Counsel. In addition, if you have any doubt as to whether you are in possession of material nonpublic information or whether a trade may otherwise violate this Policy, you should contact the foregoing person(s) before trading any securities of the Company.</w:t>
      </w:r>
    </w:p>
    <w:p>
      <w:pPr>
        <w:spacing w:after="0" w:line="193"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b w:val="1"/>
          <w:bCs w:val="1"/>
          <w:u w:val="single" w:color="auto"/>
          <w:color w:val="auto"/>
        </w:rPr>
        <w:t>Other Procedures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may change these procedures or adopt such other procedures in the future as the Company considers appropriate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advisable in order to carry out the purposes of this Policy or to comply with the federal securities laws. Wherever this Policy refers to, or calls for, action by or involving the Company’s Insider Trading Compliance Officer, such reference shall include such other person as the Insider Trading Compliance Officer may designate from time to time, if the Insider Trading Compliance Officer is unavailable or otherwise unable to act for any reason.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request, any Covered Person must certify their understanding of, and compliance with, this Policy.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10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Subsidiaries of the Registrant</w:t>
            </w:r>
          </w:p>
        </w:tc>
        <w:tc>
          <w:tcPr>
            <w:tcW w:w="38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tc>
        <w:tc>
          <w:tcPr>
            <w:tcW w:w="0" w:type="dxa"/>
            <w:vAlign w:val="bottom"/>
          </w:tcPr>
          <w:p>
            <w:pPr>
              <w:spacing w:after="0"/>
              <w:rPr>
                <w:sz w:val="1"/>
                <w:szCs w:val="1"/>
                <w:color w:val="auto"/>
              </w:rPr>
            </w:pPr>
          </w:p>
        </w:tc>
      </w:tr>
      <w:tr>
        <w:trPr>
          <w:trHeight w:val="233"/>
        </w:trPr>
        <w:tc>
          <w:tcPr>
            <w:tcW w:w="6100" w:type="dxa"/>
            <w:vAlign w:val="bottom"/>
            <w:vMerge w:val="continue"/>
          </w:tcPr>
          <w:p>
            <w:pPr>
              <w:spacing w:after="0"/>
              <w:rPr>
                <w:sz w:val="20"/>
                <w:szCs w:val="20"/>
                <w:color w:val="auto"/>
              </w:rPr>
            </w:pPr>
          </w:p>
        </w:tc>
        <w:tc>
          <w:tcPr>
            <w:tcW w:w="3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80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State/Country of Incorporation</w:t>
            </w:r>
          </w:p>
        </w:tc>
        <w:tc>
          <w:tcPr>
            <w:tcW w:w="13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3"/>
        </w:trPr>
        <w:tc>
          <w:tcPr>
            <w:tcW w:w="61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Creative Tops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Europe B.V.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Netherlands</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Venture Enterprises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 Cafetiere (UK)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Europe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Global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Inc. (HK)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Global Trading (Shanghai) Company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China</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International Shanghai</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China</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Holdings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UK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Goal Development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Pfaltzgraff Factory Stores, Inc.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Chef’n Corporation</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Washington</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Plant (Birmingham) Holdings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Wallace Silversmiths de Puerto Rico Ltd.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Cayman Islands</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Exacture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Maquila Factory Imports I,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Maquila Factory Imports II,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Maquila México, S. de R.L. de C.V.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de México, S.A. de C.V.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Australia Pty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Australia</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New Zealand Pty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New Zealand</w:t>
            </w:r>
          </w:p>
        </w:tc>
        <w:tc>
          <w:tcPr>
            <w:tcW w:w="13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6" w:name="page107"/>
    <w:bookmarkEnd w:id="106"/>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(Form S-8 Nos. 333-265931, 333-105382, 333-146017, 333-162734, 333-186208, 333-208961, 333-221613, 333-226666, 333-239539, 333-280493) pertaining to the Amended and Restated 2000 Long-Term Incentive Plan of Lifetime Brands, Inc. of our reports dated March 13, 2025, with respect to the consolidated financial statements and schedule of Lifetime Brands, Inc., and the effectiveness of internal control over financial reporting of Lifetime Brands, Inc. included in this Annual Report (Form 10-K) for the year ended December 31, 2024.</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Jericho, New York</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Board of Directors and Stockholders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Grupo Vasconia, S.A.B.</w:t>
      </w:r>
    </w:p>
    <w:p>
      <w:pPr>
        <w:spacing w:after="0"/>
        <w:rPr>
          <w:sz w:val="20"/>
          <w:szCs w:val="20"/>
          <w:color w:val="auto"/>
        </w:rPr>
      </w:pPr>
      <w:r>
        <w:rPr>
          <w:rFonts w:ascii="Times New Roman" w:cs="Times New Roman" w:eastAsia="Times New Roman" w:hAnsi="Times New Roman"/>
          <w:sz w:val="17"/>
          <w:szCs w:val="17"/>
          <w:b w:val="1"/>
          <w:bCs w:val="1"/>
          <w:color w:val="auto"/>
        </w:rPr>
        <w:t>Avenida 16 de septiembre #346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Colonia El Partidor</w:t>
      </w:r>
    </w:p>
    <w:p>
      <w:pPr>
        <w:spacing w:after="0" w:line="237" w:lineRule="auto"/>
        <w:rPr>
          <w:sz w:val="20"/>
          <w:szCs w:val="20"/>
          <w:color w:val="auto"/>
        </w:rPr>
      </w:pPr>
      <w:r>
        <w:rPr>
          <w:rFonts w:ascii="Times New Roman" w:cs="Times New Roman" w:eastAsia="Times New Roman" w:hAnsi="Times New Roman"/>
          <w:sz w:val="17"/>
          <w:szCs w:val="17"/>
          <w:b w:val="1"/>
          <w:bCs w:val="1"/>
          <w:color w:val="auto"/>
        </w:rPr>
        <w:t>Cuautitlán, Estado de México,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C.P. 54879</w:t>
      </w:r>
    </w:p>
    <w:p>
      <w:pPr>
        <w:spacing w:after="0" w:line="21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S-8 (Nos. 333-265931, 333-105382, 333-146017, 333-162734, 333-186208, 333-208961, 333-221613, 333-226666, 333-239539 and 333-280493) of Lifetime Brands, Inc. of our report dated March 12, 2024 relating to the consolidated financial statements (not presented separately herein) of Grupo Vasconia, S.A.B. and subsidiaries (the “Company”) included in the December 31, 2023 annual report on Form 10-K of Lifetime Brands, Inc. Our report contains an explanatory paragraph regarding the Company’s ability to continue as a going concern.</w:t>
      </w:r>
    </w:p>
    <w:p>
      <w:pPr>
        <w:spacing w:after="0" w:line="213"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7"/>
          <w:szCs w:val="17"/>
          <w:color w:val="auto"/>
        </w:rPr>
        <w:t>Our report dated March 12, 2024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23 to the consolidated financial statements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Castillo Miranda y Compañía, S.C. (BDO Mexico)</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C.P.C. Carlos Enrique Charraga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32899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C.P.C. Carlos Enrique Charraga Sanchez</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Partner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Mexico City, Mexico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2025</w:t>
      </w:r>
    </w:p>
    <w:p>
      <w:pPr>
        <w:sectPr>
          <w:pgSz w:w="11900" w:h="16838" w:orient="portrait"/>
          <w:cols w:equalWidth="0" w:num="1">
            <w:col w:w="11240"/>
          </w:cols>
          <w:pgMar w:left="32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 Kay, certify that:</w:t>
      </w:r>
    </w:p>
    <w:p>
      <w:pPr>
        <w:spacing w:after="0" w:line="115" w:lineRule="exact"/>
        <w:rPr>
          <w:sz w:val="20"/>
          <w:szCs w:val="20"/>
          <w:color w:val="auto"/>
        </w:rPr>
      </w:pPr>
    </w:p>
    <w:p>
      <w:pPr>
        <w:ind w:left="560" w:hanging="169"/>
        <w:spacing w:after="0"/>
        <w:tabs>
          <w:tab w:leader="none" w:pos="5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Lifetime Brands, Inc. (“the registrant”);</w:t>
      </w:r>
    </w:p>
    <w:p>
      <w:pPr>
        <w:spacing w:after="0" w:line="114" w:lineRule="exact"/>
        <w:rPr>
          <w:rFonts w:ascii="Times New Roman" w:cs="Times New Roman" w:eastAsia="Times New Roman" w:hAnsi="Times New Roman"/>
          <w:sz w:val="17"/>
          <w:szCs w:val="17"/>
          <w:color w:val="auto"/>
        </w:rPr>
      </w:pPr>
    </w:p>
    <w:p>
      <w:pPr>
        <w:ind w:left="400" w:right="60" w:hanging="9"/>
        <w:spacing w:after="0" w:line="270" w:lineRule="auto"/>
        <w:tabs>
          <w:tab w:leader="none" w:pos="57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3" w:lineRule="exact"/>
        <w:rPr>
          <w:rFonts w:ascii="Times New Roman" w:cs="Times New Roman" w:eastAsia="Times New Roman" w:hAnsi="Times New Roman"/>
          <w:sz w:val="17"/>
          <w:szCs w:val="17"/>
          <w:color w:val="auto"/>
        </w:rPr>
      </w:pPr>
    </w:p>
    <w:p>
      <w:pPr>
        <w:ind w:left="400" w:right="20" w:hanging="9"/>
        <w:spacing w:after="0" w:line="288" w:lineRule="auto"/>
        <w:tabs>
          <w:tab w:leader="none" w:pos="57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7" w:lineRule="exact"/>
        <w:rPr>
          <w:rFonts w:ascii="Times New Roman" w:cs="Times New Roman" w:eastAsia="Times New Roman" w:hAnsi="Times New Roman"/>
          <w:sz w:val="17"/>
          <w:szCs w:val="17"/>
          <w:color w:val="auto"/>
        </w:rPr>
      </w:pPr>
    </w:p>
    <w:p>
      <w:pPr>
        <w:ind w:left="400" w:right="60" w:hanging="9"/>
        <w:spacing w:after="0" w:line="270" w:lineRule="auto"/>
        <w:tabs>
          <w:tab w:leader="none" w:pos="57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7"/>
          <w:szCs w:val="17"/>
          <w:color w:val="auto"/>
        </w:rPr>
      </w:pPr>
    </w:p>
    <w:p>
      <w:pPr>
        <w:ind w:left="780" w:right="80" w:hanging="1"/>
        <w:spacing w:after="0" w:line="270" w:lineRule="auto"/>
        <w:tabs>
          <w:tab w:leader="none" w:pos="943"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3" w:lineRule="exact"/>
        <w:rPr>
          <w:rFonts w:ascii="Times New Roman" w:cs="Times New Roman" w:eastAsia="Times New Roman" w:hAnsi="Times New Roman"/>
          <w:sz w:val="17"/>
          <w:szCs w:val="17"/>
          <w:color w:val="auto"/>
        </w:rPr>
      </w:pPr>
    </w:p>
    <w:p>
      <w:pPr>
        <w:ind w:left="780" w:right="60" w:hanging="1"/>
        <w:spacing w:after="0" w:line="270" w:lineRule="auto"/>
        <w:tabs>
          <w:tab w:leader="none" w:pos="952"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ind w:left="780" w:right="100" w:hanging="1"/>
        <w:spacing w:after="0" w:line="288" w:lineRule="auto"/>
        <w:tabs>
          <w:tab w:leader="none" w:pos="943"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780" w:right="520" w:hanging="1"/>
        <w:spacing w:after="0" w:line="288" w:lineRule="auto"/>
        <w:tabs>
          <w:tab w:leader="none" w:pos="952"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7"/>
          <w:szCs w:val="17"/>
          <w:color w:val="auto"/>
        </w:rPr>
      </w:pPr>
    </w:p>
    <w:p>
      <w:pPr>
        <w:ind w:left="400" w:right="480" w:hanging="9"/>
        <w:spacing w:after="0" w:line="288" w:lineRule="auto"/>
        <w:tabs>
          <w:tab w:leader="none" w:pos="57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80" w:right="40" w:hanging="1"/>
        <w:spacing w:after="0" w:line="288" w:lineRule="auto"/>
        <w:tabs>
          <w:tab w:leader="none" w:pos="943"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80" w:right="80" w:hanging="1"/>
        <w:spacing w:after="0" w:line="288" w:lineRule="auto"/>
        <w:tabs>
          <w:tab w:leader="none" w:pos="952"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Date: March 13, 2025</w:t>
      </w:r>
    </w:p>
    <w:p>
      <w:pPr>
        <w:spacing w:after="0" w:line="2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17780</wp:posOffset>
            </wp:positionV>
            <wp:extent cx="25927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4">
                      <a:extLst>
                        <a:ext uri="{28A0092B-C50C-407E-A947-70E740481C1C}"/>
                      </a:extLst>
                    </a:blip>
                    <a:srcRect/>
                    <a:stretch>
                      <a:fillRect/>
                    </a:stretch>
                  </pic:blipFill>
                  <pic:spPr bwMode="auto">
                    <a:xfrm>
                      <a:off x="0" y="0"/>
                      <a:ext cx="2592705" cy="8255"/>
                    </a:xfrm>
                    <a:prstGeom prst="rect">
                      <a:avLst/>
                    </a:prstGeom>
                    <a:noFill/>
                  </pic:spPr>
                </pic:pic>
              </a:graphicData>
            </a:graphic>
          </wp:anchor>
        </w:drawing>
      </w:r>
    </w:p>
    <w:p>
      <w:pPr>
        <w:spacing w:after="0" w:line="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Robert B. Kay</w:t>
      </w:r>
    </w:p>
    <w:p>
      <w:pPr>
        <w:ind w:left="780"/>
        <w:spacing w:after="0" w:line="197" w:lineRule="auto"/>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Chief Executive Officer and Director</w:t>
      </w:r>
    </w:p>
    <w:p>
      <w:pPr>
        <w:sectPr>
          <w:pgSz w:w="11900" w:h="16838" w:orient="portrait"/>
          <w:cols w:equalWidth="0" w:num="1">
            <w:col w:w="11240"/>
          </w:cols>
          <w:pgMar w:left="320" w:top="85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Laurence Winoker, certify that:</w:t>
      </w:r>
    </w:p>
    <w:p>
      <w:pPr>
        <w:spacing w:after="0" w:line="115" w:lineRule="exact"/>
        <w:rPr>
          <w:sz w:val="20"/>
          <w:szCs w:val="20"/>
          <w:color w:val="auto"/>
        </w:rPr>
      </w:pPr>
    </w:p>
    <w:p>
      <w:pPr>
        <w:ind w:left="560" w:hanging="169"/>
        <w:spacing w:after="0"/>
        <w:tabs>
          <w:tab w:leader="none" w:pos="5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Lifetime Brands, Inc. (“the registrant”);</w:t>
      </w:r>
    </w:p>
    <w:p>
      <w:pPr>
        <w:spacing w:after="0" w:line="114" w:lineRule="exact"/>
        <w:rPr>
          <w:rFonts w:ascii="Times New Roman" w:cs="Times New Roman" w:eastAsia="Times New Roman" w:hAnsi="Times New Roman"/>
          <w:sz w:val="17"/>
          <w:szCs w:val="17"/>
          <w:color w:val="auto"/>
        </w:rPr>
      </w:pPr>
    </w:p>
    <w:p>
      <w:pPr>
        <w:ind w:left="400" w:right="60" w:hanging="9"/>
        <w:spacing w:after="0" w:line="270" w:lineRule="auto"/>
        <w:tabs>
          <w:tab w:leader="none" w:pos="57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3" w:lineRule="exact"/>
        <w:rPr>
          <w:rFonts w:ascii="Times New Roman" w:cs="Times New Roman" w:eastAsia="Times New Roman" w:hAnsi="Times New Roman"/>
          <w:sz w:val="17"/>
          <w:szCs w:val="17"/>
          <w:color w:val="auto"/>
        </w:rPr>
      </w:pPr>
    </w:p>
    <w:p>
      <w:pPr>
        <w:ind w:left="400" w:right="20" w:hanging="9"/>
        <w:spacing w:after="0" w:line="288" w:lineRule="auto"/>
        <w:tabs>
          <w:tab w:leader="none" w:pos="57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7" w:lineRule="exact"/>
        <w:rPr>
          <w:rFonts w:ascii="Times New Roman" w:cs="Times New Roman" w:eastAsia="Times New Roman" w:hAnsi="Times New Roman"/>
          <w:sz w:val="17"/>
          <w:szCs w:val="17"/>
          <w:color w:val="auto"/>
        </w:rPr>
      </w:pPr>
    </w:p>
    <w:p>
      <w:pPr>
        <w:ind w:left="400" w:right="60" w:hanging="9"/>
        <w:spacing w:after="0" w:line="270" w:lineRule="auto"/>
        <w:tabs>
          <w:tab w:leader="none" w:pos="57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7"/>
          <w:szCs w:val="17"/>
          <w:color w:val="auto"/>
        </w:rPr>
      </w:pPr>
    </w:p>
    <w:p>
      <w:pPr>
        <w:ind w:left="780" w:right="80" w:hanging="1"/>
        <w:spacing w:after="0" w:line="270" w:lineRule="auto"/>
        <w:tabs>
          <w:tab w:leader="none" w:pos="943"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3" w:lineRule="exact"/>
        <w:rPr>
          <w:rFonts w:ascii="Times New Roman" w:cs="Times New Roman" w:eastAsia="Times New Roman" w:hAnsi="Times New Roman"/>
          <w:sz w:val="17"/>
          <w:szCs w:val="17"/>
          <w:color w:val="auto"/>
        </w:rPr>
      </w:pPr>
    </w:p>
    <w:p>
      <w:pPr>
        <w:ind w:left="780" w:right="60" w:hanging="1"/>
        <w:spacing w:after="0" w:line="270" w:lineRule="auto"/>
        <w:tabs>
          <w:tab w:leader="none" w:pos="95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ind w:left="780" w:right="100" w:hanging="1"/>
        <w:spacing w:after="0" w:line="288" w:lineRule="auto"/>
        <w:tabs>
          <w:tab w:leader="none" w:pos="943"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780" w:right="520" w:hanging="1"/>
        <w:spacing w:after="0" w:line="288" w:lineRule="auto"/>
        <w:tabs>
          <w:tab w:leader="none" w:pos="95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7"/>
          <w:szCs w:val="17"/>
          <w:color w:val="auto"/>
        </w:rPr>
      </w:pPr>
    </w:p>
    <w:p>
      <w:pPr>
        <w:ind w:left="400" w:right="480" w:hanging="9"/>
        <w:spacing w:after="0" w:line="288" w:lineRule="auto"/>
        <w:tabs>
          <w:tab w:leader="none" w:pos="57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80" w:right="40" w:hanging="1"/>
        <w:spacing w:after="0" w:line="288" w:lineRule="auto"/>
        <w:tabs>
          <w:tab w:leader="none" w:pos="943"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2120" w:right="80" w:hanging="1341"/>
        <w:spacing w:after="0" w:line="335" w:lineRule="auto"/>
        <w:tabs>
          <w:tab w:leader="none" w:pos="955"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Date: March 13, 2025</w:t>
      </w:r>
    </w:p>
    <w:p>
      <w:pPr>
        <w:spacing w:after="0" w:line="1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17780</wp:posOffset>
            </wp:positionV>
            <wp:extent cx="46520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4652010"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Laurence Winoker</w:t>
      </w:r>
    </w:p>
    <w:p>
      <w:pPr>
        <w:ind w:left="780"/>
        <w:spacing w:after="0" w:line="197" w:lineRule="auto"/>
        <w:rPr>
          <w:sz w:val="20"/>
          <w:szCs w:val="20"/>
          <w:color w:val="auto"/>
        </w:rPr>
      </w:pPr>
      <w:r>
        <w:rPr>
          <w:rFonts w:ascii="Times New Roman" w:cs="Times New Roman" w:eastAsia="Times New Roman" w:hAnsi="Times New Roman"/>
          <w:sz w:val="34"/>
          <w:szCs w:val="34"/>
          <w:color w:val="auto"/>
          <w:vertAlign w:val="subscript"/>
        </w:rPr>
        <w:t>financial reporting.</w:t>
      </w:r>
      <w:r>
        <w:rPr>
          <w:rFonts w:ascii="Times New Roman" w:cs="Times New Roman" w:eastAsia="Times New Roman" w:hAnsi="Times New Roman"/>
          <w:sz w:val="17"/>
          <w:szCs w:val="17"/>
          <w:color w:val="auto"/>
        </w:rPr>
        <w:t>Executive Vice President, Treasurer and Chief Financial Officer</w:t>
      </w:r>
    </w:p>
    <w:p>
      <w:pPr>
        <w:sectPr>
          <w:pgSz w:w="11900" w:h="16838" w:orient="portrait"/>
          <w:cols w:equalWidth="0" w:num="1">
            <w:col w:w="11240"/>
          </w:cols>
          <w:pgMar w:left="320" w:top="85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29"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Certification by Robert B. Kay, Chief Executive Officer and Director, and Laurence Winoker, Executive Vice President - Finance, Treasurer and Chief Financial Officer, Pursuant to 18 U.S.C. Section 1350, as Adopted Pursuant to Section 906 of the Sarbanes-Oxley Act of 2002.</w:t>
      </w:r>
    </w:p>
    <w:p>
      <w:pPr>
        <w:spacing w:after="0" w:line="151"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 Robert B. Kay, Chief Executive Officer, and I, Laurence Winoker, Executive Vice President, Finance, Treasurer and Chief Financial Officer, of Lifetime Brands, Inc., a Delaware corporation (the “Company”), each hereby certifies that:</w:t>
      </w:r>
    </w:p>
    <w:p>
      <w:pPr>
        <w:spacing w:after="0" w:line="48" w:lineRule="exact"/>
        <w:rPr>
          <w:sz w:val="20"/>
          <w:szCs w:val="20"/>
          <w:color w:val="auto"/>
        </w:rPr>
      </w:pPr>
    </w:p>
    <w:p>
      <w:pPr>
        <w:ind w:left="620" w:right="660" w:hanging="307"/>
        <w:spacing w:after="0" w:line="288" w:lineRule="auto"/>
        <w:tabs>
          <w:tab w:leader="none" w:pos="61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2024 (the “Form 10-K”) fully complies with the requirements of Section 13(a) or 15(d) of the Securities Exchange Act of 1934, as amended; and</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10-K fairly presents, in all material respects, the financial condition and results of operations of the Company.</w:t>
      </w:r>
    </w:p>
    <w:p>
      <w:pPr>
        <w:spacing w:after="0" w:line="5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Robert B. Kay</w:t>
            </w: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Laurence Winoker</w:t>
            </w:r>
          </w:p>
        </w:tc>
      </w:tr>
      <w:tr>
        <w:trPr>
          <w:trHeight w:val="161"/>
        </w:trPr>
        <w:tc>
          <w:tcPr>
            <w:tcW w:w="524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7"/>
                <w:szCs w:val="17"/>
                <w:color w:val="auto"/>
              </w:rPr>
              <w:t>Robert B. Kay</w:t>
            </w:r>
          </w:p>
        </w:tc>
        <w:tc>
          <w:tcPr>
            <w:tcW w:w="120" w:type="dxa"/>
            <w:vAlign w:val="bottom"/>
          </w:tcPr>
          <w:p>
            <w:pPr>
              <w:spacing w:after="0"/>
              <w:rPr>
                <w:sz w:val="13"/>
                <w:szCs w:val="13"/>
                <w:color w:val="auto"/>
              </w:rPr>
            </w:pPr>
          </w:p>
        </w:tc>
        <w:tc>
          <w:tcPr>
            <w:tcW w:w="524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7"/>
                <w:szCs w:val="17"/>
                <w:color w:val="auto"/>
              </w:rPr>
              <w:t>Laurence Winoker</w:t>
            </w:r>
          </w:p>
        </w:tc>
      </w:tr>
      <w:tr>
        <w:trPr>
          <w:trHeight w:val="177"/>
        </w:trPr>
        <w:tc>
          <w:tcPr>
            <w:tcW w:w="53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Chief Executive Officer and Director</w:t>
            </w:r>
          </w:p>
        </w:tc>
        <w:tc>
          <w:tcPr>
            <w:tcW w:w="52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Executive Vice President, Treasurer</w:t>
            </w:r>
          </w:p>
        </w:tc>
      </w:tr>
      <w:tr>
        <w:trPr>
          <w:trHeight w:val="223"/>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Chief Financial Officer</w:t>
            </w:r>
          </w:p>
        </w:tc>
      </w:tr>
      <w:tr>
        <w:trPr>
          <w:trHeight w:val="478"/>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Date: March 13, 2025</w:t>
            </w: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March 13, 2025</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signed original of this certification required by 18 U.S.C. Section 1350 has been provided to Lifetime Brands, Inc. and will be retained by Lifetime Brands,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furnished to the SEC or its staff upon request.</w:t>
      </w:r>
    </w:p>
    <w:p>
      <w:pPr>
        <w:spacing w:after="0" w:line="20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This certification is being furnished solely pursuant to 18 U.S.C. 1350, shall not be deemed “filed” with the Securities and Exchange Commission for purposes of Section 18 of the Securities Exchange Act of 1934 or otherwise subject to liability under that section, and shall not be deemed incorporated by reference into any filing of the Company under the Securities Act of 1933, as amended, or the Securities Exchange Act of 1934, as amended, irrespective of any general incorporation by reference language contained in such filing.</w:t>
      </w:r>
    </w:p>
    <w:p>
      <w:pPr>
        <w:sectPr>
          <w:pgSz w:w="11900" w:h="16838" w:orient="portrait"/>
          <w:cols w:equalWidth="0" w:num="1">
            <w:col w:w="11240"/>
          </w:cols>
          <w:pgMar w:left="320" w:top="108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and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Grupo Vasconia, S. A. B.</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Grupo Vasconia S. A. B. and Subsidiaries (the “Company”) as of December 31, 2023 and 2022, and the related consolidated statements of comprehensive income, 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consolidated results of its operations and its cash flows for each of the three years in the period ended December 31, 2023, in conformity with International Financial Reporting Standards as issued by the International Accounting Standards Board (“IASB”).</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13 to the accompanying consolidated financial statements, the Company has faced liquidity and solvency problems as a result of the decrease in margins and cash flows of its subsidiary Almexa Aluminio, S. A. de C. V. (Almexa), originated by various internal and market circumstances. As a result of this situation, as of June 2023, the Company and Almexa suspended the payments of the debt service contracted with their banking and stock market creditors, having previously received the consent of its creditors until the restructuring of these banking and stock market liabilities is agreed. As of that date and until the date of issuance of this report, the Company is in the process of negotiating with its banking creditors and holders of stock certificates, aimed at obtaining a definitive agreement on the long-term restructuring of these debts, for which monthly waiting agreements have been signed and extended with the objective, among others, of determining the form and times to implement and document the refinancing of the Company and Almexa. Due to this situation and having cross-default clauses in the debt contracts, in accordance with the provisions of International Accounting Standard 1, the bank and stock market debt contracted in the long term has been reclassified to short term, resulting in the consolidated financial statements as of December 31, 2023, presenting a negative working capital position.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events or conditions raise substantial doubt about the Company's ability to continue as a going concern. To remedy this situation, the plans developed by the Company's management are described in Note 13 aforementioned, highlighting: i) achieving a long-term restructuring agreement with all its creditors; ii) ensuring that its subsidiaries generate sufficient cash flows for their operation and to cover the service of the restructured debt and; iii) obtaining fresh cash resources. The attached financial statements do not include adjustments that may arise due to this uncertainty.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Differences from U.S. generally accepted accounting principles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 Standards as issued by the IASB vary in certain significant respects from U.S. generally accepted accounting principles.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relating to the nature and effect of such differences is presented in Note 23 to the consolidated financial statements.</w:t>
      </w:r>
    </w:p>
    <w:p>
      <w:pPr>
        <w:sectPr>
          <w:pgSz w:w="11900" w:h="16838" w:orient="portrait"/>
          <w:cols w:equalWidth="0" w:num="1">
            <w:col w:w="11240"/>
          </w:cols>
          <w:pgMar w:left="320" w:top="135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International Standards on Auditing.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consolidated financial statements that were communicated or required to be communicated to the audit committee and that: relate to accounts or disclosures that are material to the consolidated financial statements and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evaluation</w:t>
      </w:r>
    </w:p>
    <w:p>
      <w:pPr>
        <w:spacing w:after="0" w:line="2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mentioned in Note 13, management determined that its consolidated financial statements as at December 31, 2023, have been prepared under the assumption that it operates on a going concern basis. This going concern evaluation is considered a critical audit matter.</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audit procedures, among other things, included the following, i) evaluate the plans of the administration to renegotiate the debt; ii) review the extensions granted by the creditors monthly; iii) evaluate the historical and projected information on operating profit or loss financial structure; iv) analyze the the feasibility of the future projects of the Company v) analyze the main financial ratios, key indexes and indicators of the industry in which the Company operates.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Assessment of recoverability of deferred tax assets</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discussed in Note 21 to the consolidated financial statements, as at December 31, 2023 the Company recorded deferred tax assets of $285,226,576 relating to tax losses incurred and temporary differences. The assessment of the recoverability of these deferred tax assets is dependent on the generation of future taxable income. Significant judgment and estimation is required to assess the sufficiency of future taxable income to utilize the recognized deferred tax assets. The Company uses projections of future taxable income in order to assess the probability that the deferred tax assets will be realized. Predicting future taxable income is dependent on assumptions and judgments regarding future market conditions, production rates, and intercompany sales. The Company determined that the realization of these deferred tax assets is probable.</w:t>
      </w:r>
    </w:p>
    <w:p>
      <w:pPr>
        <w:sectPr>
          <w:pgSz w:w="11900" w:h="16838" w:orient="portrait"/>
          <w:cols w:equalWidth="0" w:num="1">
            <w:col w:w="11240"/>
          </w:cols>
          <w:pgMar w:left="320" w:top="1360" w:right="339" w:bottom="1440" w:gutter="0" w:footer="0" w:header="0"/>
        </w:sectPr>
      </w:pPr>
    </w:p>
    <w:bookmarkStart w:id="113" w:name="page114"/>
    <w:bookmarkEnd w:id="113"/>
    <w:p>
      <w:pPr>
        <w:jc w:val="both"/>
        <w:spacing w:after="0" w:line="254" w:lineRule="auto"/>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to assess the Company’s estimate of future taxable income, include the evaluation of key assumptions in the model by comparing: (i) forecast of aluminum prices to published views of independent market participants, (ii) foreign exchange rates to external analyst estimates, and (iii) forecast sales to historical trends, approved budgets and committed sales volumes. We performed a sensitivity analysis over the key assumptions to assess their impact on the Company’s determination that the deferred tax assets were realizable.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CASTILLO MIRANDA Y COMPAÑÍA, S.C.</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Carlos Enrique Charraga Sanchez</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Carlos Enrique Charraga Sanchez</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Mexico City, Mexico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lowerRoman"/>
      <w:start w:val="6"/>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5"/>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1)"/>
      <w:numFmt w:val="lowerRoman"/>
      <w:start w:val="4"/>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decimal"/>
      <w:start w:val="104"/>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Roman"/>
      <w:start w:val="1"/>
    </w:lvl>
    <w:lvl w:ilvl="1">
      <w:lvlJc w:val="left"/>
      <w:lvlText w:val="(%2)"/>
      <w:numFmt w:val="lowerRoman"/>
      <w:start w:val="2"/>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Letter"/>
      <w:start w:val="1"/>
    </w:lvl>
    <w:lvl w:ilvl="1">
      <w:lvlJc w:val="left"/>
      <w:lvlText w:val="(%2)"/>
      <w:numFmt w:val="lowerLetter"/>
      <w:start w:val="6"/>
    </w:lvl>
  </w:abstractNum>
  <w:abstractNum w:abstractNumId="44">
    <w:nsid w:val="1BA026FA"/>
    <w:multiLevelType w:val="hybridMultilevel"/>
    <w:lvl w:ilvl="0">
      <w:lvlJc w:val="left"/>
      <w:lvlText w:val="(%1)"/>
      <w:numFmt w:val="lowerLetter"/>
      <w:start w:val="2"/>
    </w:lvl>
    <w:lvl w:ilvl="1">
      <w:lvlJc w:val="left"/>
      <w:lvlText w:val="%2"/>
      <w:numFmt w:val="lowerLetter"/>
      <w:start w:val="1"/>
    </w:lvl>
  </w:abstractNum>
  <w:abstractNum w:abstractNumId="45">
    <w:nsid w:val="79A1DEAA"/>
    <w:multiLevelType w:val="hybridMultilevel"/>
    <w:lvl w:ilvl="0">
      <w:lvlJc w:val="left"/>
      <w:lvlText w:val="(%1)"/>
      <w:numFmt w:val="lowerLetter"/>
      <w:start w:val="3"/>
    </w:lvl>
  </w:abstractNum>
  <w:abstractNum w:abstractNumId="46">
    <w:nsid w:val="75C6C33A"/>
    <w:multiLevelType w:val="hybridMultilevel"/>
    <w:lvl w:ilvl="0">
      <w:lvlJc w:val="left"/>
      <w:lvlText w:val="%1."/>
      <w:numFmt w:val="upperLetter"/>
      <w:start w:val="9"/>
    </w:lvl>
  </w:abstractNum>
  <w:abstractNum w:abstractNumId="47">
    <w:nsid w:val="12E685FB"/>
    <w:multiLevelType w:val="hybridMultilevel"/>
    <w:lvl w:ilvl="0">
      <w:lvlJc w:val="left"/>
      <w:lvlText w:val="%1."/>
      <w:numFmt w:val="upperLetter"/>
      <w:start w:val="35"/>
    </w:lvl>
  </w:abstractNum>
  <w:abstractNum w:abstractNumId="48">
    <w:nsid w:val="70C6A529"/>
    <w:multiLevelType w:val="hybridMultilevel"/>
    <w:lvl w:ilvl="0">
      <w:lvlJc w:val="left"/>
      <w:lvlText w:val="%1."/>
      <w:numFmt w:val="upperLetter"/>
      <w:start w:val="6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3"/>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25" Type="http://schemas.openxmlformats.org/officeDocument/2006/relationships/image" Target="media/image61.png"/><Relationship Id="rId126" Type="http://schemas.openxmlformats.org/officeDocument/2006/relationships/image" Target="media/image62.png"/><Relationship Id="rId128" Type="http://schemas.openxmlformats.org/officeDocument/2006/relationships/image" Target="media/image63.png"/><Relationship Id="rId129" Type="http://schemas.openxmlformats.org/officeDocument/2006/relationships/image" Target="media/image64.png"/><Relationship Id="rId130" Type="http://schemas.openxmlformats.org/officeDocument/2006/relationships/image" Target="media/image65.png"/><Relationship Id="rId131" Type="http://schemas.openxmlformats.org/officeDocument/2006/relationships/image" Target="media/image66.png"/><Relationship Id="rId132" Type="http://schemas.openxmlformats.org/officeDocument/2006/relationships/image" Target="media/image67.png"/><Relationship Id="rId133" Type="http://schemas.openxmlformats.org/officeDocument/2006/relationships/image" Target="media/image68.png"/><Relationship Id="rId134" Type="http://schemas.openxmlformats.org/officeDocument/2006/relationships/image" Target="media/image69.png"/><Relationship Id="rId135" Type="http://schemas.openxmlformats.org/officeDocument/2006/relationships/image" Target="media/image70.png"/><Relationship Id="rId136" Type="http://schemas.openxmlformats.org/officeDocument/2006/relationships/image" Target="media/image71.png"/><Relationship Id="rId137" Type="http://schemas.openxmlformats.org/officeDocument/2006/relationships/image" Target="media/image72.png"/><Relationship Id="rId138" Type="http://schemas.openxmlformats.org/officeDocument/2006/relationships/image" Target="media/image73.png"/><Relationship Id="rId139" Type="http://schemas.openxmlformats.org/officeDocument/2006/relationships/image" Target="media/image74.png"/><Relationship Id="rId140" Type="http://schemas.openxmlformats.org/officeDocument/2006/relationships/image" Target="media/image75.png"/><Relationship Id="rId141" Type="http://schemas.openxmlformats.org/officeDocument/2006/relationships/image" Target="media/image76.png"/><Relationship Id="rId142" Type="http://schemas.openxmlformats.org/officeDocument/2006/relationships/image" Target="media/image77.png"/><Relationship Id="rId143" Type="http://schemas.openxmlformats.org/officeDocument/2006/relationships/image" Target="media/image78.png"/><Relationship Id="rId144" Type="http://schemas.openxmlformats.org/officeDocument/2006/relationships/image" Target="media/image79.png"/><Relationship Id="rId145" Type="http://schemas.openxmlformats.org/officeDocument/2006/relationships/image" Target="media/image80.png"/><Relationship Id="rId146" Type="http://schemas.openxmlformats.org/officeDocument/2006/relationships/image" Target="media/image81.png"/><Relationship Id="rId147" Type="http://schemas.openxmlformats.org/officeDocument/2006/relationships/image" Target="media/image82.png"/><Relationship Id="rId148" Type="http://schemas.openxmlformats.org/officeDocument/2006/relationships/image" Target="media/image83.png"/><Relationship Id="rId149" Type="http://schemas.openxmlformats.org/officeDocument/2006/relationships/image" Target="media/image84.png"/><Relationship Id="rId150" Type="http://schemas.openxmlformats.org/officeDocument/2006/relationships/image" Target="media/image85.png"/><Relationship Id="rId151" Type="http://schemas.openxmlformats.org/officeDocument/2006/relationships/image" Target="media/image86.png"/><Relationship Id="rId152" Type="http://schemas.openxmlformats.org/officeDocument/2006/relationships/image" Target="media/image87.png"/><Relationship Id="rId153" Type="http://schemas.openxmlformats.org/officeDocument/2006/relationships/image" Target="media/image88.png"/><Relationship Id="rId154" Type="http://schemas.openxmlformats.org/officeDocument/2006/relationships/image" Target="media/image89.png"/><Relationship Id="rId155" Type="http://schemas.openxmlformats.org/officeDocument/2006/relationships/image" Target="media/image90.png"/><Relationship Id="rId156" Type="http://schemas.openxmlformats.org/officeDocument/2006/relationships/image" Target="media/image91.png"/><Relationship Id="rId157" Type="http://schemas.openxmlformats.org/officeDocument/2006/relationships/image" Target="media/image92.png"/><Relationship Id="rId158" Type="http://schemas.openxmlformats.org/officeDocument/2006/relationships/image" Target="media/image93.png"/><Relationship Id="rId159" Type="http://schemas.openxmlformats.org/officeDocument/2006/relationships/image" Target="media/image94.png"/><Relationship Id="rId160" Type="http://schemas.openxmlformats.org/officeDocument/2006/relationships/image" Target="media/image95.png"/><Relationship Id="rId161" Type="http://schemas.openxmlformats.org/officeDocument/2006/relationships/image" Target="media/image96.png"/><Relationship Id="rId162" Type="http://schemas.openxmlformats.org/officeDocument/2006/relationships/image" Target="media/image97.png"/><Relationship Id="rId163" Type="http://schemas.openxmlformats.org/officeDocument/2006/relationships/image" Target="media/image98.png"/><Relationship Id="rId164" Type="http://schemas.openxmlformats.org/officeDocument/2006/relationships/image" Target="media/image99.png"/><Relationship Id="rId165" Type="http://schemas.openxmlformats.org/officeDocument/2006/relationships/image" Target="media/image100.png"/><Relationship Id="rId166" Type="http://schemas.openxmlformats.org/officeDocument/2006/relationships/image" Target="media/image101.png"/><Relationship Id="rId167" Type="http://schemas.openxmlformats.org/officeDocument/2006/relationships/image" Target="media/image102.png"/><Relationship Id="rId168" Type="http://schemas.openxmlformats.org/officeDocument/2006/relationships/image" Target="media/image103.png"/><Relationship Id="rId169" Type="http://schemas.openxmlformats.org/officeDocument/2006/relationships/image" Target="media/image104.png"/><Relationship Id="rId170" Type="http://schemas.openxmlformats.org/officeDocument/2006/relationships/image" Target="media/image105.png"/><Relationship Id="rId171" Type="http://schemas.openxmlformats.org/officeDocument/2006/relationships/image" Target="media/image106.png"/><Relationship Id="rId172" Type="http://schemas.openxmlformats.org/officeDocument/2006/relationships/image" Target="media/image107.png"/><Relationship Id="rId173" Type="http://schemas.openxmlformats.org/officeDocument/2006/relationships/image" Target="media/image108.png"/><Relationship Id="rId174" Type="http://schemas.openxmlformats.org/officeDocument/2006/relationships/image" Target="media/image109.pn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4" Type="http://schemas.openxmlformats.org/officeDocument/2006/relationships/image" Target="media/image119.png"/><Relationship Id="rId185" Type="http://schemas.openxmlformats.org/officeDocument/2006/relationships/image" Target="media/image120.png"/><Relationship Id="rId62" Type="http://schemas.openxmlformats.org/officeDocument/2006/relationships/hyperlink" Target="https://www.sec.gov/Archives/edgar/data/874396/000119312517383700/d467423dex21.htm" TargetMode="External"/><Relationship Id="rId63" Type="http://schemas.openxmlformats.org/officeDocument/2006/relationships/hyperlink" Target="https://www.sec.gov/Archives/edgar/data/874396/000091068006000214/ex3_2-f10k123105.txt" TargetMode="External"/><Relationship Id="rId64" Type="http://schemas.openxmlformats.org/officeDocument/2006/relationships/hyperlink" Target="https://www.sec.gov/Archives/edgar/data/874396/000119312516618978/d191127dex31.htm" TargetMode="External"/><Relationship Id="rId65" Type="http://schemas.openxmlformats.org/officeDocument/2006/relationships/hyperlink" Target="https://www.sec.gov/Archives/edgar/data/874396/000119312516788456/d255324dex31.htm" TargetMode="External"/><Relationship Id="rId66" Type="http://schemas.openxmlformats.org/officeDocument/2006/relationships/hyperlink" Target="https://www.sec.gov/Archives/edgar/data/874396/000162828020003560/lcutex4110k12312019.htm" TargetMode="External"/><Relationship Id="rId67" Type="http://schemas.openxmlformats.org/officeDocument/2006/relationships/hyperlink" Target="https://www.sec.gov/Archives/edgar/data/874396/000119312519186032/d37933dex101.htm" TargetMode="External"/><Relationship Id="rId70" Type="http://schemas.openxmlformats.org/officeDocument/2006/relationships/hyperlink" Target="https://www.sec.gov/Archives/edgar/data/874396/000119312519267308/d789732dex106.htm" TargetMode="External"/><Relationship Id="rId71" Type="http://schemas.openxmlformats.org/officeDocument/2006/relationships/hyperlink" Target="https://www.sec.gov/Archives/edgar/data/874396/000162828022028208/ex103transitionagreementda.htm" TargetMode="External"/><Relationship Id="rId72" Type="http://schemas.openxmlformats.org/officeDocument/2006/relationships/hyperlink" Target="https://www.sec.gov/Archives/edgar/data/874396/000162828020008225/exhibit102.htm" TargetMode="External"/><Relationship Id="rId73" Type="http://schemas.openxmlformats.org/officeDocument/2006/relationships/hyperlink" Target="https://www.sec.gov/Archives/edgar/data/874396/000091068006000404/ex99_1-f8k051006.txt" TargetMode="External"/><Relationship Id="rId74" Type="http://schemas.openxmlformats.org/officeDocument/2006/relationships/hyperlink" Target="https://www.sec.gov/Archives/edgar/data/874396/000091068006001070/ex10-1_f10q093006.htm" TargetMode="External"/><Relationship Id="rId75" Type="http://schemas.openxmlformats.org/officeDocument/2006/relationships/hyperlink" Target="https://www.sec.gov/Archives/edgar/data/874396/000119312518209648/d841646dex101.htm" TargetMode="External"/><Relationship Id="rId76" Type="http://schemas.openxmlformats.org/officeDocument/2006/relationships/hyperlink" Target="https://www.sec.gov/Archives/edgar/data/874396/000119312515283316/d82287dex101.htm" TargetMode="External"/><Relationship Id="rId77" Type="http://schemas.openxmlformats.org/officeDocument/2006/relationships/hyperlink" Target="https://www.sec.gov/Archives/edgar/data/874396/000119312515283316/d82287dex102.htm" TargetMode="External"/><Relationship Id="rId78" Type="http://schemas.openxmlformats.org/officeDocument/2006/relationships/hyperlink" Target="https://www.sec.gov/Archives/edgar/data/874396/000119312517211662/d403365dex101.htm" TargetMode="External"/><Relationship Id="rId79" Type="http://schemas.openxmlformats.org/officeDocument/2006/relationships/hyperlink" Target="https://www.sec.gov/Archives/edgar/data/874396/000119312520126185/d836663ddef14a.htm" TargetMode="External"/><Relationship Id="rId80" Type="http://schemas.openxmlformats.org/officeDocument/2006/relationships/hyperlink" Target="https://www.sec.gov/Archives/edgar/data/874396/000119312522127863/d350827ddef14a.htm" TargetMode="External"/><Relationship Id="rId81" Type="http://schemas.openxmlformats.org/officeDocument/2006/relationships/hyperlink" Target="https://www.sec.gov/Archives/edgar/data/874396/000119312524113918/d766132ddef14a.htm#toc766132_15" TargetMode="External"/><Relationship Id="rId82" Type="http://schemas.openxmlformats.org/officeDocument/2006/relationships/hyperlink" Target="https://www.sec.gov/Archives/edgar/data/874396/000119312515321240/d95014dex101.htm" TargetMode="External"/><Relationship Id="rId83" Type="http://schemas.openxmlformats.org/officeDocument/2006/relationships/hyperlink" Target="https://www.sec.gov/Archives/edgar/data/874396/000119312517338917/d473962dex103.htm" TargetMode="External"/><Relationship Id="rId84" Type="http://schemas.openxmlformats.org/officeDocument/2006/relationships/hyperlink" Target="https://www.sec.gov/Archives/edgar/data/874396/000162828020008225/exhibit104.htm" TargetMode="External"/><Relationship Id="rId85" Type="http://schemas.openxmlformats.org/officeDocument/2006/relationships/hyperlink" Target="https://www.sec.gov/Archives/edgar/data/874396/000162828022021087/ex101thirdamendmenttoamend.htm" TargetMode="External"/><Relationship Id="rId86" Type="http://schemas.openxmlformats.org/officeDocument/2006/relationships/hyperlink" Target="https://www.sec.gov/Archives/edgar/data/874396/000162828023007371/lcutex101812312022.htm" TargetMode="External"/><Relationship Id="rId87" Type="http://schemas.openxmlformats.org/officeDocument/2006/relationships/hyperlink" Target="https://www.sec.gov/Archives/edgar/data/874396/000162828023038268/ex-101fifthamendmenttothea.htm" TargetMode="External"/><Relationship Id="rId90" Type="http://schemas.openxmlformats.org/officeDocument/2006/relationships/hyperlink" Target="https://www.sec.gov/Archives/edgar/data/874396/000091068007000540/ex99-1_f8k061107.htm" TargetMode="External"/><Relationship Id="rId91" Type="http://schemas.openxmlformats.org/officeDocument/2006/relationships/hyperlink" Target="https://www.sec.gov/Archives/edgar/data/874396/000091068009000143/ex10_17-f10k12312008.htm" TargetMode="External"/><Relationship Id="rId92" Type="http://schemas.openxmlformats.org/officeDocument/2006/relationships/hyperlink" Target="https://www.sec.gov/Archives/edgar/data/874396/000091068009000143/ex10_20-f10k12312008.htm" TargetMode="External"/><Relationship Id="rId93" Type="http://schemas.openxmlformats.org/officeDocument/2006/relationships/hyperlink" Target="https://www.sec.gov/Archives/edgar/data/874396/000119312517338917/d473962dex104.htm" TargetMode="External"/><Relationship Id="rId94" Type="http://schemas.openxmlformats.org/officeDocument/2006/relationships/hyperlink" Target="https://www.sec.gov/Archives/edgar/data/874396/000119312519267308/d789732dex105.htm" TargetMode="External"/><Relationship Id="rId95" Type="http://schemas.openxmlformats.org/officeDocument/2006/relationships/hyperlink" Target="https://www.sec.gov/Archives/edgar/data/874396/000162828021001505/ex102.htm" TargetMode="External"/><Relationship Id="rId96" Type="http://schemas.openxmlformats.org/officeDocument/2006/relationships/hyperlink" Target="https://www.sec.gov/Archives/edgar/data/874396/000162828023007371/lcutex102612312022.htm" TargetMode="External"/><Relationship Id="rId97" Type="http://schemas.openxmlformats.org/officeDocument/2006/relationships/hyperlink" Target="https://www.sec.gov/Archives/edgar/data/874396/000162828023038268/ex-102fourthamendmenttoemp.htm" TargetMode="External"/><Relationship Id="rId98" Type="http://schemas.openxmlformats.org/officeDocument/2006/relationships/hyperlink" Target="https://www.sec.gov/Archives/edgar/data/874396/000119312516440068/d21586dex101.htm" TargetMode="External"/><Relationship Id="rId99" Type="http://schemas.openxmlformats.org/officeDocument/2006/relationships/hyperlink" Target="https://www.sec.gov/Archives/edgar/data/874396/000119312516730047/d228608dex101.htm" TargetMode="External"/><Relationship Id="rId100" Type="http://schemas.openxmlformats.org/officeDocument/2006/relationships/hyperlink" Target="https://www.sec.gov/Archives/edgar/data/874396/000119312517164340/d381143dex101.htm" TargetMode="External"/><Relationship Id="rId101" Type="http://schemas.openxmlformats.org/officeDocument/2006/relationships/hyperlink" Target="https://www.sec.gov/Archives/edgar/data/874396/000119312517383700/d467423dex101.htm" TargetMode="External"/><Relationship Id="rId102" Type="http://schemas.openxmlformats.org/officeDocument/2006/relationships/hyperlink" Target="https://www.sec.gov/Archives/edgar/data/874396/000119312517383700/d467423dex102.htm" TargetMode="External"/><Relationship Id="rId103" Type="http://schemas.openxmlformats.org/officeDocument/2006/relationships/hyperlink" Target="https://www.sec.gov/Archives/edgar/data/874396/000119312519267308/d789732dex102.htm" TargetMode="External"/><Relationship Id="rId104" Type="http://schemas.openxmlformats.org/officeDocument/2006/relationships/hyperlink" Target="https://www.sec.gov/Archives/edgar/data/874396/000162828020008225/exhibit101.htm" TargetMode="External"/><Relationship Id="rId105" Type="http://schemas.openxmlformats.org/officeDocument/2006/relationships/hyperlink" Target="https://www.sec.gov/Archives/edgar/data/874396/000162828021001505/ex101.htm" TargetMode="External"/><Relationship Id="rId106" Type="http://schemas.openxmlformats.org/officeDocument/2006/relationships/hyperlink" Target="https://www.sec.gov/Archives/edgar/data/874396/000162828023007371/lcutex103512312022.htm" TargetMode="External"/><Relationship Id="rId107" Type="http://schemas.openxmlformats.org/officeDocument/2006/relationships/hyperlink" Target="https://www.sec.gov/Archives/edgar/data/874396/000119312518072132/d543564dex1001.htm" TargetMode="External"/><Relationship Id="rId110" Type="http://schemas.openxmlformats.org/officeDocument/2006/relationships/hyperlink" Target="https://www.sec.gov/Archives/edgar/data/874396/000119312519267308/d789732dex101.htm" TargetMode="External"/><Relationship Id="rId111" Type="http://schemas.openxmlformats.org/officeDocument/2006/relationships/hyperlink" Target="https://www.sec.gov/Archives/edgar/data/874396/000162828023034820/ex-1001.htm" TargetMode="External"/><Relationship Id="rId112" Type="http://schemas.openxmlformats.org/officeDocument/2006/relationships/hyperlink" Target="https://www.sec.gov/Archives/edgar/data/874396/000119312518327948/d619485dex1001.htm" TargetMode="External"/><Relationship Id="rId113" Type="http://schemas.openxmlformats.org/officeDocument/2006/relationships/hyperlink" Target="https://www.sec.gov/Archives/edgar/data/874396/000119312518072132/d543564dex1002.htm" TargetMode="External"/><Relationship Id="rId114" Type="http://schemas.openxmlformats.org/officeDocument/2006/relationships/hyperlink" Target="https://www.sec.gov/Archives/edgar/data/874396/000162828021025662/ex-1001.htm" TargetMode="External"/><Relationship Id="rId115" Type="http://schemas.openxmlformats.org/officeDocument/2006/relationships/hyperlink" Target="https://www.sec.gov/Archives/edgar/data/874396/000162828022023821/ex-1001.htm" TargetMode="External"/><Relationship Id="rId116" Type="http://schemas.openxmlformats.org/officeDocument/2006/relationships/hyperlink" Target="https://www.sec.gov/Archives/edgar/data/874396/000119312518072132/d543564dex1003.htm" TargetMode="External"/><Relationship Id="rId117" Type="http://schemas.openxmlformats.org/officeDocument/2006/relationships/hyperlink" Target="https://www.sec.gov/Archives/edgar/data/874396/000162828023000094/ex-1001amendmentno1toterml.htm" TargetMode="External"/><Relationship Id="rId118" Type="http://schemas.openxmlformats.org/officeDocument/2006/relationships/hyperlink" Target="https://www.sec.gov/Archives/edgar/data/874396/000162828023039077/exhibit101.htm" TargetMode="External"/><Relationship Id="rId119" Type="http://schemas.openxmlformats.org/officeDocument/2006/relationships/hyperlink" Target="https://www.sec.gov/Archives/edgar/data/874396/000162828021004467/lcutex104310k12312020.htm" TargetMode="External"/><Relationship Id="rId120" Type="http://schemas.openxmlformats.org/officeDocument/2006/relationships/hyperlink" Target="https://www.sec.gov/Archives/edgar/data/874396/000162828023007371/lcutex104512312022.htm" TargetMode="External"/><Relationship Id="rId121" Type="http://schemas.openxmlformats.org/officeDocument/2006/relationships/hyperlink" Target="https://www.sec.gov/Archives/edgar/data/874396/000162828024010568/lcutex105012312023.htm" TargetMode="External"/><Relationship Id="rId122" Type="http://schemas.openxmlformats.org/officeDocument/2006/relationships/hyperlink" Target="https://www.sec.gov/Archives/edgar/data/874396/000162828024010568/lcutex105112312023.htm" TargetMode="External"/><Relationship Id="rId123" Type="http://schemas.openxmlformats.org/officeDocument/2006/relationships/hyperlink" Target="https://www.sec.gov/Archives/edgar/data/874396/000162828023007371/lcutex104612312022.htm" TargetMode="External"/><Relationship Id="rId124" Type="http://schemas.openxmlformats.org/officeDocument/2006/relationships/hyperlink" Target="https://www.sec.gov/Archives/edgar/data/874396/000162828025002928/leaseagreementdatedjanuary.htm" TargetMode="External"/><Relationship Id="rId127" Type="http://schemas.openxmlformats.org/officeDocument/2006/relationships/hyperlink" Target="https://www.sec.gov/Archives/edgar/data/874396/000162828024010568/lcutex9711231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2025-03-13T16:25:16Z</dcterms:created>
  <dcterms:modified xsi:type="dcterms:W3CDTF">2025-03-13T16:25:16Z</dcterms:modified>
</cp:coreProperties>
</file>