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311785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336550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9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4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p>
      <w:pPr>
        <w:spacing w:after="0" w:line="37" w:lineRule="exact"/>
        <w:rPr>
          <w:sz w:val="24"/>
          <w:szCs w:val="24"/>
          <w:color w:val="auto"/>
        </w:rPr>
      </w:pPr>
    </w:p>
    <w:p>
      <w:pPr>
        <w:ind w:left="340" w:hanging="320"/>
        <w:spacing w:after="0"/>
        <w:tabs>
          <w:tab w:leader="none" w:pos="3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 (d) OF THE SECURITIES EXCHANGE ACT OF 1934</w:t>
      </w:r>
    </w:p>
    <w:p>
      <w:pPr>
        <w:spacing w:after="0" w:line="2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2022</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1" w:lineRule="exact"/>
        <w:rPr>
          <w:sz w:val="24"/>
          <w:szCs w:val="24"/>
          <w:color w:val="auto"/>
        </w:rPr>
      </w:pPr>
    </w:p>
    <w:p>
      <w:pPr>
        <w:ind w:left="340" w:hanging="320"/>
        <w:spacing w:after="0"/>
        <w:tabs>
          <w:tab w:leader="none" w:pos="3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 (d) OF THE SECURITIES EXCHANGE ACT OF 1934</w:t>
      </w:r>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86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w:t>
            </w:r>
          </w:p>
        </w:tc>
        <w:tc>
          <w:tcPr>
            <w:tcW w:w="860" w:type="dxa"/>
            <w:vAlign w:val="bottom"/>
            <w:tcBorders>
              <w:bottom w:val="single" w:sz="8" w:color="auto"/>
            </w:tcBorders>
          </w:tcPr>
          <w:p>
            <w:pPr>
              <w:spacing w:after="0"/>
              <w:rPr>
                <w:sz w:val="17"/>
                <w:szCs w:val="17"/>
                <w:color w:val="auto"/>
              </w:rPr>
            </w:pPr>
          </w:p>
        </w:tc>
        <w:tc>
          <w:tcPr>
            <w:tcW w:w="98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432"/>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91"/>
              <w:spacing w:after="0"/>
              <w:rPr>
                <w:sz w:val="20"/>
                <w:szCs w:val="20"/>
                <w:color w:val="auto"/>
              </w:rPr>
            </w:pPr>
            <w:r>
              <w:rPr>
                <w:rFonts w:ascii="Times New Roman" w:cs="Times New Roman" w:eastAsia="Times New Roman" w:hAnsi="Times New Roman"/>
                <w:sz w:val="17"/>
                <w:szCs w:val="17"/>
                <w:b w:val="1"/>
                <w:bCs w:val="1"/>
                <w:color w:val="auto"/>
              </w:rPr>
              <w:t>Commission file number: 0-19254</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6"/>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jc w:val="center"/>
              <w:ind w:left="1215"/>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84"/>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91"/>
              <w:spacing w:after="0"/>
              <w:rPr>
                <w:sz w:val="20"/>
                <w:szCs w:val="20"/>
                <w:color w:val="auto"/>
              </w:rPr>
            </w:pPr>
            <w:r>
              <w:rPr>
                <w:rFonts w:ascii="Times New Roman" w:cs="Times New Roman" w:eastAsia="Times New Roman" w:hAnsi="Times New Roman"/>
                <w:sz w:val="41"/>
                <w:szCs w:val="41"/>
                <w:b w:val="1"/>
                <w:bCs w:val="1"/>
                <w:color w:val="auto"/>
              </w:rPr>
              <w:t>LIFETIME BRANDS, INC.</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7"/>
        </w:trPr>
        <w:tc>
          <w:tcPr>
            <w:tcW w:w="1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gridSpan w:val="8"/>
          </w:tcPr>
          <w:p>
            <w:pPr>
              <w:jc w:val="center"/>
              <w:ind w:right="491"/>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26"/>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jc w:val="center"/>
              <w:ind w:left="1215"/>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2"/>
        </w:trPr>
        <w:tc>
          <w:tcPr>
            <w:tcW w:w="1220" w:type="dxa"/>
            <w:vAlign w:val="bottom"/>
          </w:tcPr>
          <w:p>
            <w:pPr>
              <w:spacing w:after="0"/>
              <w:rPr>
                <w:sz w:val="21"/>
                <w:szCs w:val="21"/>
                <w:color w:val="auto"/>
              </w:rPr>
            </w:pPr>
          </w:p>
        </w:tc>
        <w:tc>
          <w:tcPr>
            <w:tcW w:w="1900" w:type="dxa"/>
            <w:vAlign w:val="bottom"/>
            <w:gridSpan w:val="2"/>
          </w:tcPr>
          <w:p>
            <w:pPr>
              <w:jc w:val="center"/>
              <w:ind w:left="104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0" w:type="dxa"/>
            <w:vAlign w:val="bottom"/>
            <w:gridSpan w:val="5"/>
          </w:tcPr>
          <w:p>
            <w:pPr>
              <w:jc w:val="center"/>
              <w:ind w:left="1214"/>
              <w:spacing w:after="0"/>
              <w:rPr>
                <w:sz w:val="20"/>
                <w:szCs w:val="20"/>
                <w:color w:val="auto"/>
              </w:rPr>
            </w:pPr>
            <w:r>
              <w:rPr>
                <w:rFonts w:ascii="Times New Roman" w:cs="Times New Roman" w:eastAsia="Times New Roman" w:hAnsi="Times New Roman"/>
                <w:sz w:val="17"/>
                <w:szCs w:val="17"/>
                <w:b w:val="1"/>
                <w:bCs w:val="1"/>
                <w:color w:val="auto"/>
                <w:w w:val="99"/>
              </w:rPr>
              <w:t>11-2682486</w:t>
            </w: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140"/>
        </w:trPr>
        <w:tc>
          <w:tcPr>
            <w:tcW w:w="1220" w:type="dxa"/>
            <w:vAlign w:val="bottom"/>
          </w:tcPr>
          <w:p>
            <w:pPr>
              <w:spacing w:after="0"/>
              <w:rPr>
                <w:sz w:val="12"/>
                <w:szCs w:val="12"/>
                <w:color w:val="auto"/>
              </w:rPr>
            </w:pPr>
          </w:p>
        </w:tc>
        <w:tc>
          <w:tcPr>
            <w:tcW w:w="5440" w:type="dxa"/>
            <w:vAlign w:val="bottom"/>
            <w:gridSpan w:val="6"/>
          </w:tcPr>
          <w:p>
            <w:pPr>
              <w:jc w:val="center"/>
              <w:ind w:right="24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2"/>
          </w:tcPr>
          <w:p>
            <w:pPr>
              <w:jc w:val="center"/>
              <w:ind w:left="151"/>
              <w:spacing w:after="0" w:line="141"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2"/>
        </w:trPr>
        <w:tc>
          <w:tcPr>
            <w:tcW w:w="1220" w:type="dxa"/>
            <w:vAlign w:val="bottom"/>
          </w:tcPr>
          <w:p>
            <w:pPr>
              <w:spacing w:after="0"/>
              <w:rPr>
                <w:sz w:val="15"/>
                <w:szCs w:val="15"/>
                <w:color w:val="auto"/>
              </w:rPr>
            </w:pPr>
          </w:p>
        </w:tc>
        <w:tc>
          <w:tcPr>
            <w:tcW w:w="5440" w:type="dxa"/>
            <w:vAlign w:val="bottom"/>
            <w:gridSpan w:val="6"/>
          </w:tcPr>
          <w:p>
            <w:pPr>
              <w:jc w:val="center"/>
              <w:ind w:right="2420"/>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2"/>
          </w:tcPr>
          <w:p>
            <w:pPr>
              <w:jc w:val="center"/>
              <w:ind w:left="151"/>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476"/>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71"/>
              <w:spacing w:after="0"/>
              <w:rPr>
                <w:sz w:val="20"/>
                <w:szCs w:val="20"/>
                <w:color w:val="auto"/>
              </w:rPr>
            </w:pPr>
            <w:r>
              <w:rPr>
                <w:rFonts w:ascii="Times New Roman" w:cs="Times New Roman" w:eastAsia="Times New Roman" w:hAnsi="Times New Roman"/>
                <w:sz w:val="17"/>
                <w:szCs w:val="17"/>
                <w:b w:val="1"/>
                <w:bCs w:val="1"/>
                <w:color w:val="auto"/>
                <w:w w:val="99"/>
              </w:rPr>
              <w:t>1000 Stewart Avenue, Garden City, New York 11530</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60" w:type="dxa"/>
            <w:vAlign w:val="bottom"/>
            <w:gridSpan w:val="8"/>
          </w:tcPr>
          <w:p>
            <w:pPr>
              <w:jc w:val="center"/>
              <w:ind w:right="491"/>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including Zip Code)</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98"/>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4"/>
          </w:tcPr>
          <w:p>
            <w:pPr>
              <w:jc w:val="center"/>
              <w:ind w:left="1375"/>
              <w:spacing w:after="0"/>
              <w:rPr>
                <w:sz w:val="20"/>
                <w:szCs w:val="20"/>
                <w:color w:val="auto"/>
              </w:rPr>
            </w:pPr>
            <w:r>
              <w:rPr>
                <w:rFonts w:ascii="Times New Roman" w:cs="Times New Roman" w:eastAsia="Times New Roman" w:hAnsi="Times New Roman"/>
                <w:sz w:val="17"/>
                <w:szCs w:val="17"/>
                <w:b w:val="1"/>
                <w:bCs w:val="1"/>
                <w:color w:val="auto"/>
              </w:rPr>
              <w:t>(516) 683-6000</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60" w:type="dxa"/>
            <w:vAlign w:val="bottom"/>
            <w:gridSpan w:val="8"/>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423"/>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91"/>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122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Common Stock, $.01 par value</w:t>
            </w:r>
          </w:p>
        </w:tc>
        <w:tc>
          <w:tcPr>
            <w:tcW w:w="1940" w:type="dxa"/>
            <w:vAlign w:val="bottom"/>
          </w:tcPr>
          <w:p>
            <w:pPr>
              <w:spacing w:after="0"/>
              <w:rPr>
                <w:sz w:val="14"/>
                <w:szCs w:val="14"/>
                <w:color w:val="auto"/>
              </w:rPr>
            </w:pPr>
          </w:p>
        </w:tc>
        <w:tc>
          <w:tcPr>
            <w:tcW w:w="1600" w:type="dxa"/>
            <w:vAlign w:val="bottom"/>
            <w:gridSpan w:val="3"/>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7"/>
              </w:rPr>
              <w:t>LCUT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The Nasdaq Global Select Market</w:t>
            </w:r>
          </w:p>
        </w:tc>
      </w:tr>
      <w:tr>
        <w:trPr>
          <w:trHeight w:val="20"/>
        </w:trPr>
        <w:tc>
          <w:tcPr>
            <w:tcW w:w="12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1"/>
        </w:trPr>
        <w:tc>
          <w:tcPr>
            <w:tcW w:w="12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00" w:type="dxa"/>
            <w:vAlign w:val="bottom"/>
          </w:tcPr>
          <w:p>
            <w:pPr>
              <w:spacing w:after="0"/>
              <w:rPr>
                <w:sz w:val="21"/>
                <w:szCs w:val="21"/>
                <w:color w:val="auto"/>
              </w:rPr>
            </w:pPr>
          </w:p>
        </w:tc>
        <w:tc>
          <w:tcPr>
            <w:tcW w:w="3540" w:type="dxa"/>
            <w:vAlign w:val="bottom"/>
            <w:gridSpan w:val="4"/>
          </w:tcPr>
          <w:p>
            <w:pPr>
              <w:jc w:val="center"/>
              <w:ind w:left="635"/>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180" w:type="dxa"/>
            <w:vAlign w:val="bottom"/>
          </w:tcPr>
          <w:p>
            <w:pPr>
              <w:spacing w:after="0"/>
              <w:rPr>
                <w:sz w:val="21"/>
                <w:szCs w:val="21"/>
                <w:color w:val="auto"/>
              </w:rPr>
            </w:pPr>
          </w:p>
        </w:tc>
        <w:tc>
          <w:tcPr>
            <w:tcW w:w="3560" w:type="dxa"/>
            <w:vAlign w:val="bottom"/>
            <w:gridSpan w:val="6"/>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503"/>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71"/>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6"/>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jc w:val="center"/>
              <w:ind w:left="1215"/>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79"/>
        </w:trPr>
        <w:tc>
          <w:tcPr>
            <w:tcW w:w="8680" w:type="dxa"/>
            <w:vAlign w:val="bottom"/>
            <w:gridSpan w:val="11"/>
          </w:tcPr>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w:t>
            </w:r>
          </w:p>
        </w:tc>
        <w:tc>
          <w:tcPr>
            <w:tcW w:w="1340" w:type="dxa"/>
            <w:vAlign w:val="bottom"/>
            <w:gridSpan w:val="2"/>
          </w:tcPr>
          <w:p>
            <w:pPr>
              <w:ind w:left="100"/>
              <w:spacing w:after="0" w:line="211" w:lineRule="exact"/>
              <w:rPr>
                <w:sz w:val="20"/>
                <w:szCs w:val="20"/>
                <w:color w:val="auto"/>
              </w:rPr>
            </w:pPr>
            <w:r>
              <w:rPr>
                <w:rFonts w:ascii="MS PGothic" w:cs="MS PGothic" w:eastAsia="MS PGothic" w:hAnsi="MS PGothic"/>
                <w:sz w:val="21"/>
                <w:szCs w:val="21"/>
                <w:color w:val="auto"/>
              </w:rPr>
              <w:t>☒</w:t>
            </w:r>
          </w:p>
        </w:tc>
      </w:tr>
      <w:tr>
        <w:trPr>
          <w:trHeight w:val="451"/>
        </w:trPr>
        <w:tc>
          <w:tcPr>
            <w:tcW w:w="86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  Yes</w:t>
            </w:r>
          </w:p>
        </w:tc>
        <w:tc>
          <w:tcPr>
            <w:tcW w:w="38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1340" w:type="dxa"/>
            <w:vAlign w:val="bottom"/>
            <w:gridSpan w:val="2"/>
          </w:tcPr>
          <w:p>
            <w:pPr>
              <w:spacing w:after="0" w:line="230"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tc>
      </w:tr>
    </w:tbl>
    <w:p>
      <w:pPr>
        <w:spacing w:after="0" w:line="170" w:lineRule="exact"/>
        <w:rPr>
          <w:sz w:val="24"/>
          <w:szCs w:val="24"/>
          <w:color w:val="auto"/>
        </w:rPr>
      </w:pPr>
    </w:p>
    <w:p>
      <w:pPr>
        <w:spacing w:after="0" w:line="23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7"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8" w:lineRule="exact"/>
        <w:rPr>
          <w:sz w:val="24"/>
          <w:szCs w:val="24"/>
          <w:color w:val="auto"/>
        </w:rPr>
      </w:pPr>
    </w:p>
    <w:p>
      <w:pPr>
        <w:jc w:val="both"/>
        <w:ind w:right="4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89"/>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40" w:type="dxa"/>
            <w:vAlign w:val="bottom"/>
          </w:tcPr>
          <w:p>
            <w:pPr>
              <w:ind w:left="22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80"/>
              <w:spacing w:after="0"/>
              <w:rPr>
                <w:sz w:val="20"/>
                <w:szCs w:val="20"/>
                <w:color w:val="auto"/>
              </w:rPr>
            </w:pPr>
            <w:r>
              <w:rPr>
                <w:rFonts w:ascii="Times New Roman" w:cs="Times New Roman" w:eastAsia="Times New Roman" w:hAnsi="Times New Roman"/>
                <w:sz w:val="17"/>
                <w:szCs w:val="17"/>
                <w:color w:val="auto"/>
              </w:rPr>
              <w:t>Accelerated filer</w:t>
            </w:r>
          </w:p>
        </w:tc>
        <w:tc>
          <w:tcPr>
            <w:tcW w:w="880" w:type="dxa"/>
            <w:vAlign w:val="bottom"/>
          </w:tcPr>
          <w:p>
            <w:pPr>
              <w:ind w:left="68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2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40" w:type="dxa"/>
            <w:vAlign w:val="bottom"/>
          </w:tcPr>
          <w:p>
            <w:pPr>
              <w:ind w:left="22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80" w:type="dxa"/>
            <w:vAlign w:val="bottom"/>
          </w:tcPr>
          <w:p>
            <w:pPr>
              <w:ind w:left="68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70"/>
        </w:trPr>
        <w:tc>
          <w:tcPr>
            <w:tcW w:w="176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5320" w:type="dxa"/>
            <w:vAlign w:val="bottom"/>
          </w:tcPr>
          <w:p>
            <w:pPr>
              <w:ind w:left="2780"/>
              <w:spacing w:after="0"/>
              <w:rPr>
                <w:sz w:val="20"/>
                <w:szCs w:val="20"/>
                <w:color w:val="auto"/>
              </w:rPr>
            </w:pPr>
            <w:r>
              <w:rPr>
                <w:rFonts w:ascii="Times New Roman" w:cs="Times New Roman" w:eastAsia="Times New Roman" w:hAnsi="Times New Roman"/>
                <w:sz w:val="17"/>
                <w:szCs w:val="17"/>
                <w:color w:val="auto"/>
              </w:rPr>
              <w:t>Emerging growth company</w:t>
            </w:r>
          </w:p>
        </w:tc>
        <w:tc>
          <w:tcPr>
            <w:tcW w:w="880" w:type="dxa"/>
            <w:vAlign w:val="bottom"/>
          </w:tcPr>
          <w:p>
            <w:pPr>
              <w:ind w:left="680"/>
              <w:spacing w:after="0" w:line="171" w:lineRule="exact"/>
              <w:rPr>
                <w:sz w:val="20"/>
                <w:szCs w:val="20"/>
                <w:color w:val="auto"/>
              </w:rPr>
            </w:pPr>
            <w:r>
              <w:rPr>
                <w:rFonts w:ascii="MS PGothic" w:cs="MS PGothic" w:eastAsia="MS PGothic" w:hAnsi="MS PGothic"/>
                <w:sz w:val="17"/>
                <w:szCs w:val="17"/>
                <w:color w:val="auto"/>
              </w:rPr>
              <w:t>☐</w:t>
            </w:r>
          </w:p>
        </w:tc>
      </w:tr>
    </w:tbl>
    <w:p>
      <w:pPr>
        <w:spacing w:after="0" w:line="262" w:lineRule="exact"/>
        <w:rPr>
          <w:sz w:val="24"/>
          <w:szCs w:val="24"/>
          <w:color w:val="auto"/>
        </w:rPr>
      </w:pPr>
    </w:p>
    <w:p>
      <w:pPr>
        <w:ind w:right="44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2" w:lineRule="exact"/>
        <w:rPr>
          <w:sz w:val="24"/>
          <w:szCs w:val="24"/>
          <w:color w:val="auto"/>
        </w:rPr>
      </w:pPr>
    </w:p>
    <w:p>
      <w:pPr>
        <w:jc w:val="both"/>
        <w:ind w:right="140"/>
        <w:spacing w:after="0" w:line="23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0"/>
          <w:szCs w:val="20"/>
          <w:color w:val="auto"/>
        </w:rPr>
        <w:t>☒</w:t>
      </w:r>
    </w:p>
    <w:p>
      <w:pPr>
        <w:sectPr>
          <w:pgSz w:w="11900" w:h="16838" w:orient="portrait"/>
          <w:cols w:equalWidth="0" w:num="1">
            <w:col w:w="11200"/>
          </w:cols>
          <w:pgMar w:left="320" w:top="226" w:right="379" w:bottom="0" w:gutter="0" w:footer="0" w:header="0"/>
        </w:sectPr>
      </w:pPr>
    </w:p>
    <w:bookmarkStart w:id="1" w:name="page2"/>
    <w:bookmarkEnd w:id="1"/>
    <w:p>
      <w:pPr>
        <w:ind w:right="340"/>
        <w:spacing w:after="0" w:line="224"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72" w:lineRule="exact"/>
        <w:rPr>
          <w:sz w:val="20"/>
          <w:szCs w:val="20"/>
          <w:color w:val="auto"/>
        </w:rPr>
      </w:pPr>
    </w:p>
    <w:p>
      <w:pPr>
        <w:ind w:right="6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43" w:lineRule="exact"/>
        <w:rPr>
          <w:sz w:val="20"/>
          <w:szCs w:val="20"/>
          <w:color w:val="auto"/>
        </w:rPr>
      </w:pPr>
    </w:p>
    <w:p>
      <w:pPr>
        <w:spacing w:after="0" w:line="230" w:lineRule="exact"/>
        <w:tabs>
          <w:tab w:leader="none" w:pos="7240" w:val="left"/>
          <w:tab w:leader="none" w:pos="790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20"/>
          <w:szCs w:val="20"/>
          <w:color w:val="auto"/>
        </w:rPr>
        <w:t>☒</w:t>
      </w:r>
    </w:p>
    <w:p>
      <w:pPr>
        <w:spacing w:after="0" w:line="2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aggregate market value of 13,114,738 shares of the voting common equity held by non-affiliates of the registrant as of June 30, 2022, the last day of the registrant’s most recently completed second fiscal quarter, was approximately $144,786,708. Directors, executive officers, and trusts controlled by said individuals are considered affiliates for the purpose of this calculation and may not necessarily be considered affiliates for any other purpose.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common stock, par value $0.01 per share, outstanding as of February 28, 2023, was 21,483,927.</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21"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Parts of the registrant’s definitive proxy statement for the 2023 Annual Meeting of Stockholders to be filed pursuant to Regulation 14A under the Securities Exchange Act of 1934 are incorporated by reference in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691515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1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3380"/>
              <w:spacing w:after="0"/>
              <w:rPr>
                <w:sz w:val="20"/>
                <w:szCs w:val="20"/>
                <w:color w:val="auto"/>
              </w:rPr>
            </w:pPr>
            <w:r>
              <w:rPr>
                <w:rFonts w:ascii="Times New Roman" w:cs="Times New Roman" w:eastAsia="Times New Roman" w:hAnsi="Times New Roman"/>
                <w:sz w:val="17"/>
                <w:szCs w:val="17"/>
                <w:b w:val="1"/>
                <w:bCs w:val="1"/>
                <w:color w:val="auto"/>
              </w:rPr>
              <w:t>LIFETIME BRANDS, INC.</w:t>
            </w:r>
          </w:p>
        </w:tc>
        <w:tc>
          <w:tcPr>
            <w:tcW w:w="116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gridSpan w:val="9"/>
          </w:tcPr>
          <w:p>
            <w:pPr>
              <w:jc w:val="center"/>
              <w:ind w:right="3400"/>
              <w:spacing w:after="0"/>
              <w:rPr>
                <w:sz w:val="20"/>
                <w:szCs w:val="20"/>
                <w:color w:val="auto"/>
              </w:rPr>
            </w:pPr>
            <w:r>
              <w:rPr>
                <w:rFonts w:ascii="Times New Roman" w:cs="Times New Roman" w:eastAsia="Times New Roman" w:hAnsi="Times New Roman"/>
                <w:sz w:val="17"/>
                <w:szCs w:val="17"/>
                <w:b w:val="1"/>
                <w:bCs w:val="1"/>
                <w:color w:val="auto"/>
                <w:w w:val="99"/>
              </w:rPr>
              <w:t>FORM 10-K</w:t>
            </w:r>
          </w:p>
        </w:tc>
        <w:tc>
          <w:tcPr>
            <w:tcW w:w="1160" w:type="dxa"/>
            <w:vAlign w:val="bottom"/>
          </w:tcPr>
          <w:p>
            <w:pPr>
              <w:spacing w:after="0"/>
              <w:rPr>
                <w:sz w:val="19"/>
                <w:szCs w:val="19"/>
                <w:color w:val="auto"/>
              </w:rPr>
            </w:pPr>
          </w:p>
        </w:tc>
      </w:tr>
      <w:tr>
        <w:trPr>
          <w:trHeight w:val="30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34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160" w:type="dxa"/>
            <w:vAlign w:val="bottom"/>
          </w:tcPr>
          <w:p>
            <w:pPr>
              <w:spacing w:after="0"/>
              <w:rPr>
                <w:sz w:val="24"/>
                <w:szCs w:val="24"/>
                <w:color w:val="auto"/>
              </w:rPr>
            </w:pPr>
          </w:p>
        </w:tc>
      </w:tr>
      <w:tr>
        <w:trPr>
          <w:trHeight w:val="464"/>
        </w:trPr>
        <w:tc>
          <w:tcPr>
            <w:tcW w:w="20" w:type="dxa"/>
            <w:vAlign w:val="bottom"/>
          </w:tcPr>
          <w:p>
            <w:pPr>
              <w:spacing w:after="0"/>
              <w:rPr>
                <w:sz w:val="24"/>
                <w:szCs w:val="24"/>
                <w:color w:val="auto"/>
              </w:rPr>
            </w:pP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4"/>
              </w:rPr>
              <w:t>PART I</w:t>
            </w: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w:t>
            </w:r>
          </w:p>
        </w:tc>
        <w:tc>
          <w:tcPr>
            <w:tcW w:w="160" w:type="dxa"/>
            <w:vAlign w:val="bottom"/>
          </w:tcPr>
          <w:p>
            <w:pPr>
              <w:spacing w:after="0"/>
              <w:rPr>
                <w:sz w:val="17"/>
                <w:szCs w:val="17"/>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Business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1A.</w:t>
            </w:r>
          </w:p>
        </w:tc>
        <w:tc>
          <w:tcPr>
            <w:tcW w:w="160" w:type="dxa"/>
            <w:vAlign w:val="bottom"/>
          </w:tcPr>
          <w:p>
            <w:pPr>
              <w:spacing w:after="0"/>
              <w:rPr>
                <w:sz w:val="17"/>
                <w:szCs w:val="17"/>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840" w:type="dxa"/>
            <w:vAlign w:val="bottom"/>
            <w:gridSpan w:val="16"/>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1B.</w:t>
            </w:r>
          </w:p>
        </w:tc>
        <w:tc>
          <w:tcPr>
            <w:tcW w:w="160" w:type="dxa"/>
            <w:vAlign w:val="bottom"/>
          </w:tcPr>
          <w:p>
            <w:pPr>
              <w:spacing w:after="0"/>
              <w:rPr>
                <w:sz w:val="17"/>
                <w:szCs w:val="17"/>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w:t>
            </w:r>
          </w:p>
        </w:tc>
        <w:tc>
          <w:tcPr>
            <w:tcW w:w="160" w:type="dxa"/>
            <w:vAlign w:val="bottom"/>
          </w:tcPr>
          <w:p>
            <w:pPr>
              <w:spacing w:after="0"/>
              <w:rPr>
                <w:sz w:val="17"/>
                <w:szCs w:val="17"/>
                <w:color w:val="auto"/>
              </w:rPr>
            </w:pPr>
          </w:p>
        </w:tc>
        <w:tc>
          <w:tcPr>
            <w:tcW w:w="7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Properties</w:t>
            </w:r>
          </w:p>
        </w:tc>
        <w:tc>
          <w:tcPr>
            <w:tcW w:w="1240" w:type="dxa"/>
            <w:vAlign w:val="bottom"/>
            <w:tcBorders>
              <w:top w:val="single" w:sz="8" w:color="0000FF"/>
            </w:tcBorders>
            <w:gridSpan w:val="6"/>
          </w:tcPr>
          <w:p>
            <w:pPr>
              <w:spacing w:after="0"/>
              <w:rPr>
                <w:sz w:val="17"/>
                <w:szCs w:val="17"/>
                <w:color w:val="auto"/>
              </w:rPr>
            </w:pPr>
          </w:p>
        </w:tc>
        <w:tc>
          <w:tcPr>
            <w:tcW w:w="6760" w:type="dxa"/>
            <w:vAlign w:val="bottom"/>
            <w:gridSpan w:val="12"/>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w:t>
            </w:r>
          </w:p>
        </w:tc>
        <w:tc>
          <w:tcPr>
            <w:tcW w:w="160" w:type="dxa"/>
            <w:vAlign w:val="bottom"/>
          </w:tcPr>
          <w:p>
            <w:pPr>
              <w:spacing w:after="0"/>
              <w:rPr>
                <w:sz w:val="17"/>
                <w:szCs w:val="17"/>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w:t>
            </w:r>
          </w:p>
        </w:tc>
        <w:tc>
          <w:tcPr>
            <w:tcW w:w="160" w:type="dxa"/>
            <w:vAlign w:val="bottom"/>
          </w:tcPr>
          <w:p>
            <w:pPr>
              <w:spacing w:after="0"/>
              <w:rPr>
                <w:sz w:val="17"/>
                <w:szCs w:val="17"/>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r>
      <w:tr>
        <w:trPr>
          <w:trHeight w:val="457"/>
        </w:trPr>
        <w:tc>
          <w:tcPr>
            <w:tcW w:w="20" w:type="dxa"/>
            <w:vAlign w:val="bottom"/>
          </w:tcPr>
          <w:p>
            <w:pPr>
              <w:spacing w:after="0"/>
              <w:rPr>
                <w:sz w:val="24"/>
                <w:szCs w:val="24"/>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0000FF"/>
                <w:w w:val="94"/>
              </w:rPr>
              <w:t>PART II</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w:t>
            </w:r>
          </w:p>
        </w:tc>
        <w:tc>
          <w:tcPr>
            <w:tcW w:w="160" w:type="dxa"/>
            <w:vAlign w:val="bottom"/>
          </w:tcPr>
          <w:p>
            <w:pPr>
              <w:spacing w:after="0"/>
              <w:rPr>
                <w:sz w:val="17"/>
                <w:szCs w:val="17"/>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w:t>
            </w:r>
          </w:p>
        </w:tc>
        <w:tc>
          <w:tcPr>
            <w:tcW w:w="160" w:type="dxa"/>
            <w:vAlign w:val="bottom"/>
          </w:tcPr>
          <w:p>
            <w:pPr>
              <w:spacing w:after="0"/>
              <w:rPr>
                <w:sz w:val="17"/>
                <w:szCs w:val="17"/>
                <w:color w:val="auto"/>
              </w:rPr>
            </w:pPr>
          </w:p>
        </w:tc>
        <w:tc>
          <w:tcPr>
            <w:tcW w:w="77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[Reserved]</w:t>
            </w:r>
          </w:p>
        </w:tc>
        <w:tc>
          <w:tcPr>
            <w:tcW w:w="9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w:t>
            </w: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w:t>
            </w:r>
          </w:p>
        </w:tc>
        <w:tc>
          <w:tcPr>
            <w:tcW w:w="160" w:type="dxa"/>
            <w:vAlign w:val="bottom"/>
          </w:tcPr>
          <w:p>
            <w:pPr>
              <w:spacing w:after="0"/>
              <w:rPr>
                <w:sz w:val="17"/>
                <w:szCs w:val="17"/>
                <w:color w:val="auto"/>
              </w:rPr>
            </w:pPr>
          </w:p>
        </w:tc>
        <w:tc>
          <w:tcPr>
            <w:tcW w:w="6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540" w:type="dxa"/>
            <w:vAlign w:val="bottom"/>
            <w:gridSpan w:val="4"/>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7A.</w:t>
            </w:r>
          </w:p>
        </w:tc>
        <w:tc>
          <w:tcPr>
            <w:tcW w:w="160" w:type="dxa"/>
            <w:vAlign w:val="bottom"/>
          </w:tcPr>
          <w:p>
            <w:pPr>
              <w:spacing w:after="0"/>
              <w:rPr>
                <w:sz w:val="17"/>
                <w:szCs w:val="17"/>
                <w:color w:val="auto"/>
              </w:rPr>
            </w:pPr>
          </w:p>
        </w:tc>
        <w:tc>
          <w:tcPr>
            <w:tcW w:w="4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540" w:type="dxa"/>
            <w:vAlign w:val="bottom"/>
            <w:gridSpan w:val="7"/>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w:t>
            </w:r>
          </w:p>
        </w:tc>
        <w:tc>
          <w:tcPr>
            <w:tcW w:w="160" w:type="dxa"/>
            <w:vAlign w:val="bottom"/>
          </w:tcPr>
          <w:p>
            <w:pPr>
              <w:spacing w:after="0"/>
              <w:rPr>
                <w:sz w:val="17"/>
                <w:szCs w:val="17"/>
                <w:color w:val="auto"/>
              </w:rPr>
            </w:pPr>
          </w:p>
        </w:tc>
        <w:tc>
          <w:tcPr>
            <w:tcW w:w="31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5520" w:type="dxa"/>
            <w:vAlign w:val="bottom"/>
            <w:gridSpan w:val="9"/>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w:t>
            </w:r>
          </w:p>
        </w:tc>
        <w:tc>
          <w:tcPr>
            <w:tcW w:w="160" w:type="dxa"/>
            <w:vAlign w:val="bottom"/>
          </w:tcPr>
          <w:p>
            <w:pPr>
              <w:spacing w:after="0"/>
              <w:rPr>
                <w:sz w:val="17"/>
                <w:szCs w:val="17"/>
                <w:color w:val="auto"/>
              </w:rPr>
            </w:pPr>
          </w:p>
        </w:tc>
        <w:tc>
          <w:tcPr>
            <w:tcW w:w="61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2520" w:type="dxa"/>
            <w:vAlign w:val="bottom"/>
            <w:gridSpan w:val="3"/>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9A.</w:t>
            </w:r>
          </w:p>
        </w:tc>
        <w:tc>
          <w:tcPr>
            <w:tcW w:w="160" w:type="dxa"/>
            <w:vAlign w:val="bottom"/>
          </w:tcPr>
          <w:p>
            <w:pPr>
              <w:spacing w:after="0"/>
              <w:rPr>
                <w:sz w:val="17"/>
                <w:szCs w:val="17"/>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9B.</w:t>
            </w:r>
          </w:p>
        </w:tc>
        <w:tc>
          <w:tcPr>
            <w:tcW w:w="160" w:type="dxa"/>
            <w:vAlign w:val="bottom"/>
          </w:tcPr>
          <w:p>
            <w:pPr>
              <w:spacing w:after="0"/>
              <w:rPr>
                <w:sz w:val="17"/>
                <w:szCs w:val="17"/>
                <w:color w:val="auto"/>
              </w:rPr>
            </w:pPr>
          </w:p>
        </w:tc>
        <w:tc>
          <w:tcPr>
            <w:tcW w:w="16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020" w:type="dxa"/>
            <w:vAlign w:val="bottom"/>
            <w:gridSpan w:val="14"/>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w:t>
            </w: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9C.</w:t>
            </w:r>
          </w:p>
        </w:tc>
        <w:tc>
          <w:tcPr>
            <w:tcW w:w="160" w:type="dxa"/>
            <w:vAlign w:val="bottom"/>
          </w:tcPr>
          <w:p>
            <w:pPr>
              <w:spacing w:after="0"/>
              <w:rPr>
                <w:sz w:val="17"/>
                <w:szCs w:val="17"/>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w:t>
            </w:r>
          </w:p>
        </w:tc>
      </w:tr>
      <w:tr>
        <w:trPr>
          <w:trHeight w:val="457"/>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w:t>
            </w:r>
          </w:p>
        </w:tc>
        <w:tc>
          <w:tcPr>
            <w:tcW w:w="160" w:type="dxa"/>
            <w:vAlign w:val="bottom"/>
          </w:tcPr>
          <w:p>
            <w:pPr>
              <w:spacing w:after="0"/>
              <w:rPr>
                <w:sz w:val="17"/>
                <w:szCs w:val="17"/>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11.</w:t>
            </w:r>
          </w:p>
        </w:tc>
        <w:tc>
          <w:tcPr>
            <w:tcW w:w="160" w:type="dxa"/>
            <w:vAlign w:val="bottom"/>
          </w:tcPr>
          <w:p>
            <w:pPr>
              <w:spacing w:after="0"/>
              <w:rPr>
                <w:sz w:val="17"/>
                <w:szCs w:val="17"/>
                <w:color w:val="auto"/>
              </w:rPr>
            </w:pPr>
          </w:p>
        </w:tc>
        <w:tc>
          <w:tcPr>
            <w:tcW w:w="17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9"/>
              </w:rPr>
              <w:t>Executive Compensation</w:t>
            </w:r>
          </w:p>
        </w:tc>
        <w:tc>
          <w:tcPr>
            <w:tcW w:w="2180" w:type="dxa"/>
            <w:vAlign w:val="bottom"/>
            <w:tcBorders>
              <w:top w:val="single" w:sz="8" w:color="0000FF"/>
            </w:tcBorders>
            <w:gridSpan w:val="5"/>
          </w:tcPr>
          <w:p>
            <w:pPr>
              <w:spacing w:after="0"/>
              <w:rPr>
                <w:sz w:val="17"/>
                <w:szCs w:val="17"/>
                <w:color w:val="auto"/>
              </w:rPr>
            </w:pPr>
          </w:p>
        </w:tc>
        <w:tc>
          <w:tcPr>
            <w:tcW w:w="4800" w:type="dxa"/>
            <w:vAlign w:val="bottom"/>
            <w:gridSpan w:val="8"/>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w:t>
            </w:r>
          </w:p>
        </w:tc>
        <w:tc>
          <w:tcPr>
            <w:tcW w:w="160" w:type="dxa"/>
            <w:vAlign w:val="bottom"/>
          </w:tcPr>
          <w:p>
            <w:pPr>
              <w:spacing w:after="0"/>
              <w:rPr>
                <w:sz w:val="17"/>
                <w:szCs w:val="17"/>
                <w:color w:val="auto"/>
              </w:rPr>
            </w:pPr>
          </w:p>
        </w:tc>
        <w:tc>
          <w:tcPr>
            <w:tcW w:w="69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740" w:type="dxa"/>
            <w:vAlign w:val="bottom"/>
            <w:gridSpan w:val="2"/>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w:t>
            </w:r>
          </w:p>
        </w:tc>
        <w:tc>
          <w:tcPr>
            <w:tcW w:w="160" w:type="dxa"/>
            <w:vAlign w:val="bottom"/>
          </w:tcPr>
          <w:p>
            <w:pPr>
              <w:spacing w:after="0"/>
              <w:rPr>
                <w:sz w:val="17"/>
                <w:szCs w:val="17"/>
                <w:color w:val="auto"/>
              </w:rPr>
            </w:pPr>
          </w:p>
        </w:tc>
        <w:tc>
          <w:tcPr>
            <w:tcW w:w="52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3500" w:type="dxa"/>
            <w:vAlign w:val="bottom"/>
            <w:gridSpan w:val="5"/>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14.</w:t>
            </w:r>
          </w:p>
        </w:tc>
        <w:tc>
          <w:tcPr>
            <w:tcW w:w="160" w:type="dxa"/>
            <w:vAlign w:val="bottom"/>
          </w:tcPr>
          <w:p>
            <w:pPr>
              <w:spacing w:after="0"/>
              <w:rPr>
                <w:sz w:val="17"/>
                <w:szCs w:val="17"/>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w:t>
            </w:r>
          </w:p>
        </w:tc>
      </w:tr>
      <w:tr>
        <w:trPr>
          <w:trHeight w:val="457"/>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10"/>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w:t>
            </w:r>
          </w:p>
        </w:tc>
        <w:tc>
          <w:tcPr>
            <w:tcW w:w="160" w:type="dxa"/>
            <w:vAlign w:val="bottom"/>
          </w:tcPr>
          <w:p>
            <w:pPr>
              <w:spacing w:after="0"/>
              <w:rPr>
                <w:sz w:val="17"/>
                <w:szCs w:val="17"/>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w:t>
            </w:r>
          </w:p>
        </w:tc>
      </w:tr>
      <w:tr>
        <w:trPr>
          <w:trHeight w:val="96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tcBorders>
              <w:top w:val="single" w:sz="8" w:color="0000FF"/>
            </w:tcBorders>
            <w:gridSpan w:val="10"/>
          </w:tcPr>
          <w:p>
            <w:pPr>
              <w:spacing w:after="0"/>
              <w:rPr>
                <w:sz w:val="24"/>
                <w:szCs w:val="24"/>
                <w:color w:val="auto"/>
              </w:rPr>
            </w:pPr>
          </w:p>
        </w:tc>
        <w:tc>
          <w:tcPr>
            <w:tcW w:w="1680" w:type="dxa"/>
            <w:vAlign w:val="bottom"/>
            <w:gridSpan w:val="4"/>
          </w:tcPr>
          <w:p>
            <w:pPr>
              <w:jc w:val="center"/>
              <w:ind w:left="714"/>
              <w:spacing w:after="0"/>
              <w:rPr>
                <w:sz w:val="20"/>
                <w:szCs w:val="20"/>
                <w:color w:val="auto"/>
              </w:rPr>
            </w:pPr>
            <w:r>
              <w:rPr>
                <w:rFonts w:ascii="Times New Roman" w:cs="Times New Roman" w:eastAsia="Times New Roman" w:hAnsi="Times New Roman"/>
                <w:sz w:val="17"/>
                <w:szCs w:val="17"/>
                <w:color w:val="auto"/>
                <w:w w:val="93"/>
              </w:rPr>
              <w:t>1</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1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 xml:space="preserve">This Annual Report on Form 10-K of Lifetime Brands, Inc. (the “Company” and, unless the context otherwise requires, references to the “Company” shall include its consolidated subsidiaries) contains “forward-looking statements” within the meaning of Section 27A of the Securities Act of 1933, as amended (the “Securities Act”), and Section 21E of the Securities Exchange Act of 1934, as amended (the “Exchange Act”). These forward-looking statements include information concerning, among other things, the Company’s and its subsidiaries’ plans, objectives, goals, strategies, future events, future revenues, performance, capital expenditures, financing needs and other information that is not historical information. Many of these statements appear, in particular, under the headings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xml:space="preserve"> included in Item 1 of Part I and Item 7 of Part II, respectively. When used in this Annual Report on Form 10-K, the words “estimates,” “expects,” “anticipates,” “projects,” “plans,” “intends,” “believes,” “may,” “should,” “seeks,” “will,” “potential” and variations of such words or similar expressions are intended to identify forward-looking statements. All forward-looking statements, including, without limitation, the Company’s assessment of historical operating trends and the application of that assessment with regards to future periods, are based upon the Company’s current expectations, projections, various assumptions, intentions and/or beliefs related to future events or occurrences. The Company believes there is a reasonable basis for its expectations and assumptions, but there can be no assurance that the Company will realize its expectations or that the Company’s assumptions will prove correct.</w:t>
      </w:r>
    </w:p>
    <w:p>
      <w:pPr>
        <w:spacing w:after="0" w:line="1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 xml:space="preserve">There are a number of risks and uncertainties that could cause the Company’s actual results to differ materially from the forward-looking statements contained in this Annual Report. Important factors that could cause the Company’s actual results to differ materially from those expressed as forward-looking statements are set forth in this Annual Report, including the risk factors discussed in Part I, Item 1A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The timing of certain events and circumstances and known and unknown risks and uncertainties could cause our actual results or performance to be materially different from those expressed or implied by these forward-looking statements. Accordingly, you should not place undue reliance on these forward-looking statements in deciding whether to invest in our securities.</w:t>
      </w:r>
    </w:p>
    <w:p>
      <w:pPr>
        <w:spacing w:after="0" w:line="175"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Annual Report on Form 10-K.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are subject to a variety of risks and uncertainties. The following is a summary of the principal risks that we deem material to an investment in our common stock, all of which are more fully described in, and should be read in conjunction with, Item 1A. “Risk Factors” in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risks</w:t>
      </w:r>
    </w:p>
    <w:p>
      <w:pPr>
        <w:spacing w:after="0" w:line="53" w:lineRule="exact"/>
        <w:rPr>
          <w:sz w:val="20"/>
          <w:szCs w:val="20"/>
          <w:color w:val="auto"/>
        </w:rPr>
      </w:pPr>
    </w:p>
    <w:p>
      <w:pPr>
        <w:ind w:left="620" w:hanging="307"/>
        <w:spacing w:after="0" w:line="235"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business may be materially adversely affected by market conditions and by global and economic conditions and other factors beyond its control.</w:t>
      </w:r>
    </w:p>
    <w:p>
      <w:pPr>
        <w:spacing w:after="0" w:line="23" w:lineRule="exact"/>
        <w:rPr>
          <w:rFonts w:ascii="Times New Roman" w:cs="Times New Roman" w:eastAsia="Times New Roman" w:hAnsi="Times New Roman"/>
          <w:sz w:val="21"/>
          <w:szCs w:val="21"/>
          <w:color w:val="auto"/>
        </w:rPr>
      </w:pPr>
    </w:p>
    <w:p>
      <w:pPr>
        <w:ind w:left="620" w:right="280" w:hanging="307"/>
        <w:spacing w:after="0" w:line="241"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results of operations could be negatively impacted by inflation or deflation in supply chain costs, including raw materials, sourcing, transportation and energy, and other price fluctuations caused by factors beyond its control. The Company may be materially adversely affected by the exit of the U.K. from the European Union.</w:t>
      </w:r>
    </w:p>
    <w:p>
      <w:pPr>
        <w:spacing w:after="0" w:line="22" w:lineRule="exact"/>
        <w:rPr>
          <w:rFonts w:ascii="Times New Roman" w:cs="Times New Roman" w:eastAsia="Times New Roman" w:hAnsi="Times New Roman"/>
          <w:sz w:val="21"/>
          <w:szCs w:val="21"/>
          <w:color w:val="auto"/>
        </w:rPr>
      </w:pPr>
    </w:p>
    <w:p>
      <w:pPr>
        <w:ind w:left="620" w:hanging="307"/>
        <w:spacing w:after="0" w:line="242"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business may be materially adversely affected by the imposition of tariffs and other trade policies implemented by the U.S. and other governments.</w:t>
      </w:r>
    </w:p>
    <w:p>
      <w:pPr>
        <w:spacing w:after="0" w:line="5"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Legislative or regulatory initiatives related to climate change could have a material adverse effect on our business.</w:t>
      </w:r>
    </w:p>
    <w:p>
      <w:pPr>
        <w:spacing w:after="0" w:line="21" w:lineRule="exact"/>
        <w:rPr>
          <w:rFonts w:ascii="Times New Roman" w:cs="Times New Roman" w:eastAsia="Times New Roman" w:hAnsi="Times New Roman"/>
          <w:sz w:val="21"/>
          <w:szCs w:val="21"/>
          <w:color w:val="auto"/>
        </w:rPr>
      </w:pPr>
    </w:p>
    <w:p>
      <w:pPr>
        <w:ind w:left="620" w:hanging="307"/>
        <w:spacing w:after="0" w:line="235"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ability to obtain insurance and the terms of any available insurance coverage could be materially adversely affected by macroeconomic and company-specific events, as well as the financial condition of insurers.</w:t>
      </w:r>
    </w:p>
    <w:p>
      <w:pPr>
        <w:spacing w:after="0" w:line="23" w:lineRule="exact"/>
        <w:rPr>
          <w:rFonts w:ascii="Arial" w:cs="Arial" w:eastAsia="Arial" w:hAnsi="Arial"/>
          <w:sz w:val="21"/>
          <w:szCs w:val="21"/>
          <w:color w:val="auto"/>
        </w:rPr>
      </w:pPr>
    </w:p>
    <w:p>
      <w:pPr>
        <w:jc w:val="both"/>
        <w:ind w:left="620" w:hanging="307"/>
        <w:spacing w:after="0" w:line="263"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must successfully manage the demand, supply, and operational challenges associated with the actual or perceived effects of the ongoing COVID-19 pandemic and any other future widespread outbreak of illness or other health issue. Any failure to do so could have a material adverse impact on the Company’s business, financial condition, results of operations, cash flows, and competitive position.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financial risks</w:t>
      </w:r>
    </w:p>
    <w:p>
      <w:pPr>
        <w:spacing w:after="0" w:line="35" w:lineRule="exact"/>
        <w:rPr>
          <w:sz w:val="20"/>
          <w:szCs w:val="20"/>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has substantial indebtedness and the highly seasonal nature of the Company’s business impacts its borrowing needs.</w:t>
      </w:r>
    </w:p>
    <w:p>
      <w:pPr>
        <w:spacing w:after="0" w:line="34"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failure to meet certain covenants or comply with other requirements of its Debt Agreements (as defined below) may materially and adversely affect the Company’s assets, financial position and cash flows.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borrowings are subject to interest rate fluctuations and an increase in interest rates could adversely affect the Company’s financial results.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The replacement of the LIBOR benchmark interest rate with SOFR could increase the Company's borrowing costs.</w:t>
      </w:r>
    </w:p>
    <w:p>
      <w:pPr>
        <w:spacing w:after="0" w:line="22" w:lineRule="exact"/>
        <w:rPr>
          <w:rFonts w:ascii="Arial" w:cs="Arial" w:eastAsia="Arial" w:hAnsi="Arial"/>
          <w:sz w:val="21"/>
          <w:szCs w:val="21"/>
          <w:color w:val="auto"/>
        </w:rPr>
      </w:pPr>
    </w:p>
    <w:p>
      <w:pPr>
        <w:ind w:left="620" w:hanging="307"/>
        <w:spacing w:after="0" w:line="242" w:lineRule="auto"/>
        <w:tabs>
          <w:tab w:leader="none" w:pos="61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inability to complete future acquisitions or strategic alliances and/or integrate acquired businesses could have a material adverse effect on the Company’s business and results of operations.</w:t>
      </w:r>
    </w:p>
    <w:p>
      <w:pPr>
        <w:spacing w:after="0" w:line="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Foreign exchange variability and currency controls could materially adversely affect the Company’s operating results and financial condition.</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business requires it to maintain large fixed costs that can affect its profitability.</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Cost reduction efforts may not be successful and restructuring benefits may not be realized.</w:t>
      </w:r>
    </w:p>
    <w:p>
      <w:pPr>
        <w:spacing w:after="0" w:line="22"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If the Company’s goodwill or other long-term assets become impaired, the Company will be required to record impairment charges, which may be significant.</w:t>
      </w:r>
    </w:p>
    <w:p>
      <w:pPr>
        <w:spacing w:after="0" w:line="23" w:lineRule="exact"/>
        <w:rPr>
          <w:rFonts w:ascii="Arial" w:cs="Arial" w:eastAsia="Arial" w:hAnsi="Arial"/>
          <w:sz w:val="21"/>
          <w:szCs w:val="21"/>
          <w:color w:val="auto"/>
        </w:rPr>
      </w:pPr>
    </w:p>
    <w:p>
      <w:pPr>
        <w:ind w:left="620" w:hanging="307"/>
        <w:spacing w:after="0" w:line="242" w:lineRule="auto"/>
        <w:tabs>
          <w:tab w:leader="none" w:pos="61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projections of product demand, sales and net income are highly subjective in nature and the Company’s future sales and net income could vary materially from the Company’s projections.</w:t>
      </w:r>
    </w:p>
    <w:p>
      <w:pPr>
        <w:spacing w:after="0" w:line="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Increases in the cost of employee benefits could materially adversely impact the Company’s financial results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risks</w:t>
      </w:r>
    </w:p>
    <w:p>
      <w:pPr>
        <w:spacing w:after="0" w:line="53" w:lineRule="exact"/>
        <w:rPr>
          <w:sz w:val="20"/>
          <w:szCs w:val="20"/>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faces intense competition from other companies worldwide and if the Company is unable to compete successfully, the Company’s business, results of operations and financial condition could be materially and adversely affected.</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Company’s customer purchasing practices could materially adversely affect the Company’s operating results.</w:t>
      </w:r>
    </w:p>
    <w:p>
      <w:pPr>
        <w:spacing w:after="0" w:line="21"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Changes at the Company’s large customers, or actions taken by them, and consolidation in the retail industry could materially adversely affect the Company’s operating results.</w:t>
      </w:r>
    </w:p>
    <w:p>
      <w:pPr>
        <w:spacing w:after="0" w:line="2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spacing w:after="0" w:line="23" w:lineRule="exact"/>
        <w:rPr>
          <w:rFonts w:ascii="Arial" w:cs="Arial" w:eastAsia="Arial" w:hAnsi="Arial"/>
          <w:sz w:val="21"/>
          <w:szCs w:val="21"/>
          <w:color w:val="auto"/>
        </w:rPr>
      </w:pPr>
    </w:p>
    <w:p>
      <w:pPr>
        <w:ind w:left="620" w:hanging="307"/>
        <w:spacing w:after="0" w:line="246"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Demand for new products and the inability to develop and introduce new competitive products at favorable profit margins could adversely affect the Company’s performance and prospects for future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Supply chain risks</w:t>
      </w:r>
    </w:p>
    <w:p>
      <w:pPr>
        <w:spacing w:after="0" w:line="53" w:lineRule="exact"/>
        <w:rPr>
          <w:sz w:val="20"/>
          <w:szCs w:val="20"/>
          <w:color w:val="auto"/>
        </w:rPr>
      </w:pPr>
    </w:p>
    <w:p>
      <w:pPr>
        <w:ind w:left="620" w:right="40" w:hanging="307"/>
        <w:spacing w:after="0" w:line="235" w:lineRule="auto"/>
        <w:tabs>
          <w:tab w:leader="none" w:pos="61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reliance on international suppliers subjects the Company to regional regulatory, man-made or natural disasters, health epidemics, political or military conflicts, economic and foreign currency exchange risk that could materially and adversely affect the Company’s operating results.</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international trade activity subjects it to transportation risks.</w:t>
      </w:r>
    </w:p>
    <w:p>
      <w:pPr>
        <w:spacing w:after="0" w:line="13"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depends on third-party manufacturers to produce the majority of its products, which presents quality control risks to the Company.</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product costs are subject to price fluctuation.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risks</w:t>
      </w:r>
    </w:p>
    <w:p>
      <w:pPr>
        <w:spacing w:after="0" w:line="35" w:lineRule="exact"/>
        <w:rPr>
          <w:sz w:val="20"/>
          <w:szCs w:val="20"/>
          <w:color w:val="auto"/>
        </w:rPr>
      </w:pPr>
    </w:p>
    <w:p>
      <w:pPr>
        <w:ind w:left="620" w:hanging="307"/>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loss of certain licenses or material changes in royalty rates could materially adversely affect the Company’s operating margin and cash flow.</w:t>
      </w:r>
    </w:p>
    <w:p>
      <w:pPr>
        <w:spacing w:after="0" w:line="34"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may not be able to adequately establish or protect its intellectual property rights, and the infringement or loss of the Company’s intellectual property rights could harm its business.</w:t>
      </w:r>
    </w:p>
    <w:p>
      <w:pPr>
        <w:spacing w:after="0" w:line="2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If the Company is unable to protect the confidentiality of its proprietary information and know-how, the value of the Company’s technology, products and services could be harmed significantly.</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brands are subject to reputational risks and damage to the Company’s brands or reputation could adversely affect its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Operational and regulatory risks</w:t>
      </w:r>
    </w:p>
    <w:p>
      <w:pPr>
        <w:spacing w:after="0" w:line="35" w:lineRule="exact"/>
        <w:rPr>
          <w:sz w:val="20"/>
          <w:szCs w:val="20"/>
          <w:color w:val="auto"/>
        </w:rPr>
      </w:pPr>
    </w:p>
    <w:p>
      <w:pPr>
        <w:ind w:left="620" w:hanging="307"/>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Interruptions in the Company’s operations caused by outside forces could cause material losses.</w:t>
      </w:r>
    </w:p>
    <w:p>
      <w:pPr>
        <w:spacing w:after="0" w:line="21" w:lineRule="exact"/>
        <w:rPr>
          <w:rFonts w:ascii="Arial" w:cs="Arial" w:eastAsia="Arial" w:hAnsi="Arial"/>
          <w:sz w:val="21"/>
          <w:szCs w:val="21"/>
          <w:color w:val="auto"/>
        </w:rPr>
      </w:pPr>
    </w:p>
    <w:p>
      <w:pPr>
        <w:ind w:left="620" w:hanging="307"/>
        <w:spacing w:after="0" w:line="246"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international operations present special challenges that the Company may not be able to meet, and this could materially and adversely affect the Company’s financial results.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ind w:left="620" w:hanging="307"/>
        <w:spacing w:after="0" w:line="235"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2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New and future laws and regulations governing the Internet and e-commerce could have a material adverse effect on the Company’s business, results of operations and financial condition.</w:t>
      </w:r>
    </w:p>
    <w:p>
      <w:pPr>
        <w:spacing w:after="0" w:line="23" w:lineRule="exact"/>
        <w:rPr>
          <w:rFonts w:ascii="Arial" w:cs="Arial" w:eastAsia="Arial" w:hAnsi="Arial"/>
          <w:sz w:val="21"/>
          <w:szCs w:val="21"/>
          <w:color w:val="auto"/>
        </w:rPr>
      </w:pPr>
    </w:p>
    <w:p>
      <w:pPr>
        <w:jc w:val="both"/>
        <w:ind w:left="620" w:hanging="307"/>
        <w:spacing w:after="0" w:line="247"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Climate change, environmental, social and governance and sustainability initiatives may result in regulatory or structural industry changes that could require significant operational changes and expenditures, reduce demand for the Company's products and adversely affect our business, financial condition, and results of operations. A failure in or compromise of the Company’s operating systems or infrastructure or those of third parties could disrupt the Company’s business and cause losses.</w:t>
      </w:r>
    </w:p>
    <w:p>
      <w:pPr>
        <w:spacing w:after="0" w:line="24"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is subject to cyber security and ransomware risks and may incur increasing costs in efforts to minimize those risks and to comply with regulatory standards.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sells consumer products which involve an inherent risk of product liability claims.</w:t>
      </w:r>
    </w:p>
    <w:p>
      <w:pPr>
        <w:spacing w:after="0" w:line="21"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may incur material costs due to environmental liabilities which could have a material adverse effect on the Company’s business, financial condition and results of operations.</w:t>
      </w:r>
    </w:p>
    <w:p>
      <w:pPr>
        <w:spacing w:after="0" w:line="2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executives and other key employees are critical to the Company’s success. The loss of and/or failure to attract and maintain its highly skilled employees could adversely affect the Company’s business.</w:t>
      </w:r>
    </w:p>
    <w:p>
      <w:pPr>
        <w:spacing w:after="0" w:line="23" w:lineRule="exact"/>
        <w:rPr>
          <w:rFonts w:ascii="Arial" w:cs="Arial" w:eastAsia="Arial" w:hAnsi="Arial"/>
          <w:sz w:val="21"/>
          <w:szCs w:val="21"/>
          <w:color w:val="auto"/>
        </w:rPr>
      </w:pPr>
    </w:p>
    <w:p>
      <w:pPr>
        <w:ind w:left="620" w:hanging="307"/>
        <w:spacing w:after="0" w:line="246"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As a result of the Company’s acquisition of Filament, Taylor Parent has significant influence over the Company and its interests may conflict with the Company’s or its stockholders in the future.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OTHER INFORMATION</w:t>
      </w:r>
    </w:p>
    <w:p>
      <w:pPr>
        <w:spacing w:after="0" w:line="1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 xml:space="preserve">The Company is required to file its Annual Reports on Forms 10-K, Quarterly Reports on Forms 10-Q, Current Reports on Form 8-K, and other reports and documents as required from time to time with the United States Securities and Exchange Commission (the “SEC”). The Company also maintains a website at </w:t>
      </w:r>
      <w:r>
        <w:rPr>
          <w:rFonts w:ascii="Times New Roman" w:cs="Times New Roman" w:eastAsia="Times New Roman" w:hAnsi="Times New Roman"/>
          <w:sz w:val="17"/>
          <w:szCs w:val="17"/>
          <w:i w:val="1"/>
          <w:iCs w:val="1"/>
          <w:u w:val="single" w:color="auto"/>
          <w:color w:val="auto"/>
        </w:rPr>
        <w:t>http://www.lifetimebrands.com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contained on this website is not a part of or incorporated by reference into this Annual Report. The Company makes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available on its website the Company’s Annual Report on Form 10-K, Quarterly Reports on Form 10-Q, Current Reports on Form 8-K and amendments to these reports as soon as reasonably practicable after these reports are filed with or furnished to the SEC. Users can access these reports free of charge on the Company’s website. The SEC also maintains an Internet site that contains reports, proxy and information statements, and other information regarding the Company’s electronic filings with the SEC at </w:t>
      </w:r>
      <w:r>
        <w:rPr>
          <w:rFonts w:ascii="Times New Roman" w:cs="Times New Roman" w:eastAsia="Times New Roman" w:hAnsi="Times New Roman"/>
          <w:sz w:val="17"/>
          <w:szCs w:val="17"/>
          <w:i w:val="1"/>
          <w:iCs w:val="1"/>
          <w:u w:val="single" w:color="auto"/>
          <w:color w:val="auto"/>
        </w:rPr>
        <w:t>http://www.sec.gov</w:t>
      </w:r>
      <w:r>
        <w:rPr>
          <w:rFonts w:ascii="Times New Roman" w:cs="Times New Roman" w:eastAsia="Times New Roman" w:hAnsi="Times New Roman"/>
          <w:sz w:val="17"/>
          <w:szCs w:val="17"/>
          <w:i w:val="1"/>
          <w:iCs w:val="1"/>
          <w:color w:val="auto"/>
        </w:rPr>
        <w:t>.</w:t>
      </w:r>
    </w:p>
    <w:p>
      <w:pPr>
        <w:spacing w:after="0" w:line="179"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7"/>
          <w:szCs w:val="17"/>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7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spacing w:after="0" w:line="171"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The Company continually evaluates opportunities to expand the reach of its brands and to invest in other companies, both foreign and domestic, that own or license complementary brands.</w:t>
      </w:r>
    </w:p>
    <w:p>
      <w:pPr>
        <w:spacing w:after="0" w:line="1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The Company has a presence in international markets through subsidiaries and affiliate companies that are based outside of the United States. Lifetime Brands Europe Limited is a wholly-owned subsidiary doing business as Kitchen Craft. Kitchen Craft is a leading supplier of kitchenware and tableware products and accessories in the United Kingdom (“U.K.”) and in over 80 other countries. In 2020, the Company completed its consolidation efforts of Lifetime Brands Europe Limited to create operational efficiencies. As a result, Lifetime Brands Europe Limited’s brand development and design teams, administrative teams, and distribution operate out of one state of the art facility in Aston, England.</w:t>
      </w:r>
    </w:p>
    <w:p>
      <w:pPr>
        <w:spacing w:after="0" w:line="17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also has a subsidiary in the People’s Republic of China (“China”) to supply kitchenware and tableware products to the Chinese market and a subsidiary based in Hong Kong to facilitate the sale of its products to other parts of Asia and smaller markets elsewhere in the world. The Company has a presence in Mexico and other parts of Latin America (excluding Brazil) through its 24.7% equity interest in Grupo Vasconia, S.A.B. (“Vasconia”), a housewares company and aluminum manufacturer based in Mexico, and a strategic alliance with a Canadian company to distribute many of the Company’s products in Canada.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a Delaware corporation, incorporated on December 22, 1983.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top brands and their respective product categories as of December 31, 2022 are: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Brand</w:t>
            </w: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Licensed/Owned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Product Category</w:t>
            </w:r>
          </w:p>
        </w:tc>
      </w:tr>
      <w:tr>
        <w:trPr>
          <w:trHeight w:val="32"/>
        </w:trPr>
        <w:tc>
          <w:tcPr>
            <w:tcW w:w="2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r>
      <w:tr>
        <w:trPr>
          <w:trHeight w:val="209"/>
        </w:trPr>
        <w:tc>
          <w:tcPr>
            <w:tcW w:w="2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Farberware®</w:t>
            </w:r>
          </w:p>
        </w:tc>
        <w:tc>
          <w:tcPr>
            <w:tcW w:w="100" w:type="dxa"/>
            <w:vAlign w:val="bottom"/>
          </w:tcPr>
          <w:p>
            <w:pPr>
              <w:spacing w:after="0"/>
              <w:rPr>
                <w:sz w:val="18"/>
                <w:szCs w:val="18"/>
                <w:color w:val="auto"/>
              </w:rPr>
            </w:pPr>
          </w:p>
        </w:tc>
        <w:tc>
          <w:tcPr>
            <w:tcW w:w="1300" w:type="dxa"/>
            <w:vAlign w:val="bottom"/>
          </w:tcPr>
          <w:p>
            <w:pPr>
              <w:ind w:left="20"/>
              <w:spacing w:after="0" w:line="208" w:lineRule="exact"/>
              <w:rPr>
                <w:sz w:val="20"/>
                <w:szCs w:val="20"/>
                <w:color w:val="auto"/>
              </w:rPr>
            </w:pPr>
            <w:r>
              <w:rPr>
                <w:rFonts w:ascii="Times New Roman" w:cs="Times New Roman" w:eastAsia="Times New Roman" w:hAnsi="Times New Roman"/>
                <w:sz w:val="17"/>
                <w:szCs w:val="17"/>
                <w:color w:val="auto"/>
              </w:rPr>
              <w:t xml:space="preserve">Licensed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Mikasa®</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Tableware and Home Solutions</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KitchenAid®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Licensed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Taylor®</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 and Home Solutions</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Rabbit®</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Pfaltzgraff®</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 Tableware and Home Solutions</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BUILT NY®</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Solutions</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Sabatier®</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Licensed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Fred® &amp; Friends</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Kamenstein®</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w:t>
            </w:r>
          </w:p>
        </w:tc>
      </w:tr>
      <w:tr>
        <w:trPr>
          <w:trHeight w:val="223"/>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S'well®</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Solutions</w:t>
            </w:r>
          </w:p>
        </w:tc>
      </w:tr>
    </w:tbl>
    <w:p>
      <w:pPr>
        <w:spacing w:after="0" w:line="121" w:lineRule="exact"/>
        <w:rPr>
          <w:sz w:val="20"/>
          <w:szCs w:val="20"/>
          <w:color w:val="auto"/>
        </w:rPr>
      </w:pPr>
    </w:p>
    <w:p>
      <w:pPr>
        <w:ind w:left="460" w:right="440" w:hanging="457"/>
        <w:spacing w:after="0" w:line="217" w:lineRule="auto"/>
        <w:tabs>
          <w:tab w:leader="none" w:pos="448"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has a royalty free license to utilize the Farberware® brand, primarily for its kitchenware products, for a term that expires in 2195, subject to earlier termination under certain circumstances.</w:t>
      </w:r>
    </w:p>
    <w:p>
      <w:pPr>
        <w:spacing w:after="0" w:line="200"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With the exception of the Company’s sterling silver products, the Company sources almost all of its products from suppliers located outside the United States, primarily in China. The Company manufactures its sterling silver products at a leased facility in San</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Germán, Puerto Rico and fills canisters with spices and assembles spice racks at its owned distribution facility in Winchendon, Massachusetts.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8"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The Company has two reportable operating segments, U.S. and International. The U.S. segment includes the domestic operations of the Company’s business that design, market and distribute its products to retailers, distributors and directly to consumers through retail websites. The International segment consists of certain business operations conducted outside the U.S.</w:t>
      </w:r>
    </w:p>
    <w:p>
      <w:pPr>
        <w:spacing w:after="0" w:line="165"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Additional information regarding the Company’s reportable segments is included in NOTE 13 — BUSINESS SEGMENTS of the Notes to the consolidated financial statements included in Item 15.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1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The Company’s wholesale customers include mass market merchants, specialty stores, commercial stores, department stores, warehouse clubs, grocery stores, off-price retailers, food service distributors, pharmacies, food and beverage outlets and e-commerce.</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products are sold globally to a diverse customer base including mass market merchants (such as Walmart and Target), specialty stores (such as Bed Bath &amp; Beyond and Dunelm), commercial stores (such as Williams Sonoma and Kohl’s), department stores (such as Macy’s, Belk and John Lewis), warehouse clubs (such as Costco, Sam’s Club and BJs), grocery stores (such as Publix, Kroger, HEB, Meijer, Winn-Dixie, Tesco, Waitrose and Sainsbury’s), off-price retailers (such as TJX Companies, Ross Stores and Big Lots), food service distributors (such as US Foods, Clark Food Service and Jetro), food and beverage outlets (such as Starbucks) and e-commerce (such as Amazon). The Company also does business with independent retailers, including through business-to-business websites aimed at independent retailers.</w:t>
      </w:r>
    </w:p>
    <w:p>
      <w:pPr>
        <w:spacing w:after="0" w:line="17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Company also operates its own consumer websites that provide information about the Company’s products and offer consumers the opportunity to purchase a limited selection of the Company’s products directly.</w:t>
      </w:r>
    </w:p>
    <w:p>
      <w:pPr>
        <w:spacing w:after="0" w:line="1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During the years ended December 31, 2022, 2021 and 2020, Wal-Mart Stores, Inc., including Sam’s Club and, in the U.K., Asda Superstore, (“Walmart”), accounted for 19%, 18% and 20% of consolidated net sales, respectively. During the years ended December 31, 2022, 2021, and 2020, sales to Costco Wholesale Corporation (“Costco”) accounted for 13%, 12%, and 11% of consolidated net sales. During the year ended December 31, 2022, 2021 and 2020, Amazon.com Inc., (“Amazon”), accounted for 11%, 12% and 10% of consolidated net sales. Sales to Walmart, Costco and Amazon are included in the Company's U.S. and International segments. No other customers accounted for 10% or more of the Company’s sales during these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w:t>
      </w:r>
    </w:p>
    <w:p>
      <w:pPr>
        <w:spacing w:after="0" w:line="11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The Company sells its products directly to retailers and, to a lesser extent, to distributors. The Company also sells a limited quantity of the Company’s products to individual consumers and smaller retailers through its own websites. The Company operates distribution facilities at the following locations:</w:t>
      </w:r>
    </w:p>
    <w:tbl>
      <w:tblPr>
        <w:tblLayout w:type="fixed"/>
        <w:tblInd w:w="0" w:type="dxa"/>
        <w:tblCellMar>
          <w:top w:w="0" w:type="dxa"/>
          <w:left w:w="0" w:type="dxa"/>
          <w:bottom w:w="0" w:type="dxa"/>
          <w:right w:w="0" w:type="dxa"/>
        </w:tblCellMar>
      </w:tblPr>
      <w:tr>
        <w:trPr>
          <w:trHeight w:val="146"/>
        </w:trPr>
        <w:tc>
          <w:tcPr>
            <w:tcW w:w="20" w:type="dxa"/>
            <w:vAlign w:val="bottom"/>
            <w:vMerge w:val="restart"/>
          </w:tcPr>
          <w:p>
            <w:pPr>
              <w:spacing w:after="0"/>
              <w:rPr>
                <w:sz w:val="12"/>
                <w:szCs w:val="12"/>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Location</w:t>
            </w:r>
          </w:p>
        </w:tc>
        <w:tc>
          <w:tcPr>
            <w:tcW w:w="9740" w:type="dxa"/>
            <w:vAlign w:val="bottom"/>
            <w:vMerge w:val="restart"/>
          </w:tcPr>
          <w:p>
            <w:pPr>
              <w:spacing w:after="0"/>
              <w:rPr>
                <w:sz w:val="12"/>
                <w:szCs w:val="12"/>
                <w:color w:val="auto"/>
              </w:rPr>
            </w:pPr>
          </w:p>
        </w:tc>
        <w:tc>
          <w:tcPr>
            <w:tcW w:w="960" w:type="dxa"/>
            <w:vAlign w:val="bottom"/>
            <w:gridSpan w:val="2"/>
          </w:tcPr>
          <w:p>
            <w:pPr>
              <w:jc w:val="right"/>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Size</w:t>
            </w: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9740" w:type="dxa"/>
            <w:vAlign w:val="bottom"/>
            <w:vMerge w:val="continue"/>
          </w:tcPr>
          <w:p>
            <w:pPr>
              <w:spacing w:after="0"/>
              <w:rPr>
                <w:sz w:val="11"/>
                <w:szCs w:val="11"/>
                <w:color w:val="auto"/>
              </w:rPr>
            </w:pPr>
          </w:p>
        </w:tc>
        <w:tc>
          <w:tcPr>
            <w:tcW w:w="960" w:type="dxa"/>
            <w:vAlign w:val="bottom"/>
            <w:gridSpan w:val="2"/>
          </w:tcPr>
          <w:p>
            <w:pPr>
              <w:jc w:val="right"/>
              <w:ind w:right="280"/>
              <w:spacing w:after="0" w:line="116" w:lineRule="exact"/>
              <w:rPr>
                <w:sz w:val="20"/>
                <w:szCs w:val="20"/>
                <w:color w:val="auto"/>
              </w:rPr>
            </w:pPr>
            <w:r>
              <w:rPr>
                <w:rFonts w:ascii="Times New Roman" w:cs="Times New Roman" w:eastAsia="Times New Roman" w:hAnsi="Times New Roman"/>
                <w:sz w:val="13"/>
                <w:szCs w:val="13"/>
                <w:color w:val="auto"/>
              </w:rPr>
              <w:t>(square feet)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Rialto, California</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703,000</w:t>
            </w:r>
          </w:p>
        </w:tc>
        <w:tc>
          <w:tcPr>
            <w:tcW w:w="0" w:type="dxa"/>
            <w:vAlign w:val="bottom"/>
          </w:tcPr>
          <w:p>
            <w:pPr>
              <w:spacing w:after="0"/>
              <w:rPr>
                <w:sz w:val="1"/>
                <w:szCs w:val="1"/>
                <w:color w:val="auto"/>
              </w:rPr>
            </w:pPr>
          </w:p>
        </w:tc>
      </w:tr>
      <w:tr>
        <w:trPr>
          <w:trHeight w:val="219"/>
        </w:trPr>
        <w:tc>
          <w:tcPr>
            <w:tcW w:w="10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Robbinsville, New Jersey</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700,000</w:t>
            </w:r>
          </w:p>
        </w:tc>
        <w:tc>
          <w:tcPr>
            <w:tcW w:w="0" w:type="dxa"/>
            <w:vAlign w:val="bottom"/>
          </w:tcPr>
          <w:p>
            <w:pPr>
              <w:spacing w:after="0"/>
              <w:rPr>
                <w:sz w:val="1"/>
                <w:szCs w:val="1"/>
                <w:color w:val="auto"/>
              </w:rPr>
            </w:pPr>
          </w:p>
        </w:tc>
      </w:tr>
      <w:tr>
        <w:trPr>
          <w:trHeight w:val="219"/>
        </w:trPr>
        <w:tc>
          <w:tcPr>
            <w:tcW w:w="10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Aston, England</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228,000</w:t>
            </w:r>
          </w:p>
        </w:tc>
        <w:tc>
          <w:tcPr>
            <w:tcW w:w="0" w:type="dxa"/>
            <w:vAlign w:val="bottom"/>
          </w:tcPr>
          <w:p>
            <w:pPr>
              <w:spacing w:after="0"/>
              <w:rPr>
                <w:sz w:val="1"/>
                <w:szCs w:val="1"/>
                <w:color w:val="auto"/>
              </w:rPr>
            </w:pPr>
          </w:p>
        </w:tc>
      </w:tr>
      <w:tr>
        <w:trPr>
          <w:trHeight w:val="219"/>
        </w:trPr>
        <w:tc>
          <w:tcPr>
            <w:tcW w:w="10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Winchendon, Massachusetts</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175,000</w:t>
            </w:r>
          </w:p>
        </w:tc>
        <w:tc>
          <w:tcPr>
            <w:tcW w:w="0" w:type="dxa"/>
            <w:vAlign w:val="bottom"/>
          </w:tcPr>
          <w:p>
            <w:pPr>
              <w:spacing w:after="0"/>
              <w:rPr>
                <w:sz w:val="1"/>
                <w:szCs w:val="1"/>
                <w:color w:val="auto"/>
              </w:rPr>
            </w:pPr>
          </w:p>
        </w:tc>
      </w:tr>
      <w:tr>
        <w:trPr>
          <w:trHeight w:val="219"/>
        </w:trPr>
        <w:tc>
          <w:tcPr>
            <w:tcW w:w="10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Las Cruces, New Mexico</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47,000</w:t>
            </w:r>
          </w:p>
        </w:tc>
        <w:tc>
          <w:tcPr>
            <w:tcW w:w="0" w:type="dxa"/>
            <w:vAlign w:val="bottom"/>
          </w:tcPr>
          <w:p>
            <w:pPr>
              <w:spacing w:after="0"/>
              <w:rPr>
                <w:sz w:val="1"/>
                <w:szCs w:val="1"/>
                <w:color w:val="auto"/>
              </w:rPr>
            </w:pPr>
          </w:p>
        </w:tc>
      </w:tr>
      <w:tr>
        <w:trPr>
          <w:trHeight w:val="223"/>
        </w:trPr>
        <w:tc>
          <w:tcPr>
            <w:tcW w:w="10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Medford, Massachusetts</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5,600</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Additionally, the Company uses third-party operated distribution facilities to supplement its distribution capacity, including a major distribution facility located in Rotterdam, Netherlands. As of December 31, 2022, the Company occupied 27,000 square feet of this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18" w:lineRule="exact"/>
        <w:rPr>
          <w:sz w:val="20"/>
          <w:szCs w:val="20"/>
          <w:color w:val="auto"/>
        </w:rPr>
      </w:pPr>
    </w:p>
    <w:p>
      <w:pPr>
        <w:jc w:val="both"/>
        <w:ind w:right="420"/>
        <w:spacing w:after="0" w:line="270" w:lineRule="auto"/>
        <w:rPr>
          <w:sz w:val="20"/>
          <w:szCs w:val="20"/>
          <w:color w:val="auto"/>
        </w:rPr>
      </w:pPr>
      <w:r>
        <w:rPr>
          <w:rFonts w:ascii="Times New Roman" w:cs="Times New Roman" w:eastAsia="Times New Roman" w:hAnsi="Times New Roman"/>
          <w:sz w:val="17"/>
          <w:szCs w:val="17"/>
          <w:color w:val="auto"/>
        </w:rPr>
        <w:t>The Company’s sales and marketing staff coordinates directly with its wholesale customers to devise marketing strategies and merchandising concepts and to furnish advice on advertising and product promotion. The Company has developed many promotional programs for use in the ordinary course of business to promote sales throughout the year.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Company’s sales and marketing efforts are supported from its principal office and showroom in Garden City, New York, as well as showrooms in New York, New York; Medford, Massachusetts; Atlanta, Georgia; Bentonville, Arkansas; Issaquah, Washington; Pawtucket, Rhode Island; Menomonee Falls, Wisconsin; and Aston, England.</w:t>
      </w:r>
    </w:p>
    <w:p>
      <w:pPr>
        <w:spacing w:after="0" w:line="165" w:lineRule="exact"/>
        <w:rPr>
          <w:sz w:val="20"/>
          <w:szCs w:val="20"/>
          <w:color w:val="auto"/>
        </w:rPr>
      </w:pPr>
    </w:p>
    <w:p>
      <w:pPr>
        <w:jc w:val="both"/>
        <w:ind w:right="220"/>
        <w:spacing w:after="0" w:line="287" w:lineRule="auto"/>
        <w:rPr>
          <w:sz w:val="20"/>
          <w:szCs w:val="20"/>
          <w:color w:val="auto"/>
        </w:rPr>
      </w:pPr>
      <w:r>
        <w:rPr>
          <w:rFonts w:ascii="Times New Roman" w:cs="Times New Roman" w:eastAsia="Times New Roman" w:hAnsi="Times New Roman"/>
          <w:sz w:val="17"/>
          <w:szCs w:val="17"/>
          <w:color w:val="auto"/>
        </w:rPr>
        <w:t>The Company generally collaborates with its largest wholesale customers and in many instances produces specific versions of the Company’s product lines with exclusive designs and/or packaging for them.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DESIGN AND INNOVATION</w:t>
      </w:r>
    </w:p>
    <w:p>
      <w:pPr>
        <w:spacing w:after="0" w:line="118"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At the heart of the Company is a culture of innovation and new product development. The Company’s global in-house design and development teams currently consist of approximately 90 professional designers, artists and engineers. Utilizing the latest available design tools, technology and materials, these teams create new products, redesign existing products and create packaging and merchandising concepts.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SUPPLY</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Company sources its products from hundreds of suppliers, almost all of which are located outside the United States (other than the suppliers for the Company’s sterling silver products). Most of the Company’s suppliers are located in China. The Company also sources products from suppliers across various countries including, Hong Kong, Taiwan, Japan, South Korea, Vietnam, Malaysia, Philippines, Thailand, India, Bangladesh, the United States, Canada, Mexico, Brazil, the U.K., Italy, Portugal, Poland, Sweden, Turkey, Netherlands, Belgium, Germany, Czech Republic, Slovakia, Cambodia, Indonesia and Australia. The Company orders products significantly in advance of the anticipated time of their sale by the Company. The Company does not have any formal long-term arrangements with any of its suppliers and its arrangements with most manufacturers allow for flexibility in modifying the quantity, composition and delivery dates of orders.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contracts with third parties to manufacture the vast majority of its products.</w:t>
      </w:r>
    </w:p>
    <w:p>
      <w:pPr>
        <w:spacing w:after="0" w:line="21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 Company manufactures its sterling silver products at a leased manufacturing facility in San Germán, Puerto Rico and fills jars and other containers with spices and assembles spice racks at an owned facility in Winchendon, Massachusetts.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markets for kitchenware, tableware and other products used in the home including home décor products are highly competitive and include numerous domestic and foreign competitors, some of which are larger than the Company. The primary competitive factors in selling such products are innovative products, brand, quality, aesthetic appeal to consumers, packaging, breadth of product line, distribution capability and selling price.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 AND LICENSES</w:t>
      </w:r>
    </w:p>
    <w:p>
      <w:pPr>
        <w:spacing w:after="0" w:line="11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 Company owns approximately 1,140 design and utility patents. The Company does not believe that the expiration of any of its patents would have a material adverse effect on either of the Company’s segments.</w:t>
      </w:r>
    </w:p>
    <w:p>
      <w:pPr>
        <w:spacing w:after="0" w:line="15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7"/>
          <w:szCs w:val="17"/>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Company also holds a license to use the KitchenAid brand subject to a license agreement that will expire in December 2026. The Company originally entered into a licensing arrangement for use of the KitchenAid brand in 2000, and has renewed the license, typically for three to four year periods, since that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18"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7"/>
          <w:szCs w:val="17"/>
          <w:color w:val="auto"/>
        </w:rPr>
        <w:t>The Company aspires to hire and retain the best and brightest employees. At December 31, 2022, the Company had approximately 1,260 full-time employees, of whom approximately 140 were located in Asia, 210 were located in Europe and 910 were located in the United States and Puerto Rico. The Company also hires seasonal workers at its distribution centers through temporary staffing agencies. None of the Company’s employees are represented by a labor union or subject to collective bargaining agreements, except as required by local law.</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The Company believes in the importance of the retention, growth and development of our employees. The Company believes it offers competitive compensation and benefits packages to its employees. Further, the Company offers professional development opportunities to cultivate talent throughout the Company. The Company is focused on employee health and safety initiatives and has implemented protocols during the COVID-19 pandemic to enhance workplace safety, including remote work for certain departments. The Company also values diversity and inclusion and is striving to create a more diverse workforce and inclusive community.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and its affiliates are subject to significant regulation by various governmental, regulatory and other administrative authorities.</w:t>
      </w:r>
    </w:p>
    <w:p>
      <w:pPr>
        <w:spacing w:after="0" w:line="217"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As a manufacturer and distributor of consumer products, the Company is subject to the Consumer Products Safety Act in the United States and the Consumer Protection Act in the U.K. Additionally, laws regulating certain consumer products exist in some cities and states, as well as in other countries in which the Company or its subsidiaries and affiliates sell products.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spice filling operation and other certain scale products are regulated by the U.S. Food and Drug Administration.</w:t>
      </w:r>
    </w:p>
    <w:p>
      <w:pPr>
        <w:spacing w:after="0" w:line="217"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The Company’s operations are also subject to national, state and local environmental and health and safety laws and regulations, including those that impose workplace standards and regulate the discharge of pollutants into the environment and establish standards for the handling, generation, emission, release, discharge, treatment, storage and disposal of materials and substances including solid and hazardous wastes.</w:t>
      </w:r>
    </w:p>
    <w:p>
      <w:pPr>
        <w:spacing w:after="0" w:line="165"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Company is subject to risks and uncertainties associated with economic and political conditions around the world, including but not limited to, foreign government regulations, taxes including value-added taxes, import and export duties/tariffs and quotas, anti-dumping regulations, incidents and fears involving security, man-made or natural disasters, health epidemics, terrorism and wars, political unrest and other restrictions on trade and travel.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Company’s business and working capital needs are seasonal with a majority of sales occurring in the third and fourth quarters. In 2022, net sales for the third and fourth quarters accounted for 54% of total annual net sales, respectively. In anticipation of the pre-holiday shipping season, inventory levels increase primarily in the June through October time period.</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The Company’s businesses, operations, liquidity and financial condition are subject to various risks. The Company’s business, financial condition or results of operation could be materially affected by the risks below or additional risks not presently known to the Company or by risks that the Company presently deems immaterial, such as changes in the economy, disruptions due to terrorist activity or man-made or natural disasters, or changes in law or accounting standards. The risks and uncertainties described below are those that the Company considers material as of the date hereof. We have grouped the risk factors into categories for ease of reading, and without any reflection on the importance of, or likelihood of, any particular category.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risks</w:t>
      </w:r>
    </w:p>
    <w:p>
      <w:pPr>
        <w:spacing w:after="0" w:line="215"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business may be materially adversely affected by market conditions and by global and economic conditions and other factors beyond its control.</w:t>
      </w:r>
    </w:p>
    <w:p>
      <w:pPr>
        <w:spacing w:after="0" w:line="4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Company’s performance is affected by general economic factors, the strength of retail economies and political conditions that are beyond its control. Retail economies are impacted by factors such as consumer demand and the condition of the retail industry, which in turn, are affected by general economic factors. These general economic factors include, among others:</w:t>
      </w:r>
    </w:p>
    <w:p>
      <w:pPr>
        <w:spacing w:after="0" w:line="62" w:lineRule="exact"/>
        <w:rPr>
          <w:sz w:val="20"/>
          <w:szCs w:val="20"/>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recession, inflation, deflation, unemployment and other factors adversely affecting consumer spending patterns generally;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affecting the retail environment for the home and other matters that influence consumer spending in the home retail industry specifically;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affecting the housing markets;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credit availability and consumer debt levels;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input costs, including fuel and energy costs, freight costs, and labor cost inflation;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translation;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rates and the ability to hedge interest rate risks;</w:t>
      </w:r>
    </w:p>
    <w:p>
      <w:pPr>
        <w:spacing w:after="0" w:line="113" w:lineRule="exact"/>
        <w:rPr>
          <w:rFonts w:ascii="Times New Roman" w:cs="Times New Roman" w:eastAsia="Times New Roman" w:hAnsi="Times New Roman"/>
          <w:sz w:val="17"/>
          <w:szCs w:val="17"/>
          <w:color w:val="auto"/>
        </w:rPr>
      </w:pPr>
    </w:p>
    <w:p>
      <w:pPr>
        <w:ind w:left="940" w:right="200" w:hanging="318"/>
        <w:spacing w:after="0" w:line="287"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policies including tax policies relating to value-added taxes, import and export duties and quotas, anti-dumping regulations and related tariffs, import and export controls and social compliance standards;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natural disasters, conflicts and terrorist activities;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epidemics, such as the COVID-19 pandemic;</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economic conditions in the United States, the U.K., continental Europe, Asia and elsewhere;</w:t>
      </w:r>
    </w:p>
    <w:p>
      <w:pPr>
        <w:spacing w:after="0" w:line="113" w:lineRule="exact"/>
        <w:rPr>
          <w:rFonts w:ascii="Times New Roman" w:cs="Times New Roman" w:eastAsia="Times New Roman" w:hAnsi="Times New Roman"/>
          <w:sz w:val="17"/>
          <w:szCs w:val="17"/>
          <w:color w:val="auto"/>
        </w:rPr>
      </w:pPr>
    </w:p>
    <w:p>
      <w:pPr>
        <w:ind w:left="940" w:right="260" w:hanging="318"/>
        <w:spacing w:after="0" w:line="287"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unrest, war, terrorism, geopolitical uncertainties, trade policies and sanctions, including the repercussions of the military conflict between Russia and Ukraine;</w:t>
      </w:r>
    </w:p>
    <w:p>
      <w:pPr>
        <w:spacing w:after="0" w:line="48" w:lineRule="exact"/>
        <w:rPr>
          <w:rFonts w:ascii="Times New Roman" w:cs="Times New Roman" w:eastAsia="Times New Roman" w:hAnsi="Times New Roman"/>
          <w:sz w:val="17"/>
          <w:szCs w:val="17"/>
          <w:color w:val="auto"/>
        </w:rPr>
      </w:pPr>
    </w:p>
    <w:p>
      <w:pPr>
        <w:ind w:left="940" w:right="720" w:hanging="318"/>
        <w:spacing w:after="0" w:line="287"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unstable economic and political conditions, lack of legal regulation enforcement, civil unrest and potential accompanying shifts in laws and regulations; and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occurrence of negative events related to any of the foregoing may adversely impact the Company’s results of operations and financial condition</w:t>
      </w:r>
      <w:r>
        <w:rPr>
          <w:rFonts w:ascii="Times New Roman" w:cs="Times New Roman" w:eastAsia="Times New Roman" w:hAnsi="Times New Roman"/>
          <w:sz w:val="17"/>
          <w:szCs w:val="17"/>
          <w:b w:val="1"/>
          <w:bCs w:val="1"/>
          <w:color w:val="auto"/>
        </w:rPr>
        <w:t>.</w:t>
      </w:r>
    </w:p>
    <w:p>
      <w:pPr>
        <w:spacing w:after="0" w:line="215" w:lineRule="exact"/>
        <w:rPr>
          <w:sz w:val="20"/>
          <w:szCs w:val="20"/>
          <w:color w:val="auto"/>
        </w:rPr>
      </w:pPr>
    </w:p>
    <w:p>
      <w:pPr>
        <w:ind w:right="7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results of operations could be negatively impacted by inflation or deflation in supply chain costs, including raw materials, sourcing, transportation and energy</w:t>
      </w:r>
    </w:p>
    <w:p>
      <w:pPr>
        <w:spacing w:after="0" w:line="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designs, sources and sells branded kitchenware, tableware and other homeware goods and relies on third parties to manufacture its products who are, in turn, subject to changes in their underlying manufacturing costs. The Company also relies on third parties for transportation and is exposed to fluctuations in freight costs to transport goods as well as the price of fuel and gasoline. These prices may fluctuate based on a number of factors beyond the Company’s control, including from geopolitical conditions such as the military conflict in Ukraine and resulting sanctions imposed by the U.S. and other countries. Inflation has resulted and could continue to result in significant cost increases. If the Company is unable to mitigate any cost increases from the foregoing factors through various customer pricing actions and cost reduction initiatives, its financial condition may be adversely affected. Conversely, in the event that there is deflation, the Company may experience pressure from its customers to reduce prices. There can be no assurance that the Company would be able to reduce its cost base to offset any such price concessions, which could adversely impact its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be materially adversely affected by the exit of the U.K. from the European Union.</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Net sales attributable to the Company's U.K. domiciled businesses were $45.7 million for the year ended December 31, 2022 and represent approximately 6% of the Company’s consolidated net sales for the period. These operations continue to face risks and potential disruptions related to the withdrawal of the U.K. from the European Union, commonly referred to as “Brexit.” Although the U.K. and the European Union have entered into a trade and cooperation agreement, the long-term nature of the U.K.’s relationship with the European Union remains unclear. For example, Brexit could lead to potentially divergent laws and regulations, such as with respect to data protection and data transfer laws, that could be costly and complicate compliance efforts. While we continue to monitor these developments, the full effect of Brexit on our operations is uncertain and our business could be harmed by trade disputes or political differences between the U.K. and the European Union in the future.</w:t>
      </w:r>
    </w:p>
    <w:p>
      <w:pPr>
        <w:spacing w:after="0" w:line="17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Significant uncertainty remains regarding the impact of the U.K.’s exit from the European Union. The uncertainty surrounding the consequences of the U.K.’s exit could adversely impact the U.K. economy, customers and investor confidence. Such uncertainty may contribute to additional market volatility, including volatility in the value of the U.K. pound and European euro, and may adversely affect the Company’s businesses, results of operations, and financial condition.</w:t>
      </w:r>
    </w:p>
    <w:p>
      <w:pPr>
        <w:spacing w:after="0" w:line="159" w:lineRule="exact"/>
        <w:rPr>
          <w:sz w:val="20"/>
          <w:szCs w:val="20"/>
          <w:color w:val="auto"/>
        </w:rPr>
      </w:pPr>
    </w:p>
    <w:p>
      <w:pPr>
        <w:ind w:right="7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business may be materially adversely affected by the imposition of tariffs and other trade policies implemented by the U.S. and other governments.</w:t>
      </w:r>
    </w:p>
    <w:p>
      <w:pPr>
        <w:spacing w:after="0" w:line="43"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color w:val="auto"/>
        </w:rPr>
        <w:t>A majority of the Company’s products are sourced from vendors in China. During the last few years there have also been significant changes to U.S. trade policies, sanctions, legislation, treaties and tariffs, including, but not limited to, trade policies and tariffs affecting China. These changes have, in certain cases, increased our</w:t>
      </w:r>
    </w:p>
    <w:p>
      <w:pPr>
        <w:spacing w:after="0" w:line="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costs of doing business. In response to the tariffs, the Company may seek to increase prices to its customers, which may diminish demand for its products. The imposition of additional tariffs or other trade barriers could increase our costs in certain markets and may cause our customers to find alternative sourcing or could</w:t>
      </w:r>
    </w:p>
    <w:p>
      <w:pPr>
        <w:spacing w:after="0" w:line="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7"/>
          <w:szCs w:val="17"/>
          <w:color w:val="auto"/>
        </w:rPr>
        <w:t>make it more difficult for us to sell our products in some markets. Other countries where we operate or sell our products have changed, and may continue to change, their own policies on trade as well as business and foreign investment in their respective countries. Additionally, it is possible that U.S. policy changes and</w:t>
      </w:r>
    </w:p>
    <w:p>
      <w:pPr>
        <w:spacing w:after="0" w:line="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uncertainty about such changes could increase market volatility and currency exchange rate fluctuations. As a result of these dynamics, we cannot predict the impact to our business of any future changes to the U.S.’s or other countries’ trading relationships or the impact of new laws or regulations adopted by the U.S. or other countries.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Legislative or regulatory initiatives related to climate change could have a material adverse effect on our business.</w:t>
      </w:r>
    </w:p>
    <w:p>
      <w:pPr>
        <w:spacing w:after="0" w:line="1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Greenhouse gases may have an adverse effect on global temperatures, weather patterns, and the frequency and severity of extreme weather and natural disasters. Such events could have a negative effect on the Company’s business. Concern over climate change may result in new or additional legislative and regulatory requirements to reduce or mitigate the effects of climate change on the environment, which could result in future tax, transportation, and utility increases and could, in turn, have a material adverse effect on the Company’s business. There is also increased focus, including by investors, customers, and other stakeholders, on these and other sustainability matters, including the use of plastic, energy, waste, and worker safety. The Company’s reputation could be damaged if the Company does not, or is perceived to not, act responsibly with respect to sustainability matters, which could also have a material adverse effect on the Company’s business, results of operations, financial position, and cash flows.</w:t>
      </w:r>
    </w:p>
    <w:p>
      <w:pPr>
        <w:spacing w:after="0" w:line="173"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ability to obtain insurance and the terms of any available insurance coverage could be materially adversely affected by macroeconomic and company-specific events, as well as the financial condition of insurers.</w:t>
      </w:r>
    </w:p>
    <w:p>
      <w:pPr>
        <w:spacing w:after="0" w:line="43"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Company is generally not fully insured against all significant losses. For example, the Company is not fully insured against hurricane, earthquake, acts of war, and terrorism related losses. A loss for which the Company is not fully insured could have a material adverse effect on the business, financial condition, results of operations and prospects.</w:t>
      </w:r>
    </w:p>
    <w:p>
      <w:pPr>
        <w:spacing w:after="0" w:line="16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Insurance coverage may not continue to be available or may not be available at rates or on terms similar to those presently available to the Company. The Company's ability to obtain insurance and the terms of any available insurance coverage could be materially adversely affected by international, national, state or local events and company-specific events, as well as the financial condition of insurers. If insurance coverage is not available or obtainable on acceptable terms, the Company may be required to pay costs associated with adverse future events.</w:t>
      </w:r>
    </w:p>
    <w:p>
      <w:pPr>
        <w:spacing w:after="0" w:line="165"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Company must successfully manage the demand, supply, and operational challenges associated with the actual or perceived effects of the COVID-19 pandemic. Any failure to do so could have a material adverse impact on the Company’s business, financial condition, results of operations, cash flows, and competitive position.</w:t>
      </w:r>
    </w:p>
    <w:p>
      <w:pPr>
        <w:spacing w:after="0" w:line="6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COVID-19 pandemic has negatively impacted the global economy and disrupted global supply chains. Continuing concerns over economic and business prospects in the U.S. and other countries have contributed to increased volatility and diminished expectations for the global economy. These factors, coupled with the prospect of decreased business and consumer confidence and increased unemployment resulting from the ongoing COVID-19 pandemic, may precipitate a prolonged economic slowdown and recession.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Given the ongoing and dynamic nature of the COVID-19 virus and the worldwide response related thereto, including the emergence of new variants, the distribution and availability of vaccines and the efficacy thereof, it is difficult to predict the full impact of the ongoing COVID-19 pandemic on the Company’s</w:t>
      </w:r>
    </w:p>
    <w:p>
      <w:pPr>
        <w:spacing w:after="0" w:line="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business. The Company’s business may be unfavorably impacted by the fear of exposure to or actual effects of the COVID-19 pandemic, such as reduced travel or recommendations or mandates from governmental authorities to cease particular business activities.</w:t>
      </w:r>
    </w:p>
    <w:p>
      <w:pPr>
        <w:spacing w:after="0" w:line="1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Although disruptions from the COVID-19 pandemic may continue to occur, the long-term economic impact and near-term financial impact on the Company, including but not limited to, any possible impairment, restructuring and other charges, cannot be reliably quantified or estimated at this time due to the uncertainty of future developments. Despite efforts to manage and remedy the impact of COVID-19, the ultimate impact of COVID-19 could materially and adversely affect the Company’s business, financial condition, results of operations, cash flows and competitive position, and depends on factors beyond the Company’s knowledge or control, including the duration and severity of the COVID-19 pandemic as well as third-party actions taken in response thereto.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financial risks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has substantial indebtedness and the highly seasonal nature of the Company’s business impacts its borrowing needs.</w:t>
      </w:r>
    </w:p>
    <w:p>
      <w:pPr>
        <w:spacing w:after="0" w:line="120"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Company has a substantial amount of indebtedness and is dependent on the availability of its bank loan facilities to finance its liquidity needs. As of December 31, 2022, the Company had $256.3 million of consolidated debt outstanding under a senior secured term loan credit facility (as amended, the “Term Loan”).</w:t>
      </w:r>
    </w:p>
    <w:p>
      <w:pPr>
        <w:spacing w:after="0" w:line="1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The Company's credit agreement, dated as of March 2, 2018 (as amended, the “ABL Agreement” and together with the Term Loan the “Debt Agreements”) provides for, among other things, a maximum aggregate principal amount of $200.0 million and will mature on August 25, 2027 (subject to an earlier springing maturity date that is 90 days prior to the Term Loan maturity date of February 28, 2025 if the Company’s Term Loan has not been repaid or refinanced by such date). The Term Loan will be repaid in quarterly payments of principal equal to 0.25% of the original aggregate principal amount of the Term Loan, which payments commenced June 30, 2018. The Term Loan requires the Company to make an annual mandatory prepayment of principal based upon excess cash flow (the “Excess Cash Flow”), if any. Per the Debt Agreements, when the Company makes an Excess Cash Flow payment, the payment is first applied to satisfy the future quarterly required payments in order of maturity. This amount is recorded in the current maturity of the Term Loan on the consolidated balance sheets. At December 31, 2022, borrowings under the Debt Agreements represented approximately 35% of total capital (indebtedness plus stockholders’ equity).</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In 2018, the Company utilized the proceeds of borrowings under the Debt Agreements (i) to repay in full all existing indebtedness for borrowed money under its former credit agreement and (ii) to finance, in part, the acquisition of Filament, the refinancing of certain indebtedness of Filament and its subsidiaries, and the payment of fees and expenses in connection with the foregoing. The Company may be unable to generate cash sufficient to pay when due the principal of, interest on, or other amounts due with respect to, its indebtedness. In addition, the Company’s business is seasonal with a significant amount of its revenue realized during the latter portion of the year. Therefore, the Company’s borrowing needs fluctuate widely based upon its seasonal working capital requirements.</w:t>
      </w:r>
    </w:p>
    <w:p>
      <w:pPr>
        <w:spacing w:after="0" w:line="17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The Company’s leverage and the effects of seasonal fluctuations in its cash flow, borrowing requirements and ability to borrow could have significant negative consequences on the Company’s financial condition and results of operations, including:</w:t>
      </w:r>
    </w:p>
    <w:p>
      <w:pPr>
        <w:spacing w:after="0" w:line="48" w:lineRule="exact"/>
        <w:rPr>
          <w:sz w:val="20"/>
          <w:szCs w:val="20"/>
          <w:color w:val="auto"/>
        </w:rPr>
      </w:pPr>
    </w:p>
    <w:p>
      <w:pPr>
        <w:ind w:left="940" w:right="480" w:hanging="318"/>
        <w:spacing w:after="0" w:line="270"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impairing the Company’s ability to meet the financial covenants, if and when applicable, contained in the ABL Agreement or to generate cash sufficient to pay interest or principal due under its Debt Agreements, which could result in an acceleration of some or all of the Company’s outstanding debt;</w:t>
      </w:r>
    </w:p>
    <w:p>
      <w:pPr>
        <w:spacing w:after="0" w:line="62" w:lineRule="exact"/>
        <w:rPr>
          <w:rFonts w:ascii="Times New Roman" w:cs="Times New Roman" w:eastAsia="Times New Roman" w:hAnsi="Times New Roman"/>
          <w:sz w:val="17"/>
          <w:szCs w:val="17"/>
          <w:color w:val="auto"/>
        </w:rPr>
      </w:pPr>
    </w:p>
    <w:p>
      <w:pPr>
        <w:ind w:left="940" w:right="520" w:hanging="318"/>
        <w:spacing w:after="0" w:line="28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Company’s ability to borrow money, dispose of assets or sell equity to fund the Company’s working capital, capital expenditures, dividend payments, debt service, strategic initiatives or for other obligations or purposes;</w:t>
      </w:r>
    </w:p>
    <w:p>
      <w:pPr>
        <w:spacing w:after="0" w:line="48" w:lineRule="exact"/>
        <w:rPr>
          <w:rFonts w:ascii="Times New Roman" w:cs="Times New Roman" w:eastAsia="Times New Roman" w:hAnsi="Times New Roman"/>
          <w:sz w:val="17"/>
          <w:szCs w:val="17"/>
          <w:color w:val="auto"/>
        </w:rPr>
      </w:pPr>
    </w:p>
    <w:p>
      <w:pPr>
        <w:ind w:left="940" w:right="320" w:hanging="318"/>
        <w:spacing w:after="0" w:line="28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Company’s flexibility in planning for, or reacting to, changes in the economy, the markets, regulatory requirements, its operations or business;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Company's ability to enter into derivative agreements to hedge interest rate and foreign exchange risk;</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the Company more highly leveraged than some of its competitors, which may place the Company at a competitive disadvantage;</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the Company more vulnerable to downturns in the economy or its business;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a substantial portion of the Company’s cash flow from operations to make interest payments;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it more difficult for the Company to satisfy other obligations;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risking credit rating downgrades of the Company, which could increase future debt costs and limit the future availability of debt financing; and</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940" w:right="140" w:hanging="318"/>
        <w:spacing w:after="0" w:line="287"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the Company from borrowing additional funds as needed or taking advantage of business opportunities as they arise, pay cash dividends or repurchase common stock.</w:t>
      </w:r>
    </w:p>
    <w:p>
      <w:pPr>
        <w:spacing w:after="0" w:line="151"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To the extent the Company incurs additional indebtedness, the risks described above could increase. In addition, the Company’s actual cash requirements in the future may be greater than expected. The Company’s cash flow from operations may not be sufficient to service its outstanding debt or to repay the outstanding debt as it becomes due, and the Company may not be able to borrow money, sell assets or otherwise raise funds on acceptable terms, or at all, to service or refinance its debt.</w:t>
      </w:r>
    </w:p>
    <w:p>
      <w:pPr>
        <w:spacing w:after="0" w:line="165" w:lineRule="exact"/>
        <w:rPr>
          <w:sz w:val="20"/>
          <w:szCs w:val="20"/>
          <w:color w:val="auto"/>
        </w:rPr>
      </w:pPr>
    </w:p>
    <w:p>
      <w:pPr>
        <w:ind w:right="8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failure to meet certain covenants or comply with other requirements of its Debt Agreements may materially and adversely affect the Company’s assets, financial position and cash flows.</w:t>
      </w:r>
    </w:p>
    <w:p>
      <w:pPr>
        <w:spacing w:after="0" w:line="4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 ABL Agreement, under certain circumstances, requires the Company to maintain a certain fixed charge coverage ratio. As a result of this and other covenants within the Debt Agreements, the Company may be limited in its ability to incur additional debt, make investments or undertake certain other business activities. These requirements could limit the Company’s ability to obtain future financing and may prevent the Company from taking advantage of attractive business opportunities. The Company’s ability to meet the covenants or requirements in its Debt Agreements may be affected by events beyond the Company’s control, and the Company may not be able to satisfy such covenants and requirements. A breach of these covenants or the Company’s inability to comply with the restrictions could result in an event of default under the Debt Agreements, which in turn could result in an event of default under the terms of the Company’s other indebtedness. Upon the occurrence of an event of default under the Company’s Debt Agreements, after the expiration of any grace periods, the Company’s lenders could elect to declare all amounts outstanding under the Company’s debt arrangements, together with accrued interest, to be immediately due and payable. If this happens, the Company cannot assure that its assets would be sufficient to repay in full the amounts due under the Debt Agreements or the Company’s other indebtedness.</w:t>
      </w:r>
    </w:p>
    <w:p>
      <w:pPr>
        <w:spacing w:after="0" w:line="170"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borrowings, and discount rate applied to sale of receivables, are subject to interest rate fluctuations and an increase in interest rates could adversely affect the Company’s financial results.</w:t>
      </w:r>
    </w:p>
    <w:p>
      <w:pPr>
        <w:spacing w:after="0" w:line="43"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The Company’s borrowings bear interest at floating rates. An increase in interest rates would adversely affect the Company’s profitability. To the extent that the Company’s access to credit may be restricted because of its own performance, its bank lenders’ performances or conditions in the capital markets generally, the Company would not be able to operate normally.</w:t>
      </w:r>
    </w:p>
    <w:p>
      <w:pPr>
        <w:spacing w:after="0" w:line="165"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The Company’s Receivables Purchase Agreement also depends upon the Secured Overnight Financing rate ("SOFR"), as it is a component of the discount rate applicable to the agreement. If SOFR increases, the Company may not be able to rely on the Receivables Purchase Agreement, which could have a material and adverse effect upon the Company’s financial condition, results of operations and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replacement of the LIBOR benchmark interest rate with SOFR could increase the Company's borrowing costs.</w:t>
      </w:r>
    </w:p>
    <w:p>
      <w:pPr>
        <w:spacing w:after="0" w:line="12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In March 2021, the U.K.’s Financial Conduct Authority (“FCA”), a regulator of financial services firms and financial markets in the U.K., stated that it will plan for a phase out of regulatory oversight of London Inter-Bank Offered Rate (“LIBOR”) interest rates indices beginning as of December 31, 2021. In the United States, the Alternative Reference Rates Committee, a committee convened by the Federal Reserve Board and the Federal Reserve Bank of New York, recommended SOFR plus a recommended spread adjustment as LIBOR's replacement. LIBOR and SOFR have significant differences, such as LIBOR being an unsecured lending rate while SOFR is a secured lending rate, and SOFR being an overnight rate while LIBOR reflects term rates at different maturities.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 is evaluating the impact of the eventual replacement of the LIBOR benchmark interest rate with SOFR as the dominant replacement. Introduction of SOFR may also introduce additional basis risk for market participants as an alternative index is utilized along with LIBOR. There can be no guarantee that SOFR will become widely used and that alternatives may or may not be developed with additional complications. The Company is not able to predict whether the USD LIBOR will cease to be available after June 2023, whether SOFR will become a widely accepted benchmark in place of LIBOR, or what the impact the transition to SOFR may be on the Company's financial condition and results of operations.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On December 28, 2021 the Company entered into Amendment No.1 to amend the ABL Credit Agreement to make certain changes with respect to the interest rate benchmarks (the "Benchmarks") used to calculate the rate on at which interest accrues on the loans, commitments, and/or other extensions of credit under the ABL Credit Agreement. Specifically, the Amendment provides a mechanism for determining an alternative rate of interest upon the occurrence of certain events relating to the availability of LIBOR and/or other applicable Benchmarks provided for in the ABL Credit Agreement. In addition, on December 29, 2022, the Company entered into Amendment No. 1 to amend the Loan Agreement to replace the LIBOR-based interest rates with SOFR-based interest rates and to modify the provisions for determining an alternative rate of interest upon the occurrence of certain events relating to the availability of Benchmark. At this time, the Company is not able to predict the impact that the changes or other reforms relating to SOFR and the Benchmarks rates may have on its financial condition, results of operations and cash flows.</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inability to complete future acquisitions or strategic alliances and/or integrate acquired businesses could have a material adverse effect on the Company’s business and results of operations.</w:t>
      </w:r>
    </w:p>
    <w:p>
      <w:pPr>
        <w:spacing w:after="0" w:line="4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Company has historically achieved growth through acquisitions, investments and joint ventures. The Company seeks acquisition opportunities that complement and expand its operations, some of which are based outside the United States. The Company may not be able to identify and successfully negotiate suitable acquisitions, obtain financing for future acquisitions on satisfactory terms, obtain regulatory approval or otherwise complete acquisitions in the future.</w:t>
      </w:r>
    </w:p>
    <w:p>
      <w:pPr>
        <w:spacing w:after="0" w:line="16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Additionally, the Company may not be able to successfully integrate future acquired businesses into its existing business without substantial costs, delays or other operational or financial difficulties. Potential difficulties the Company may encounter as part of the integration process include the following:</w:t>
      </w:r>
    </w:p>
    <w:p>
      <w:pPr>
        <w:spacing w:after="0" w:line="48" w:lineRule="exact"/>
        <w:rPr>
          <w:sz w:val="20"/>
          <w:szCs w:val="20"/>
          <w:color w:val="auto"/>
        </w:rPr>
      </w:pPr>
    </w:p>
    <w:p>
      <w:pPr>
        <w:ind w:left="940" w:hanging="318"/>
        <w:spacing w:after="0" w:line="28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inability to successfully combine businesses in a manner that permits the Company to achieve the cost synergies expected to be achieved as a result of the consummation of the acquisition and other benefits anticipated to result from the acquisition;</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inability to integrate acquired companies’ products and services;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leveraging the customer information and technology of the two companies;</w:t>
      </w:r>
    </w:p>
    <w:p>
      <w:pPr>
        <w:spacing w:after="0" w:line="113" w:lineRule="exact"/>
        <w:rPr>
          <w:rFonts w:ascii="Times New Roman" w:cs="Times New Roman" w:eastAsia="Times New Roman" w:hAnsi="Times New Roman"/>
          <w:sz w:val="17"/>
          <w:szCs w:val="17"/>
          <w:color w:val="auto"/>
        </w:rPr>
      </w:pPr>
    </w:p>
    <w:p>
      <w:pPr>
        <w:ind w:left="940" w:right="620" w:hanging="318"/>
        <w:spacing w:after="0" w:line="28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effectuating the Company’s diversification strategy, including challenges achieving revenue growth from sales of each company’s products and services to the clients and customers of the other company;</w:t>
      </w:r>
    </w:p>
    <w:p>
      <w:pPr>
        <w:spacing w:after="0" w:line="48" w:lineRule="exact"/>
        <w:rPr>
          <w:rFonts w:ascii="Times New Roman" w:cs="Times New Roman" w:eastAsia="Times New Roman" w:hAnsi="Times New Roman"/>
          <w:sz w:val="17"/>
          <w:szCs w:val="17"/>
          <w:color w:val="auto"/>
        </w:rPr>
      </w:pPr>
    </w:p>
    <w:p>
      <w:pPr>
        <w:ind w:left="940" w:right="300" w:hanging="318"/>
        <w:spacing w:after="0" w:line="270"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clients, employees, lenders, and other constituencies;</w:t>
      </w:r>
    </w:p>
    <w:p>
      <w:pPr>
        <w:spacing w:after="0" w:line="62" w:lineRule="exact"/>
        <w:rPr>
          <w:rFonts w:ascii="Times New Roman" w:cs="Times New Roman" w:eastAsia="Times New Roman" w:hAnsi="Times New Roman"/>
          <w:sz w:val="17"/>
          <w:szCs w:val="17"/>
          <w:color w:val="auto"/>
        </w:rPr>
      </w:pPr>
    </w:p>
    <w:p>
      <w:pPr>
        <w:ind w:left="940" w:right="60" w:hanging="318"/>
        <w:spacing w:after="0" w:line="28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locating and entering into agreements with third-party logistics providers to assist in certain locations or to develop strategies to address inventory surges; and</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unknown liabilities and unforeseen increased expenses or delays associated with the acquisition.</w:t>
      </w:r>
    </w:p>
    <w:p>
      <w:pPr>
        <w:spacing w:after="0" w:line="217"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It is possible that the integration process could result in diversion of the attention of each company’s management, which could adversely affect each company’s ability to maintain relationships with customers, clients, employees, and other constituencies or the Company’s ability to achieve the anticipated benefits of the acquisition, or could reduce each company’s operating results or otherwise adversely affect the Company’s business and financial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variability and currency controls could materially adversely affect the Company’s operating results and financial condition.</w:t>
      </w:r>
    </w:p>
    <w:p>
      <w:pPr>
        <w:spacing w:after="0" w:line="1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The Company’s functional currency is the U.S. dollar. Changes in the relation of foreign currencies to the U.S. dollar will affect the Company’s sales and profitability and can result in exchange losses because the Company has operations and assets located outside the United States. The Company, especially its foreign subsidiaries and affiliates, transacts business in currencies other than the U.S. dollar, primarily U.K. pounds, and to a lesser degree, Chinese renminbi, Euros, Hong Kong dollars, Mexican peso and Canadian dollars. Such transactions affect the Company’s operating results and financial condition. Foreign operations expose the Company to foreign currency fluctuations, for both transactions and financial reporting translation purposes. In the consolidated financial statements, local currency financial results are translated into U.S. dollars based on the exchange rates prevailing during the reporting periods. During times of a strengthening U.S. dollar, the reported revenues and earnings of the Company’s international operations will be reduced because the local currencies will translate into fewer U.S. dollars. As described below, during times of a weakening U.S. dollar, the Company’s costs related to the supplies and inventory it sources internationally will increase.</w:t>
      </w:r>
    </w:p>
    <w:p>
      <w:pPr>
        <w:spacing w:after="0" w:line="1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vast majority of the Company’s inventory is purchased from Chinese suppliers in U.S. dollars, including inventory purchased by the Company’s international operations. As a result, the gross margin from international operations is subject to volatility from movements in exchange rates, which could have an adverse effect on the financial condition and results of operations and profitability from international operations. The Company has entered into foreign exchange derivative contracts to hedge the volatility of exchange rates related to a portion of its international inventory purchases. The Company cannot ensure, however, that these hedges will fully offset the impact of foreign currency rate movements. If the Chinese renminbi should appreciate against the U.S. dollar, the costs of the Company’s products will likely rise over time because of the impact the strengthening renminbi will have on the Company’s cost of sales, and the Company may not be able to pass on these price increases to its customers. The Company is also subject to the risks of currency controls and devaluations. Currency controls may limit the Company’s ability to convert currencies into U.S. dollars or other currencies, as needed, to pay dividends or make other payments from funds held by subsidiaries in countries imposing such controls, which could adversely affect the Company’s liquidity.</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If the Company expands its international operations, it will be subject to increased foreign exchange variability which could have a material adverse effect on the Company’s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business requires it to maintain large fixed costs that can affect its profitability.</w:t>
      </w:r>
    </w:p>
    <w:p>
      <w:pPr>
        <w:spacing w:after="0" w:line="1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business requires it to maintain large distribution facilities in its key markets, which represent high fixed rental costs relating to its leased facilities. In addition, significant portions of the Company’s selling, general and administrative expenses, including leased showrooms, are fixed, as they neither increase nor decrease proportionally with sales. Furthermore, the Company’s gross margins depend, in part, on its ability to spread sourcing costs, of which a significant portion are fixed, over its products sold. Decreased demand or the need to reduce inventories can lower the Company’s ability to absorb certain sourcing costs and adversely affect its results of operations. This is exacerbated by the high degree of seasonality impacting the Company, which results in lower demand during the first two quarters of the year, while many of the operating costs remain fixed, which further affects profitability.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reduction efforts may not be successful and restructuring benefits may not be realized.</w:t>
      </w:r>
    </w:p>
    <w:p>
      <w:pPr>
        <w:spacing w:after="0" w:line="12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 order to operate more efficiently and control costs, the Company may announce restructuring plans from time to time, including workforce reductions, global facility consolidations and other cost reduction initiatives that are intended to generate operating expense savings. The implementation of restructuring plans could be disruptive to the Company’s operations, result in higher than anticipated charges and otherwise adversely affect the Company’s results of operations and financial condition. In addition, the Company’s ability to complete restructuring plans and achieve the anticipated benefits from a plan is subject to estimates and assumptions and may vary materially from the Company’s expectations, including as a result of factors that are beyond the Company’s control. Furthermore, following completion of a restructuring plan, the business may not be more efficient or effective than prior to implementation of the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Company’s goodwill or other long-term assets become impaired, the Company will be required to record impairment charges, which may be significant.</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 portion of the Company’s long-term assets consists of goodwill recorded as a result of the Company’s acquisitions; other identifiable intangible assets, including trade names; and long-lived assets. At December 31, 2022, goodwill, net of accumulated impairment charges totaled $33.2 million; indefinite-lived intangibles assets, net of accumulated impairment charges totaled $49.6 million; finite-lived intangible assets, net of accumulated impairment charges and accumulated amortization totaled $131.1 million. The Company does not amortize goodwill but rather reviews it for impairment on an annual basis or more frequently when events or changes in circumstances indicate that its carrying value may not be recoverable. If the carrying value of a reporting unit exceeds its current fair value as determined based on the discounted future cash flows of the reporting unit or comparable market sales and earnings multiples, the goodwill or intangible asset is considered impaired and is reduced to fair value. Events and conditions that could result in impairment include a prolonged period of global economic weakness, a decline in economic conditions and/or a slow, weak economic recovery, as well as sustained declines in the price of the Company’s common stock, adverse changes in the regulatory environment, adverse changes in the market share of the Company’s products, adverse changes in interest rates, further corporate income tax reforms or other factors leading to reductions in the long-term sales or profitability that the Company expects. Determination of the fair value of a reporting unit includes developing estimates, which are highly subjective and incorporate calculations that are sensitive to minor changes in underlying assumptions. Management’s assumptions change as more information becomes available. Changes in these assumptions could result in an impairment charge in the future, which could have a significant adverse impact on the Company’s reported earnings. If the future operating performance of one or more of the Company’s operating segments does not meet expectations, the Company may be required to record a significant charge during the period in which any impairment of the Company’s goodwill or other long-term assets is determined.</w:t>
      </w:r>
    </w:p>
    <w:p>
      <w:pPr>
        <w:spacing w:after="0" w:line="18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The further recognition of an impairment of the Company’s goodwill or any of the Company’s assets would negatively affect the Company’s results of operations and total capitalization, the effect of which could be material.</w:t>
      </w:r>
    </w:p>
    <w:p>
      <w:pPr>
        <w:spacing w:after="0" w:line="145"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projections of product demand, sales and net income are highly subjective in nature and the Company’s future sales and net income could vary materially from the Company’s projections.</w:t>
      </w:r>
    </w:p>
    <w:p>
      <w:pPr>
        <w:spacing w:after="0" w:line="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From time to time, the Company may provide projections to its stockholders, lenders, the investment community, and other stakeholders of the Company’s future sales and net income. Since the Company does not have long-term purchase commitments from customers and the customer order and shipment process is very short, it is difficult for the Company to accurately predict the demand for many of its products, or the amount and timing of the Company’s future sales and related net income. The Company’s projections are based on management’s best estimate of sales using historical sales data and other information deemed relevant. These projections are highly subjective since sales can fluctuate substantially based on the demands of retail customers and due to other risks described in this Annual Report. Additionally, changes in retailer inventory management strategies could make the Company’s inventory management more difficult. Because the Company’s ability to forecast product demand and the timing of related sales requires significant subjective input, future sales and net income could vary materially from the Company’s projections.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Increases in the cost of employee benefits could materially adversely impact the Company’s financial results and cash flows.</w:t>
      </w:r>
    </w:p>
    <w:p>
      <w:pPr>
        <w:spacing w:after="0" w:line="12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The Company self-insures a substantial portion of the costs of employee healthcare and workers compensation. This could result in higher volatility in the Company’s earnings and exposes the Company to higher financial risks. The Company’s medical costs in recent years have generally increased and other employee demographics could result in an increase in medical costs beyond what the Company has experienced or expects. The Company has stop-loss coverage in place for catastrophic events, but the aggregate impact of a high number of claims up to the Company’s stop-loss limit may have an effect on the Company’s profitability.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are inherent limitations on the effectiveness of the Company’s controls.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 does not expect that its disclosure controls or the Company’s internal controls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are revised, as necessary, due to changes in conditions or deterioration in the degree of compliance with policies or procedures. If in the future the Company’s controls become inadequate, it could fail to meet its financial reporting obligations, its reputation may be adversely affected, its business and operating results could be harmed, and the market price of its stock could decline.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risks</w:t>
      </w:r>
    </w:p>
    <w:p>
      <w:pPr>
        <w:spacing w:after="0" w:line="215"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 faces intense competition from other companies worldwide and if the Company is unable to compete successfully, the Company’s business, results of operations and financial condition could be materially and adversely affected.</w:t>
      </w:r>
    </w:p>
    <w:p>
      <w:pPr>
        <w:spacing w:after="0" w:line="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markets for the Company’s products are intensely competitive with the principal competitive factors being product innovation, brand name, product quality, aesthetic appeal to customers, packaging, breadth of product offerings, distribution capability, delivery time and price. Advantages or disadvantages in any of these competitive factors may be sufficient to cause the customer to consider changing providers of the kinds of products that the Company sells. The Company competes with many other suppliers, some of which are larger than the Company, have greater financial and other resources or employ brands that are more established, have greater consumer recognition or are more favorably perceived by consumers or retailers than the Company’s brands. Some competitors may be willing to reduce prices and accept lower profit margins to compete with the Company. As a result of this competition, the Company could lose market share and sales, or be forced to reduce its prices to meet competition. If the Company’s product offerings are unable to compete successfully, the Company’s business, results of operations and financial condition could be materially and adversely affected.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the Company’s customer purchasing practices could materially adversely affect the Company’s operating results.</w:t>
      </w:r>
    </w:p>
    <w:p>
      <w:pPr>
        <w:spacing w:after="0" w:line="1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The Company’s wholesale customers include mass market merchants, specialty stores, commercial stores, department stores, warehouse clubs, grocery stores, off-price retailers, food service distributors, pharmacies, food and beverage outlets and e-commerce. Unanticipated changes in purchasing and other practices by the Company’s customers, including a customer’s pricing and payment terms, inventory de-stocking, limitations on shelf space, more extensive packaging requirements, changes in order quantities, use of private label brands and other practices, could materially and adversely affect the Company’s business, results of operations and financial condition. In addition, as a result of the desire of retailers to more closely manage inventory levels and optimize their supply chains, there is a growing trend among retailers to evaluate suppliers based on their ability to deliver orders at the quantity and schedule specified, which is known as the "on-time-in-full" delivery metric. Supply-chain complexity and customer demand for on-shelf availability creates additional pressure on delivery performance, which in turn can add strain on distribution channels. The Company’s annual earnings and cash flows also depend to a great extent on the results of operations in the latter half of the year due to the seasonality of its sales. The Company’s success and sales growth is also dependent on its evaluation of consumer preferences and changing trends.</w:t>
      </w:r>
    </w:p>
    <w:p>
      <w:pPr>
        <w:spacing w:after="0" w:line="17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As certain online retailers grow they may continue to demand lower pricing, special packaging, shorter lead times for the delivery of products, smaller more frequent shipments, or impose other requirements on product suppliers. The cost of compliance with customers’ demands could have a material adverse effect on the Company’s business, results of operations and financial condition.</w:t>
      </w:r>
    </w:p>
    <w:p>
      <w:pPr>
        <w:spacing w:after="0" w:line="165"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Many of the Company’s wholesale customers are significantly larger than the Company, have greater financial and other resources and also purchase goods directly from vendors in Asia and elsewhere. Decisions by large customers to increase their purchases directly from overseas vendors could have a material adverse effect on the Company’s business, results of operations and financial condition. Significant changes or financial difficulties, including consolidations of ownership, restructurings, bankruptcies,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liquidations or other events that affect retailers, could result in fewer retailers selling the Company’s products, reliance on a smaller group of customers, an increase in the risk of extending credit to these customers or limitations on the Company’s ability to collect amounts due from these customers. Although the Company has long-established relationships with many of its customers, the Company does not have any long-term supply or binding contracts or guarantees of minimum purchases. Purchases by the Company’s customers are generally made using individual purchase orders. Customers may cancel their orders, change purchase quantities from forecast volumes, delay purchases for a number of reasons beyond the Company’s control or change other terms of their business relationship with the Company. Significant or numerous cancellations, reductions, delays in purchases or changes in business practices by customers could have a material adverse effect on the Company’s business, results of operations and financial condition.</w:t>
      </w:r>
    </w:p>
    <w:p>
      <w:pPr>
        <w:spacing w:after="0" w:line="17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Retailers place great emphasis on timely delivery of products for specific selling seasons, especially during the third fiscal quarter, and on the fulfillment of consumer demand throughout the year. The Company cannot control all of the various factors that might affect product delivery to retailers. Failure to deliver products to the Company’s retailers in a timely and effective manner, often under special vendor requirements to use specific carriers and delivery schedules, could damage the Company’s reputation and brands and result in a loss of customers or reduced orders.</w:t>
      </w:r>
    </w:p>
    <w:p>
      <w:pPr>
        <w:spacing w:after="0" w:line="165"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at the Company’s large customers, or actions taken by them, and consolidation in the retail industry could materially adversely affect the Company’s operating results.</w:t>
      </w:r>
    </w:p>
    <w:p>
      <w:pPr>
        <w:spacing w:after="0" w:line="4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During the years ended December 31, 2022, 2021 and 2020, Wal-Mart Stores, Inc., including Sam’s Club and, in the U.K., Asda Superstore, (“Walmart”), accounted for 19%, 18% and 20% of consolidated net sales, respectively. During the years ended December 31, 2022, 2021 and 2020, sales to Costco Wholesale Corporation (“Costco”) accounted for 13%, 12%, and 11% of consolidated net sales. During the year ended December 31, 2022, 2021 and 2020, Amazon.com Inc., (“Amazon”), accounted for 11%, 12% and 10% of consolidated net sales. Sales to Walmart, Costco and Amazon are included in the Company's U.S. and International segments. No other customers accounted for 10% or more of the Company’s sales during these periods.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material reduction in sales to the aforementioned or other top customers in the aggregate, could have a significant adverse effect on the Company’s business and operating results. In addition, pressures by such customers that would cause the Company to materially reduce the price of its products could result in reduced sales and operating margin. Any significant changes or financial difficulties that affect these customers, such as reduced sales by such customers (whether for reasons that affect a particular customer or the retail industry in general) may also result in reduced demand for the Company’s products. The Company would also be subject to increased credit risk with respect to such customers. In particular, the concentration of the Company’s business with Walmart, Costco and Amazon extends to its international business as well as through Vasconia in Mexico and the Company’s strategic alliance in Canada, due to the market presence of Walmart, Costco and Amazon in these foreign countries. Any changes in purchasing practices or decline in the financial condition, of Walmart, Costco and Amazon or other large customers, may have a material adverse impact on the business, results of operations and financial condition of the Company.</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Company’s large customers also have significant purchasing leverage. Customers may demand lower pricing, special packaging, shorter lead times for the delivery of products or impose other requirements on product suppliers like the Company. These business demands may relate to inventory practices, logistics or other aspects of the customer-supplier relationship. If the Company does not effectively respond to the demands of its customers, they could decrease or eliminate their purchases from the Company. These risks could be exacerbated if such large customers consolidate, or if the Company’s smaller customers consolidate to become larger customers, which would increase their purchasing leverage. A reduction in the purchases of the Company’s products by its wholesale customers or the costs of complying with customer business demands could have a material adverse effect on the Company’s business, financial condition and results of operations.</w:t>
      </w:r>
    </w:p>
    <w:p>
      <w:pPr>
        <w:spacing w:after="0" w:line="17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The Company’s customers could carry products that directly compete with the Company’s products for retail space and consumer purchases. There is a risk that these customers could give higher priority to products of, or form alliances with, the Company’s competitors. The failure of customers to provide the Company’s products with similar or better levels of promotional support and retail space as competitors receive could have a material adverse effect on the Company’s business, results of operations and financial condition.</w:t>
      </w:r>
    </w:p>
    <w:p>
      <w:pPr>
        <w:spacing w:after="0" w:line="165"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spacing w:after="0" w:line="4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The retail environment is highly competitive and rapidly evolving with the increase pace of technological development. Consumers are increasingly embracing shopping online and through mobile commerce applications, and this trend has been significantly increasing in response to the COVID-19 pandemic. As a result, an increasing portion of total consumer expenditures with retailers is occurring online and through mobile commerce applications. This overall trend has negatively affected many brick-and-mortar retailers, which has been exacerbated by the ongoing COVID-19 pandemic. If the Company’s brick-and-mortar retail customers fail to maintain or grow their overall market position through the integration of physical retail presence and digital retail, these customers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may experience financial difficulties including store closures, bankruptcies or liquidations. This could, in turn, substantially reduce the Company’s revenues, increase credit risk and have a material adverse effect on the Company’s results of operations, financial condition and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Company is unable to effectively manage its existing Internet business, the Company's reputation and operating results may be harmed.</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success of the Company’s Internet business depends, in part, on factors over which the Company may have limited control. The Company must successfully respond to changing consumer preferences and buying trends relating to Internet usage. The Company is also vulnerable to certain additional risks and uncertainties associated with the Internet, including: changes in required technology interfaces, website downtime and other technical failures, costs and technical issues as the Company upgrades its website software, computer viruses, changes in applicable federal and state regulations, security breaches, data breaches, and consumer privacy concerns. In addition, the Company must keep up to date with competitive technology trends, including the use of improved technology, creative user interfaces and other Internet marketing tools such as paid search, which may increase its costs and which may not succeed in increasing sales or attracting customers. The Company’s failure to successfully respond to these risks and uncertainties might adversely affect the sales in its Internet business, as well as damage the Company’s reputation and brands.</w:t>
      </w:r>
    </w:p>
    <w:p>
      <w:pPr>
        <w:spacing w:after="0" w:line="169" w:lineRule="exact"/>
        <w:rPr>
          <w:sz w:val="20"/>
          <w:szCs w:val="20"/>
          <w:color w:val="auto"/>
        </w:rPr>
      </w:pPr>
    </w:p>
    <w:p>
      <w:pPr>
        <w:ind w:right="8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Demand for new products and the inability to develop and introduce new competitive products at favorable profit margins could adversely affect the Company’s performance and prospects for future growth.</w:t>
      </w:r>
    </w:p>
    <w:p>
      <w:pPr>
        <w:spacing w:after="0" w:line="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New product introductions and product innovation are significant contributors to the Company’s growth strategy and the Company’s long-term success in the competitive retail environment depends in part on the Company’s ability to develop and market a continuing stream of innovative new products that meet changing consumer preferences. The uncertainties associated with developing and introducing new products, such as the market demands and the costs of development and production may impede the successful development and introduction of new products. Acceptance of the new products may not meet sales expectations due to several factors, such as the Company’s failure to accurately predict market demand or its inability to resolve technical issues in a timely and cost-effective manner. Additionally, the inability to develop new products on a timely basis could result in the loss of business to competitors.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Supply chain risks</w:t>
      </w:r>
    </w:p>
    <w:p>
      <w:pPr>
        <w:spacing w:after="0" w:line="215"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reliance on international suppliers subject the Company to regional regulatory, man-made or natural disasters, health epidemics, political or military conflicts, economic and foreign currency exchange risk that could materially and adversely affect the Company’s operating results.</w:t>
      </w:r>
    </w:p>
    <w:p>
      <w:pPr>
        <w:spacing w:after="0" w:line="4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The Company sources its products from suppliers located principally in Asia, Europe and the United States, which subjects the Company to various risks, including man-made or natural disasters, adverse macroeconomic conditions (including inflation, slower growth, and recession), and foreign currency changes, all of which could create disruptions in our supply chain. Similarly, geopolitical risks, including instability resulting from civil unrest, political demonstrations, strikes and armed conflict or other crises, such as Russia’s invasion of Ukraine, and the resulting sanctions could change the global supply chain dynamics and demand. Additionally, the Company’s vendors in Asia, from whom a substantial majority of the Company’s products are sourced, are located primarily in China, which subjects the Company to regional risks including regulatory, social and other risks in addition to the risks resulting from tensions between the United States and China involving trade policies and certain regulatory actions. The Company’s ability to select and retain reliable vendors and suppliers who provide timely deliveries of quality parts and products efficiently will impact its success in meeting customer demand for timely delivery of quality products. The Company’s sourcing operations and its vendors are impacted by labor costs in China, where labor historically has been readily available at low cost relative to labor costs in North America. However, as China is experiencing rapid social, political and economic changes, labor costs have risen in some regions and labor in China may not continue to be available to the Company at costs consistent with historical levels. Changes in labor or other laws may be enacted, in China or in other countries in which the Company does business, which could have a material adverse effect on the Company’s operations and/or those of the Company’s suppliers. In addition, any indirect supply chain disruptions due to the conflict in Ukraine may further complicate existing supply chain constraints. Changes in currency exchange rates might negatively affect the Company and its overseas vendors’ profitability and business prospects. The Company does not have access to its vendors’ financial information and the Company is unable to assess its vendors’ financial condition, including their liquidity. Interruption of supplies from any of the Company’s vendors, or the loss of one or more key vendors, could have a negative effect on the Company’s business and operating results. A disruption in deliveries to or from suppliers or decreased availability of materials could have an adverse effect on our ability to meet our commitments to customers or increase our operating costs. A disruption from such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suppliers, manufacturers or service providers, capacity constraints, production disruptions, price increases, quality control issues, recalls or other decreased availability of parts and products could adversely affect our ability to meet our commitments to customers and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international trade activity subjects it to transportation risks.</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imports its products for delivery to its distribution centers, as well as arranges for its customers to import goods to which title has passed overseas or at a port of entry. For purchases that are to be delivered to its distribution facilities, the Company arranges for transportation, primarily by sea, from ports in Asia and Europe to ports in the United States, principally New York/Newark/Elizabeth and Los Angeles/Long Beach, and in the U.K., principally Felixstowe. Accordingly, the Company is subject to risks incidental to such transportation. These risks include, but are not limited to, increases in fuel costs, fuel shortages, the availability of ships, increased security restrictions, transportation reroutes in response to geopolitical conflict, work stoppages, weather disruptions and carriers’ ability to provide delivery services to meet the Company’s shipping needs. Transportation disruptions and increased transportation costs could materially adversely affect the Company’s business, results of operations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depends on third-party manufacturers to produce the vast majority of its products, which presents quality control risks to the Company.</w:t>
      </w:r>
    </w:p>
    <w:p>
      <w:pPr>
        <w:spacing w:after="0" w:line="120"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With the exception of the Company’s sterling silver products, the Company sources almost all of its products from suppliers located outside the United States, primarily in China, which restricts the Company’s ability to monitor and control their manufacture of the Company’s goods.</w:t>
      </w:r>
    </w:p>
    <w:p>
      <w:pPr>
        <w:spacing w:after="0" w:line="15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third party manufacturers may not continue to meet the Company’s quality standards, social standards regarding its workforce that are expected in the United States or legislation and regulations that apply to the products the Company contracts to manufacture. There is also no assurance that the Company’s quality control program will adequately audit, analyze and evaluate the quality standards of third party manufacturers. Failure by the Company’s manufacturers to meet these standards could, in turn, increase order cancellations, returns and price concessions and decrease customer demand for the Company’s products. Non-compliance with the Company’s product standards, regulatory requirements or product recall (or other regulatory actions) could have a material adverse effect on the Company’s financial condition, results of operations or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product costs are subject to price fluctuation.</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Various commodities comprise the raw materials used to manufacture the Company’s products. The prices of these commodities have historically fluctuated on a cyclical basis and have often depended on a variety of factors over which the Company has no control. Additionally, labor costs represent a significant component of the Company’s supplier’s manufacturing costs and the Company’s suppliers may increase the prices they charge the Company if they experience rising labor costs. The cost of producing and distributing the Company’s products is also sensitive to energy costs, duties and tariffs. For example, freight costs increased in 2021 and continued to fluctuate in 2022. The Company is unable to determine to what extent, if any, it will be able to pass future cost increases through to its customers. The Company’s inability to come to favorable agreements with its suppliers or to pass increased costs through to the Company’s customers could materially and adversely affect its financial condition or results of operations.</w:t>
      </w:r>
    </w:p>
    <w:p>
      <w:pPr>
        <w:spacing w:after="0" w:line="173"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 widespread outbreak of an illness, such as the ongoing COVID-19 pandemic, or other health issue could negatively affect various aspects of the business, including the Company's supply chain, and make it more difficult and expensive to meet the Company's obligations to its customers, and could result in reduced demand from its customers.</w:t>
      </w:r>
    </w:p>
    <w:p>
      <w:pPr>
        <w:spacing w:after="0" w:line="6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Company's global operations are susceptible to global events, including a widespread outbreak of an illness, such as the ongoing COVID-19 pandemic, or other health issue. As a result of epidemic outbreaks businesses can be shut down, supply chains can be interrupted, slowed, or rendered inoperable, and individuals can become ill, quarantined, or otherwise unable to work and/or travel due to health reasons or governmental restrictions. Epidemic outbreaks could also substantially interfere with general commercial activity related to the Company's supply chain and customer base, which could have a material adverse effect on the Company's financial condition, results of operations, business, or prospects. For example, the Company has experienced disruptions to its supply chain arrangements caused by limited container capacity, increased demand for containers and backlog at U.S. and International ports, as well as distribution centers caused by the loss or disruption of transportation, trucking availability, workforce or other distribution capability.</w:t>
      </w:r>
    </w:p>
    <w:p>
      <w:pPr>
        <w:spacing w:after="0" w:line="179"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7"/>
          <w:szCs w:val="17"/>
          <w:color w:val="auto"/>
        </w:rPr>
        <w:t>If the Company's operations are curtailed and the supply chain continues to be disrupted, the Company may need to seek alternate sources of supply for services and staff, which may be more expensive. Alternate sources may not be available or may result in delays in shipments to the Company from its supply chain and subsequently to the customers, each of which would affect the Company's results of operations. Further, if the customers’ businesses are similarly affected, they might delay or reduce purchases from the Company, which could have a material adverse effect on the Company's results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risks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loss of certain licenses or material changes in royalty rates could materially adversely affect the Company’s operating margin and cash flow.</w:t>
      </w:r>
    </w:p>
    <w:p>
      <w:pPr>
        <w:spacing w:after="0" w:line="1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Significant portions of the Company’s business are dependent on trade names, trademarks and patents, some of which are licensed from third parties. In 2022, sales of licensed brands accounted for approximately 14% of the Company’s gross sales. The Company’s licenses for many of these brands require it to pay royalties based on sales. Many of these license agreements are subject to termination by the licensor, if, for example, the Company fails to satisfy certain minimum sales obligations or breaches the terms of the license. The loss of significant licenses or a material increase in the royalty rates the Company pays or other new terms negotiated upon renewal of such licenses could result in a reduction of the Company’s operating margins and cash flow from operations or otherwise adversely affect its business.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licensor is a joint venture of which the Company is a 50% owner. The other 50% owner of the joint venture has the right to terminate the Company’s license if the Company materially breaches any of the material terms of the license and fails to cure the material breach within 180 days of notice of the breach, if it is determined in an arbitration proceeding that money damages alone would not be sufficient compensation to the licensor and that the breach is so egregious as to warrant termination of the license and forfeiture of the Company’s rights to use the brand under that license agreement. If the Company were to lose the Farberware license for kitchen tools and gadgets, cutlery, cutting boards, shears and certain other products through termination as a result of an uncured breach, its business, results of operations and financial condition would be materially adversely affected.</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Sales of KitchenAid branded products, to a lesser extent, also represent a material portion of the Company’s sales. The Company also holds a license to use the KitchenAid brand subject to a license agreement that will expire in December 2026. The Company originally entered into a licensing arrangement for use of the KitchenAid brand in 2000, and has renewed the license, typically for three-year periods, since that time. Although it expects to be able to renew its current KitchenAid license prior to its expiration, there is no assurance that the Company will be able to do so on reasonable terms, or at all, and any failure to do so could have a material adverse effect on the Company’s business, results of operations and financial condition.</w:t>
      </w:r>
    </w:p>
    <w:p>
      <w:pPr>
        <w:spacing w:after="0" w:line="169"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 may not be able to adequately establish or protect its intellectual property rights, and the infringement or loss of the Company’s intellectual property rights could harm its business.</w:t>
      </w:r>
    </w:p>
    <w:p>
      <w:pPr>
        <w:spacing w:after="0" w:line="4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To establish and protect the Company’s intellectual property rights, the Company relies upon a combination of U.S., foreign and multi-national patent, trademark, copyright and trade secret laws, together with licenses, confidentiality agreements and other contractual arrangements. The measures that the Company takes to protect its intellectual property rights may prove inadequate to prevent third parties from infringing or misappropriating the Company’s intellectual property, or from breaching their contractual obligations to the Company.</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The Company has obtained and applied for numerous U.S. and foreign trademark, service mark and patent registrations, and will continue to evaluate the registration of additional marks, patents or other intellectual property, as appropriate. The Company cannot guarantee that any of its pending applications will be approved by the applicable governmental authorities. Moreover, even if such applications are approved, third parties may seek to oppose, declare invalid or otherwise challenge these registrations. Failure to obtain registrations for the Company’s intellectual property in the United States and other countries could limit the Company’s ability to protect its intellectual property rights and impede the Company’s marketing efforts and operations in those jurisdictions.</w:t>
      </w:r>
    </w:p>
    <w:p>
      <w:pPr>
        <w:spacing w:after="0" w:line="17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The Company may need to resort to litigation to enforce or defend its intellectual property rights. If a competitor or collaborator files a patent application claiming technology also claimed by the Company, or a trademark application claiming a trademark, service mark or trade dress also used by the Company, in order to protect the Company’s rights, the Company may have to participate in opposition or interference proceedings before the U.S. Patent and Trademark Office or a similar foreign agency. The Company cannot guarantee that the operation of its business does not infringe or otherwise violate the intellectual property rights of third parties, and the Company’s intellectual property rights may be challenged by third parties or invalidated through administrative process or litigation. The costs associated with protecting intellectual property rights, including costs associated with litigation or administrative proceedings, may be material and there can be no assurance that any such litigation or administrative proceedings will be successful. Any such matters or proceedings could be burdensome, divert the time and resources of the Company’s personnel and the Company may not prevail. Furthermore, even if the Company’s intellectual property rights are not directly challenged, disputes among third parties could lead to the weakening or invalidation of the Company’s intellectual property rights, or other parties such as the Company’s competitors may independently develop technologies that are substantially equivalent or superior to the Company’s technology.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laws of certain foreign countries in which the Company operates or may operate in the future do not protect, and the governments of certain foreign countries do not enforce, intellectual property rights to the same extent as do the laws and government of the U.S., which may negate the Company’s competitive or technological advantages in such markets. Moreover, any repeal or weakening of intellectual property laws or enforcement of those laws in the United States or foreign jurisdictions could make it more difficult for the Company to adequately protect its intellectual property rights, negatively impacting their value and increasing the cost of enforcing the Company’s rights. If the Company is unable to establish or adequately protect its intellectual property rights, the Company’s business, financial condition and results of operations could be materially and adversely affected.</w:t>
      </w:r>
    </w:p>
    <w:p>
      <w:pPr>
        <w:spacing w:after="0" w:line="167"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Company is unable to protect the confidentiality of its proprietary information and know-how, the value of the Company’s technology, products and services could be harmed significantly.</w:t>
      </w:r>
    </w:p>
    <w:p>
      <w:pPr>
        <w:spacing w:after="0" w:line="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addition to registered intellectual property, the Company relies on know-how and other proprietary information in operating its business. If this information is not adequately protected, then it may be disclosed or used in an unauthorized manner. To the extent that consultants, vendors, key employees or other third parties apply technology independently developed by them or by others to the Company’s proposed products in the absence of a valid license or suitable non-disclosure or assignment of inventions provisions, disputes may arise as to the ownership of or rights to use such technology, which may not be resolved in the Company’s favor. If other parties breach confidentiality or other agreements, or if the Company’s registered intellectual property is not protected in the U.S. or foreign jurisdictions, this could harm the Company by enabling the Company’s competitors and other entities, who may have greater experience and financial resources, to copy or use the Company’s proprietary information in the advancement of their products, methods or technologies.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brands are subject to reputational risks and damage to the Company’s brands or reputation could adversely affect its business.</w:t>
      </w:r>
    </w:p>
    <w:p>
      <w:pPr>
        <w:spacing w:after="0" w:line="12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7"/>
          <w:szCs w:val="17"/>
          <w:color w:val="auto"/>
        </w:rPr>
        <w:t>The Company’s brands and its reputation are among its most important assets. The Company’s ability to attract and retain customers depends, in part, upon external perceptions of the Company, the quality of its products and its corporate and management integrity. The consumer goods industry is by its nature more prone to reputational risks than other industries. This has been compounded in recent years by the free flow of unverified information on the Internet and, in particular, on social media. Damage to the Company’s brands or reputation or negative publicity or perceptions about the Company could adversely affect its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Operational and regulatory risks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Interruptions in the Company’s operations caused by outside forces could cause material losses.</w:t>
      </w:r>
    </w:p>
    <w:p>
      <w:pPr>
        <w:spacing w:after="0" w:line="1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worldwide operations could be subject to natural and man-made disasters, telecommunications failures, water shortages, tsunamis, floods, earthquakes, hurricanes, typhoons, fires, extreme weather conditions, conflicts, acts of terrorism, health epidemics and other business interruptions. The occurrence of any of these business disruptions could seriously harm the Company’s business, revenue and financial condition and increase the Company’s costs and expenses. If the Company’s or its manufacturers’ warehousing facilities or transportation facilities are damaged or destroyed, the Company would be unable to distribute products on a timely basis, which could harm the Company’s business. The Company’s back-up operations may be inadequate, and the Company’s business interruption insurance may not be sufficient to compensate for any losses that may occur.</w:t>
      </w:r>
    </w:p>
    <w:p>
      <w:pPr>
        <w:spacing w:after="0" w:line="167"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international operations present special challenges that the Company may not be able to meet, and this could materially and adversely affect the Company’s financial results.</w:t>
      </w:r>
    </w:p>
    <w:p>
      <w:pPr>
        <w:spacing w:after="0" w:line="4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The Company conducts business outside of the United States through subsidiaries, affiliates and joint ventures. These entities have operations and assets in the U.K., Mexico, Netherlands, Canada, China and Hong Kong. Therefore, the Company is subject to increases and decreases in its investments in these entities resulting from the impact of fluctuations in foreign currency exchange rates. These entities also bear risks similar to those risks faced by the Company. However, there are specific additional risks related to these organizations, such as the failure of the Company’s partners or other investors to meet their obligations and higher credit and liquidity risks related to thinly capitalized entities. Failure of these entities or the Company’s vendors to adhere to required regulatory or other standards, including social compliance standards, could materially and adversely impact the Company’s reputation and business.</w:t>
      </w:r>
    </w:p>
    <w:p>
      <w:pPr>
        <w:spacing w:after="0" w:line="173"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In addition, the Company sells its products in foreign countries and seeks to increase its level of international business activity. Accordingly, the Company is subject to various risks, including:</w:t>
      </w:r>
    </w:p>
    <w:p>
      <w:pPr>
        <w:spacing w:after="0" w:line="48" w:lineRule="exact"/>
        <w:rPr>
          <w:sz w:val="20"/>
          <w:szCs w:val="20"/>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U.S.-imposed embargoes of sales to specific countries;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import controls (which may be arbitrarily imposed or enforced);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regulations and duties;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export regulations (which require the Company to comply with stringent licensing regimes);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anti-dumping regulations;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currency controls;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rate fluctuations;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remittance restrictions;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expropriation of assets;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civil uprisings and riots;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instability;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necessity of obtaining governmental approval for new and continuing products and operations;</w:t>
      </w:r>
    </w:p>
    <w:p>
      <w:pPr>
        <w:spacing w:after="0" w:line="113"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systems or decrees, laws, taxes, regulations, interpretations and court decisions that are not always fully developed and that may be retroactively or arbitrarily applied;</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and integration of the Company's European operations;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epidemics;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income taxes, excise duties, import taxes, export taxes or other governmental assessments</w:t>
      </w:r>
    </w:p>
    <w:p>
      <w:pPr>
        <w:spacing w:after="0" w:line="113" w:lineRule="exact"/>
        <w:rPr>
          <w:rFonts w:ascii="Times New Roman" w:cs="Times New Roman" w:eastAsia="Times New Roman" w:hAnsi="Times New Roman"/>
          <w:sz w:val="17"/>
          <w:szCs w:val="17"/>
          <w:color w:val="auto"/>
        </w:rPr>
      </w:pPr>
    </w:p>
    <w:p>
      <w:pPr>
        <w:ind w:left="940" w:right="440" w:hanging="318"/>
        <w:spacing w:after="0" w:line="287"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locating and entering into agreements with third-party logistics providers to assist in certain locations outside the United States. In addition, the development of additional distribution space abroad involves significant financial and operational risks; and</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a global enterprise.</w:t>
      </w:r>
    </w:p>
    <w:p>
      <w:pPr>
        <w:spacing w:after="0" w:line="2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Any significant violations of regulations or the occurrence of the events listed above could result in civil or criminal sanctions or the loss of export or other licenses, which could have a material adverse effect on the Company’s business, results of operations and financial condition. In addition, the Company’s organizational structure may limit its ability to transfer funds between countries, particularly into and out of the United States, without incurring adverse tax consequences. Any of these events could result in a loss of business or other unexpected costs that could reduce sales or profits and have a material adverse effect on the Company’s financial condition, results of operations and cash flows.</w:t>
      </w:r>
    </w:p>
    <w:p>
      <w:pPr>
        <w:spacing w:after="0" w:line="16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Company is subject in the ordinary course of its business, in the United States and elsewhere, to many statutes, ordinances, rules and regulations that, if violated by the Company or its affiliates, partners or vendors, could have a material adverse effect on the Company’s business. The Company is required to comply with the United States Foreign Corrupt Practices Act (“FCPA”), the U.K. Bribery Act and similar anti-bribery, anti-corruption and anti-kickback laws adopted in many of the countries in which the Company does business that prohibit the Company from engaging in bribery or making other prohibited payments to foreign officials for the purpose of obtaining or retaining business and also require maintenance of adequate record-keeping and internal accounting practices to accurately reflect transactions. Under the FCPA, companies operating in the United States may be held liable for actions taken by their strategic or local partners or representatives. The U.K. Bribery Act is broader in scope than the FCPA in that it directly addresses commercial bribery in addition to bribery of government officials and it does not recognize certain exceptions, notably facilitation payments that are permitted by the FCPA. Civil and criminal penalties may be imposed for violations of these laws. In many of the countries in which the Company operates, particularly those with developing economies, it is or has been common for government officials and businesses to engage in business practices that are prohibited by these laws. If the Company does not properly implement and maintain practices and controls with respect to compliance with applicable anti-corruption, anti-bribery and anti-kickback laws, or if the Company fails to enforce those practices and controls properly, the Company may be subject to regulatory sanctions, including administrative costs related to governmental and internal investigations, civil and criminal penalties, injunctions and restrictions on the Company’s business and capital raising activities, any of which could materially and adversely affect the Company’s business, results of operations and financial condition. The Company’s employees, distributors, dealers and other agents could engage in conduct that is not in compliance with such laws for which the Company might be held responsible. If the Company’s employees, distributors, dealers or other agents are found to have engaged in illegal practices, the Company could suffer substantial penalties and the reputation, business, results of operations and financial condition of the Company could be materially adversely affected.</w:t>
      </w:r>
    </w:p>
    <w:p>
      <w:pPr>
        <w:spacing w:after="0" w:line="176"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New and future laws and regulations governing the Internet and e-commerce could have a material adverse effect on the Company’s business, results of operations and financial condition.</w:t>
      </w:r>
    </w:p>
    <w:p>
      <w:pPr>
        <w:spacing w:after="0" w:line="4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 Company is subject to laws and regulations governing the Internet and e-commerce. These existing and future laws and regulations may impede the growth of the Internet, e-commerce or other online services. These regulations and laws may cover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 xml:space="preserve">taxation, user privacy, data protection, pricing, content, copyrights, distribution, electronic contracts and other communications, consumer protection, the provision of online payment services, broadband residential Internet access and the characteristics and quality of products and services. It is not clear how existing laws governing issues such as property ownership, sales and other taxes, and personal privacy apply to the Internet and e-commerce. Unfavorable resolutions of these issues could diminish the demand for the Company’s products on the Internet and increase the cost of doing business. For example, in 2018, the U.S. Supreme Court ruling in </w:t>
      </w:r>
      <w:r>
        <w:rPr>
          <w:rFonts w:ascii="Times New Roman" w:cs="Times New Roman" w:eastAsia="Times New Roman" w:hAnsi="Times New Roman"/>
          <w:sz w:val="17"/>
          <w:szCs w:val="17"/>
          <w:i w:val="1"/>
          <w:iCs w:val="1"/>
          <w:color w:val="auto"/>
        </w:rPr>
        <w:t>South Dakota v. Wayfair, Inc. et al reversed longstanding precedent that remote sellers are not required to collect state and local sales taxes</w:t>
      </w:r>
      <w:r>
        <w:rPr>
          <w:rFonts w:ascii="Times New Roman" w:cs="Times New Roman" w:eastAsia="Times New Roman" w:hAnsi="Times New Roman"/>
          <w:sz w:val="17"/>
          <w:szCs w:val="17"/>
          <w:color w:val="auto"/>
        </w:rPr>
        <w:t xml:space="preserve"> and established that a state may enforce or adopt laws requiring online retailers to collect and remit sales tax if there is a substantial nexus between the online retailer’s activity and the state, even if the retailer has no physical presence within the taxing state. While the Company now collect, remits and reports sales tax in states that it does business, it is possible that Company’s effective income tax rate, the cost of the Company’s e-commerce business, and the growth of its e-commerce business could be materially adversely effected other new laws or regulations governing the internet and e-commerce. This potential negative impact on the Company’s e-commerce business could have a material adverse effect on the Company’s overall business, results of operations and financial condition.</w:t>
      </w:r>
    </w:p>
    <w:p>
      <w:pPr>
        <w:spacing w:after="0" w:line="170"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Climate change, environmental, social and governance and sustainability initiatives may result in regulatory or structural industry changes that could require significant operational changes and expenditures, reduce demand for the Company’s products and adversely affect our business, financial condition, and results of operations.</w:t>
      </w:r>
    </w:p>
    <w:p>
      <w:pPr>
        <w:spacing w:after="0" w:line="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Greenhouse gases may have an adverse effect on global temperatures, weather patterns, and the frequency and severity of extreme weather and natural disasters. Such events could have a negative effect on our business. Concern over climate change may result in new or additional legislative and regulatory requirements to reduce or mitigate the effects of climate change on the environment, which could result in future tax, transportation cost, and utility increases. Moreover, natural disasters and extreme weather conditions may impact the productivity of our facilities, the operation of our supply chain, or consumer buying patterns. Any of these risks could have a material adverse effect on our business.</w:t>
      </w:r>
    </w:p>
    <w:p>
      <w:pPr>
        <w:spacing w:after="0" w:line="17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Climate change, environmental, social and governance and sustainability initiatives may result in regulatory or structural industry changes that could require significant operational changes and expenditures, reduce demand for the Company’s products and adversely affect our business, financial condition, and results of operations.</w:t>
      </w:r>
    </w:p>
    <w:p>
      <w:pPr>
        <w:spacing w:after="0" w:line="16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Climate change, environmental, social and governance (“ESG”) and sustainability are a growing global movement. Continuing political and social attention to these issues has resulted in both existing and pending international agreements and national, regional and local legislation, regulatory measures, reporting obligations and policy changes. Also, there is increasing societal pressure in some of the areas where we operate, to limit greenhouse gas emissions as well as other global initiatives. These agreements and measures, including the Paris Climate Accord, may require, or could result in future legislation, regulatory measures or policy changes that would require operational changes, taxes, or purchases of emission credits to reduce emission of greenhouse gases from our operations, which may result in substantial capital expenditures.</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Furthermore, increasing attention to climate change, ESG and sustainability has resulted in governmental investigations, and public and private litigation, which could increase our costs or otherwise adversely affect our business or results of operations. 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which could have a negative impact on the price of our securities and our access to and costs of capital.</w:t>
      </w:r>
    </w:p>
    <w:p>
      <w:pPr>
        <w:spacing w:after="0" w:line="17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Any or all of these ESG and sustainability initiatives may result in significant operational changes and expenditures, reduced demand for our products, cause us reputational harm, and could materially adversely affect our business, financial condition, and results of operations.</w:t>
      </w:r>
    </w:p>
    <w:p>
      <w:pPr>
        <w:spacing w:after="0" w:line="145"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failure in or compromise of the Company’s operating systems or infrastructure or those of third parties could disrupt the Company’s business and cause losses.</w:t>
      </w:r>
    </w:p>
    <w:p>
      <w:pPr>
        <w:spacing w:after="0" w:line="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relies on many information technology systems for the operation of its principal business functions, including, but not limited to, the Company’s enterprise resource planning, warehouse management, inventory forecast and ordering and call center systems. In the case of the Company’s inventory forecast and ordering system, most of the Company’s orders are received directly through electronic connections with the Company’s largest customers. Additionally, the success of certain product categories in a competitive marketplace is dependent upon the creation and launch of new, innovative products. Accordingly, to keep pace within a competitive retail environment, the Company uses and will continue to evaluate new technologies to improve the efficiency of designing new innovative products. The failure or compromise of any of these systems or technologies could have a material adverse effect on the Company’s business and results of operations.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subject to cyber security risks and may incur increasing costs in efforts to minimize those risks and to comply with regulatory standards.</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employs information technology systems and operates websites which allow for the secure storage and transmission of proprietary or confidential information regarding the Company’s customers, employees and others, including credit card information and personal identification information. The Company has made significant efforts to secure its computer network to mitigate the risk of possible cyber-attacks, including, but not limited to, data breaches, and is continuously working to upgrade its existing information technology systems and provide employee awareness training around phishing, malware, and other cyber risks to ensure that the Company is protected, to the greatest extent possible, against cyber risks and security breaches. Despite our continuous efforts to ensure the security of the Company’s computer networks, any future cyber incidents could compromise our information technology systems, which could impact operations and confidential information could be misappropriated, which could lead to negative publicity, loss of sales and profits or cause the Company to incur significant costs to reimburse third- parties for damages, which could adversely impact profits.</w:t>
      </w:r>
    </w:p>
    <w:p>
      <w:pPr>
        <w:spacing w:after="0" w:line="1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Additionally, the Company must comply with increasingly complex and rigorous regulatory standards enacted to protect businesses and personal data, including the General Data Protection Regulation (“GDPR”) and the California Consumer Privacy Act. GDPR is a comprehensive European Union privacy and data protection reform, effective in 2018, which applies to companies that are organized in the European Union or otherwise provide services to consumers who reside in the European Union, and imposes strict standards regarding the sharing, storage, use, disclosure and protection of end user data and significant penalties (monetary and otherwise) for non-compliance. The California Consumer Privacy Act, which became effective in January 2020, created new data privacy rights, including a new private right of action for data breaches and requires companies that process information on California residents to make new disclosures to consumers about their data collection, use and sharing practices and allow consumers to opt out of certain data sharing with third parties. Any failure to comply with GDPR, the California Consumer Privacy Act, or other regulatory standards, could subject the Company to legal and reputational risks. Misuse of or failure to secure personal information could also result in violation of data privacy laws and regulations, proceedings against the Company by governmental entities or others, damage to the Company’s reputation and credibility, and could have a material adverse effect on the Company’s business and results of operations.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Company is in the process of transitioning the Company's Systems, Applications and Products and other critical systems to cloud-based technologies. As the Company transitions to cloud-based technologies, the Company may be exposed to additional cyber threats as the Company migrates from legacy systems to cloud-based solutions. The Company's increased dependence on third parties for cloud-based systems may also subject the Company to further cyber threats, such as the identified Log4J vulnerability. There can be no assurance that the Company will not suffer a material adverse effect resulting from vulnerabilities in widely deployed software used by third parties.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sells consumer products which involve an inherent risk of product liability claims.</w:t>
      </w:r>
    </w:p>
    <w:p>
      <w:pPr>
        <w:spacing w:after="0" w:line="12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7"/>
          <w:szCs w:val="17"/>
          <w:color w:val="auto"/>
        </w:rPr>
        <w:t>The marketing of certain of the Company’s consumer products involve an inherent risk of product liability claims or recalls or other regulatory or enforcement actions initiated by the U.S. Consumer Product Safety Commission, by the Office of Fair Trading in the U.K., by other regulatory authorities or through private causes of action. The Company has in the past, and may have in the future, recalls (both voluntary and involuntary) of its products. Any defects in products the Company markets could harm the Company’s reputation, adversely affect its relationship with its customers and decrease market acceptance of the Company’s products and the strength of the brand names under which the Company markets such products. Potential product liability claims may exceed the amount of the Company’s insurance coverage (which is subject to self-insured retention amounts) and could materially damage the Company’s business and its financial condition. Additionally, the Company’s product standards could be impacted by new or revised environmental rules and regulations or other social initiatives.</w:t>
      </w:r>
    </w:p>
    <w:p>
      <w:pPr>
        <w:spacing w:after="0" w:line="173" w:lineRule="exact"/>
        <w:rPr>
          <w:sz w:val="20"/>
          <w:szCs w:val="20"/>
          <w:color w:val="auto"/>
        </w:rPr>
      </w:pPr>
    </w:p>
    <w:p>
      <w:pPr>
        <w:ind w:right="4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 may incur material costs due to environmental liabilities which could have a material adverse effect on the Company’s business, financial condition and results of operations.</w:t>
      </w:r>
    </w:p>
    <w:p>
      <w:pPr>
        <w:spacing w:after="0" w:line="4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Company is subject to a broad range of federal, state, local, foreign and multi-national laws and regulations relating to the environment. These include laws and regulations that govern:</w:t>
      </w:r>
    </w:p>
    <w:p>
      <w:pPr>
        <w:spacing w:after="0" w:line="48" w:lineRule="exact"/>
        <w:rPr>
          <w:sz w:val="20"/>
          <w:szCs w:val="20"/>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discharges into the air, water and land;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handling and disposal of solid and hazardous substances and wastes;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remediation of contamination associated with release of hazardous substances at the Company’s facilities and at off-site disposal locations.</w:t>
      </w:r>
    </w:p>
    <w:p>
      <w:pPr>
        <w:spacing w:after="0" w:line="2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may incur material costs to comply with increasingly stringent environmental laws and enforcement policies. Moreover, there are proposed international accords and treaties, as well as federal, state and local laws and regulations, which would attempt to control or limit the causes of climate change, including the effect of greenhouse gas emissions on the environment. In the event that the U.S. government or foreign governments enact new climate change laws or regulations or make changes to existing laws or</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regulations, compliance with applicable laws or regulations may result in increased manufacturing costs for the Company’s products, such as by requiring investment in new pollution control equipment or changing the ways in which certain of the Company’s products are made. The Company may incur some of these costs directly and others may be passed on to the Company from its third-party suppliers. The Company also may incur costs associated with government inquiries and investigations. For example, in August 2021 a wholly-owned subsidiary of the Company received a Notice of Liability from the Department of Justice on behalf of the EPA, and in September 2021, the subsidiary submitted a good faith offer to conduct additional testing and remedial design, which is under consideration by the EPA. For further discussion of the Company's legal proceedings refer to NOTE 14 — COMMITMENTS AND CONTINGENCIES to the Company's consolidated financial statements included in this Annual Report on Form 10-K. Any failure by the Company to be in compliance with applicable environmental laws and regulations or any new laws and regulations in the future could have a material adverse effect on the Company’s business, financial condition and results of operations.</w:t>
      </w:r>
    </w:p>
    <w:p>
      <w:pPr>
        <w:spacing w:after="0" w:line="173"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 executives and other key employees are critical to the Company’s success. The loss of and/or failure to attract and maintain its highly skilled employees could adversely affect the Company’s business.</w:t>
      </w:r>
    </w:p>
    <w:p>
      <w:pPr>
        <w:spacing w:after="0" w:line="4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The Company’s success depends, in part, on the efforts and skills of its executives and other key employees. The Company’s key employees are experienced and highly qualified in the housewares industry. The loss of any of the Company’s executive officers or other key employees could harm the business and the Company’s ability to timely achieve its strategic initiatives. The Company’s success also depends, in part, on its ability to identify, hire and retain other skilled personnel. The Company’s industry is characterized by a high level of employee mobility and aggressive recruiting among competitors for personnel with successful track records as well as growing pressure to increase wages for skilled personnel in the industry. The Company may not be able to attract and retain skilled personnel or may incur significant costs in order to do so.</w:t>
      </w:r>
    </w:p>
    <w:p>
      <w:pPr>
        <w:spacing w:after="0" w:line="167" w:lineRule="exact"/>
        <w:rPr>
          <w:sz w:val="20"/>
          <w:szCs w:val="20"/>
          <w:color w:val="auto"/>
        </w:rPr>
      </w:pPr>
    </w:p>
    <w:p>
      <w:pPr>
        <w:ind w:right="6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As a result of the Company’s acquisition of Filament, Taylor Parent has significant influence over the Company and its interests may conflict with the Company’s or its stockholders in the future.</w:t>
      </w:r>
    </w:p>
    <w:p>
      <w:pPr>
        <w:spacing w:after="0" w:line="43"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As a result of the issuance of common stock to Taylor Parent, Taylor Parent has significant influence over the Company. Going forward, Taylor Parent’s degree of control will depend on, among other things, its level of ownership of the Company’s common stock and its ability to exercise certain rights under the terms of the Stockholders Agreement that the Company entered into with Taylor Parent in connection with the acquisition and merger agreement.</w:t>
      </w:r>
    </w:p>
    <w:p>
      <w:pPr>
        <w:spacing w:after="0" w:line="16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7"/>
          <w:szCs w:val="17"/>
          <w:color w:val="auto"/>
        </w:rPr>
        <w:t>Under the Stockholders Agreement, for so long as Taylor Parent continues to beneficially own at least 50% of the shares it received at the consummation of the acquisition, neither the Company nor any of its subsidiaries may take any of the following actions without the approval of the directors designated by Taylor Parent, such approval not to be unreasonably withheld: (i) enter into any agreement for a transaction that would result in a change of control of the Company;</w:t>
      </w:r>
    </w:p>
    <w:p>
      <w:pPr>
        <w:ind w:right="40" w:firstLine="3"/>
        <w:spacing w:after="0" w:line="254" w:lineRule="auto"/>
        <w:tabs>
          <w:tab w:leader="none" w:pos="25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consummate any transaction for the sale of all or substantially all of the Company’s assets; (iii) file for reorganization pursuant to Chapter 11, or for liquidation pursuant to Chapter 7, of the U.S. Bankruptcy Code; (iv) liquidate or dissolve the business and affairs of the Company; (v) take any Board of Directors action to seek an amendment to the Company’s Certificate of Incorporation or approve, or recommend that the Company’s stockholders approve, an amendment to the Company’s Amended and Restated Bylaws, except as required by Delaware Law (as defined in the merger agreement) or other applicable law and other than amendments that would not materially and disproportionately affect Taylor Parent; (vi) incur additional debt in excess of $100 million in the aggregate, subject to certain exceptions; (vii) acquire or dispose of assets or a business, in each case with an individual value in excess of $100 million; (viii) terminate the employment of the Chief Executive Officer, other than for cause (in which case the Company shall consult in good faith with Taylor Parent on a replacement Chief Executive Officer); or (ix) adopt a stockholder rights plan that does not exempt as “grandfathered persons” the stockholders party to the Stockholders Agreement and their affiliates from being deemed “acquiring persons” due to their beneficial ownership of the common stock of the Company upon the public announcement of adoption of such stockholder rights plan (it being understood that no such plan shall restrict any stockholder party to the Stockholders Agreement or its affiliates from acquiring, in the aggregate, common stock up to the level of their aggregate percentage beneficial ownership as of the public announcement of the adoption of such stockholder rights plan).</w:t>
      </w:r>
    </w:p>
    <w:p>
      <w:pPr>
        <w:spacing w:after="0" w:line="18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Accordingly, Taylor Parent’s influence over the Company and the consequences of such control could have a material adverse effect on the Company’s business and business prospects and negatively impact the trading price of its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lists the principal properties at which the Company operated its business at December 31, 2022:</w:t>
      </w:r>
    </w:p>
    <w:p>
      <w:pPr>
        <w:sectPr>
          <w:pgSz w:w="11900" w:h="16838" w:orient="portrait"/>
          <w:cols w:equalWidth="0" w:num="1">
            <w:col w:w="11220"/>
          </w:cols>
          <w:pgMar w:left="320" w:top="123" w:right="35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44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3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r>
      <w:tr>
        <w:trPr>
          <w:trHeight w:val="209"/>
        </w:trPr>
        <w:tc>
          <w:tcPr>
            <w:tcW w:w="3300" w:type="dxa"/>
            <w:vAlign w:val="bottom"/>
          </w:tcPr>
          <w:p>
            <w:pPr>
              <w:ind w:left="20"/>
              <w:spacing w:after="0" w:line="208" w:lineRule="exact"/>
              <w:rPr>
                <w:sz w:val="20"/>
                <w:szCs w:val="20"/>
                <w:color w:val="auto"/>
              </w:rPr>
            </w:pPr>
            <w:r>
              <w:rPr>
                <w:rFonts w:ascii="Times New Roman" w:cs="Times New Roman" w:eastAsia="Times New Roman" w:hAnsi="Times New Roman"/>
                <w:sz w:val="17"/>
                <w:szCs w:val="17"/>
                <w:color w:val="auto"/>
              </w:rPr>
              <w:t xml:space="preserve">Rialto, California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 Coast warehouse and distribution facility</w:t>
            </w:r>
          </w:p>
        </w:tc>
      </w:tr>
      <w:tr>
        <w:trPr>
          <w:trHeight w:val="26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Robbinsville, New Jersey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East Coast warehouse and distribution</w:t>
            </w:r>
          </w:p>
        </w:tc>
      </w:tr>
      <w:tr>
        <w:trPr>
          <w:trHeight w:val="138"/>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tcPr>
          <w:p>
            <w:pPr>
              <w:ind w:left="20"/>
              <w:spacing w:after="0" w:line="138" w:lineRule="exact"/>
              <w:rPr>
                <w:sz w:val="20"/>
                <w:szCs w:val="20"/>
                <w:color w:val="auto"/>
              </w:rPr>
            </w:pPr>
            <w:r>
              <w:rPr>
                <w:rFonts w:ascii="Times New Roman" w:cs="Times New Roman" w:eastAsia="Times New Roman" w:hAnsi="Times New Roman"/>
                <w:sz w:val="16"/>
                <w:szCs w:val="16"/>
                <w:color w:val="auto"/>
              </w:rPr>
              <w:t>facility</w:t>
            </w:r>
          </w:p>
        </w:tc>
      </w:tr>
      <w:tr>
        <w:trPr>
          <w:trHeight w:val="186"/>
        </w:trPr>
        <w:tc>
          <w:tcPr>
            <w:tcW w:w="34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6"/>
                <w:szCs w:val="16"/>
                <w:color w:val="auto"/>
              </w:rPr>
              <w:t xml:space="preserve">Aston, England </w:t>
            </w:r>
            <w:r>
              <w:rPr>
                <w:rFonts w:ascii="Times New Roman" w:cs="Times New Roman" w:eastAsia="Times New Roman" w:hAnsi="Times New Roman"/>
                <w:sz w:val="21"/>
                <w:szCs w:val="21"/>
                <w:color w:val="auto"/>
                <w:vertAlign w:val="superscript"/>
              </w:rPr>
              <w:t>(2)</w:t>
            </w:r>
          </w:p>
        </w:tc>
        <w:tc>
          <w:tcPr>
            <w:tcW w:w="344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Offices, showroom, warehouse and distribution</w:t>
            </w:r>
          </w:p>
        </w:tc>
      </w:tr>
      <w:tr>
        <w:trPr>
          <w:trHeight w:val="214"/>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facility</w:t>
            </w:r>
          </w:p>
        </w:tc>
      </w:tr>
      <w:tr>
        <w:trPr>
          <w:trHeight w:val="26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Winchendon, Massachusetts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Warehouse and distribution facility, and spice</w:t>
            </w:r>
          </w:p>
        </w:tc>
      </w:tr>
      <w:tr>
        <w:trPr>
          <w:trHeight w:val="133"/>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tcPr>
          <w:p>
            <w:pPr>
              <w:ind w:left="20"/>
              <w:spacing w:after="0" w:line="133" w:lineRule="exact"/>
              <w:rPr>
                <w:sz w:val="20"/>
                <w:szCs w:val="20"/>
                <w:color w:val="auto"/>
              </w:rPr>
            </w:pPr>
            <w:r>
              <w:rPr>
                <w:rFonts w:ascii="Times New Roman" w:cs="Times New Roman" w:eastAsia="Times New Roman" w:hAnsi="Times New Roman"/>
                <w:sz w:val="15"/>
                <w:szCs w:val="15"/>
                <w:color w:val="auto"/>
              </w:rPr>
              <w:t>packing line</w:t>
            </w:r>
          </w:p>
        </w:tc>
      </w:tr>
      <w:tr>
        <w:trPr>
          <w:trHeight w:val="224"/>
        </w:trPr>
        <w:tc>
          <w:tcPr>
            <w:tcW w:w="340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Garden City, New York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headquarters/main showroom</w:t>
            </w:r>
          </w:p>
        </w:tc>
      </w:tr>
      <w:tr>
        <w:trPr>
          <w:trHeight w:val="26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Medford, Massachusetts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showroom, warehouse and distribution</w:t>
            </w:r>
          </w:p>
        </w:tc>
      </w:tr>
      <w:tr>
        <w:trPr>
          <w:trHeight w:val="133"/>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tcPr>
          <w:p>
            <w:pPr>
              <w:ind w:left="20"/>
              <w:spacing w:after="0" w:line="133" w:lineRule="exact"/>
              <w:rPr>
                <w:sz w:val="20"/>
                <w:szCs w:val="20"/>
                <w:color w:val="auto"/>
              </w:rPr>
            </w:pPr>
            <w:r>
              <w:rPr>
                <w:rFonts w:ascii="Times New Roman" w:cs="Times New Roman" w:eastAsia="Times New Roman" w:hAnsi="Times New Roman"/>
                <w:sz w:val="15"/>
                <w:szCs w:val="15"/>
                <w:color w:val="auto"/>
              </w:rPr>
              <w:t>facility</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Las Cruces, New Mexico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warehouse and distribution facility</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San Germán, Puerto Rico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Sterling silver manufacturing facility</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Oak Brook, Illinois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Seattle, Washington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Shanghai, China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New York, New York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and showrooms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Atlanta, Georgia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Showrooms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Guangzhou, China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Bentonville, Arkansas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and showroom</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Newtown, Pennsylvania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Pawtucket, Rhode Island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and showroom</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Menomonee Falls, Wisconsin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Showroom</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Kowloon, Hong Kong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Tianjin, China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Minneapolis, Minnesota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9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Issaquah, Washington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and showroom</w:t>
            </w:r>
          </w:p>
        </w:tc>
      </w:tr>
    </w:tbl>
    <w:p>
      <w:pPr>
        <w:spacing w:after="0" w:line="16" w:lineRule="exact"/>
        <w:rPr>
          <w:sz w:val="20"/>
          <w:szCs w:val="20"/>
          <w:color w:val="auto"/>
        </w:rPr>
      </w:pPr>
    </w:p>
    <w:p>
      <w:pPr>
        <w:ind w:left="460" w:hanging="457"/>
        <w:spacing w:after="0"/>
        <w:tabs>
          <w:tab w:leader="none" w:pos="46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Location primarily used by the U.S. segment.</w:t>
      </w:r>
    </w:p>
    <w:p>
      <w:pPr>
        <w:ind w:left="460" w:hanging="457"/>
        <w:spacing w:after="0"/>
        <w:tabs>
          <w:tab w:leader="none" w:pos="46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Location used by the International segment.</w:t>
      </w:r>
    </w:p>
    <w:p>
      <w:pPr>
        <w:spacing w:after="0" w:line="3" w:lineRule="exact"/>
        <w:rPr>
          <w:rFonts w:ascii="Times New Roman" w:cs="Times New Roman" w:eastAsia="Times New Roman" w:hAnsi="Times New Roman"/>
          <w:sz w:val="9"/>
          <w:szCs w:val="9"/>
          <w:color w:val="auto"/>
        </w:rPr>
      </w:pPr>
    </w:p>
    <w:p>
      <w:pPr>
        <w:ind w:left="460" w:hanging="457"/>
        <w:spacing w:after="0"/>
        <w:tabs>
          <w:tab w:leader="none" w:pos="46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Location used by all segments.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187"/>
        </w:trPr>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(square feet)</w:t>
            </w:r>
          </w:p>
        </w:tc>
        <w:tc>
          <w:tcPr>
            <w:tcW w:w="14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Leased</w:t>
            </w:r>
          </w:p>
        </w:tc>
      </w:tr>
      <w:tr>
        <w:trPr>
          <w:trHeight w:val="221"/>
        </w:trPr>
        <w:tc>
          <w:tcPr>
            <w:tcW w:w="2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703,000</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306"/>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40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40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Owned</w:t>
            </w:r>
          </w:p>
        </w:tc>
      </w:tr>
      <w:tr>
        <w:trPr>
          <w:trHeight w:val="30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30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305"/>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3"/>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bl>
    <w:p>
      <w:pPr>
        <w:spacing w:after="0" w:line="815" w:lineRule="exact"/>
        <w:rPr>
          <w:sz w:val="20"/>
          <w:szCs w:val="20"/>
          <w:color w:val="auto"/>
        </w:rPr>
      </w:pPr>
    </w:p>
    <w:p>
      <w:pPr>
        <w:sectPr>
          <w:pgSz w:w="11900" w:h="16838" w:orient="portrait"/>
          <w:cols w:equalWidth="0" w:num="2">
            <w:col w:w="6840" w:space="100"/>
            <w:col w:w="4280"/>
          </w:cols>
          <w:pgMar w:left="320" w:top="123" w:right="35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For a description of our legal proceedings, please see NOTE 14 — COMMITMENTS AND CONTINGENCIES, to the Company's consolidated financial statements included in this Annual Report on Form 10-K.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2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0" w:lineRule="exact"/>
        <w:rPr>
          <w:sz w:val="20"/>
          <w:szCs w:val="20"/>
          <w:color w:val="auto"/>
        </w:rPr>
      </w:pPr>
    </w:p>
    <w:p>
      <w:pPr>
        <w:ind w:right="2220"/>
        <w:spacing w:after="0" w:line="418" w:lineRule="auto"/>
        <w:rPr>
          <w:sz w:val="20"/>
          <w:szCs w:val="20"/>
          <w:color w:val="auto"/>
        </w:rPr>
      </w:pPr>
      <w:r>
        <w:rPr>
          <w:rFonts w:ascii="Times New Roman" w:cs="Times New Roman" w:eastAsia="Times New Roman" w:hAnsi="Times New Roman"/>
          <w:sz w:val="17"/>
          <w:szCs w:val="17"/>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7"/>
          <w:szCs w:val="17"/>
          <w:color w:val="auto"/>
        </w:rPr>
        <w:t>The Company’s common stock is traded under the symbol “LCUT” on the Nasdaq Global Select Market (“Nasdaq”).</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February 28, 2023, the Company estimates that there were approximately 3,359 record holders of the Company’s common stock.</w:t>
      </w:r>
    </w:p>
    <w:p>
      <w:pPr>
        <w:spacing w:after="0" w:line="217"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The Company is authorized to issue 100 shares of Series A Preferred stock and 2,000,000 shares of Series B Preferred stock, none of which were issued or outstanding at December 31, 2022.</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For a discussion of dividends paid by the Company in 2022 and 2021, refer to Item 7. Management’s Discussion and Analysis of Financial Condition and Results of Operations – Liquidity and Capital Resources – Dividends. The Board of Directors currently intends to continue paying cash dividends for the foreseeable future, although the Board of Directors may in its discretion determine to modify or eliminate such dividends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118"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7"/>
          <w:szCs w:val="17"/>
          <w:color w:val="auto"/>
        </w:rPr>
        <w:t>The following chart compares the cumulative total return on the Company’s common stock with the Nasdaq Market Index, the Hemscott Group Index for Housewares &amp; Accessories, the Company’s peer group, which is comprised of companies that we believe have comparable characteristics and are in the same industry or line-of-business. The comparisons in this chart are required by the SEC and are not intended to forecast or be indicative of the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5894070" cy="3127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94070" cy="312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Lifetime</w:t>
            </w:r>
          </w:p>
        </w:tc>
        <w:tc>
          <w:tcPr>
            <w:tcW w:w="22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Hemscott</w:t>
            </w:r>
          </w:p>
        </w:tc>
        <w:tc>
          <w:tcPr>
            <w:tcW w:w="280" w:type="dxa"/>
            <w:vAlign w:val="bottom"/>
          </w:tcPr>
          <w:p>
            <w:pPr>
              <w:spacing w:after="0"/>
              <w:rPr>
                <w:sz w:val="13"/>
                <w:szCs w:val="13"/>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New Peer</w:t>
            </w:r>
          </w:p>
        </w:tc>
        <w:tc>
          <w:tcPr>
            <w:tcW w:w="300" w:type="dxa"/>
            <w:vAlign w:val="bottom"/>
          </w:tcPr>
          <w:p>
            <w:pPr>
              <w:spacing w:after="0"/>
              <w:rPr>
                <w:sz w:val="13"/>
                <w:szCs w:val="13"/>
                <w:color w:val="auto"/>
              </w:rPr>
            </w:pPr>
          </w:p>
        </w:tc>
        <w:tc>
          <w:tcPr>
            <w:tcW w:w="11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0" w:type="dxa"/>
            <w:vAlign w:val="bottom"/>
          </w:tcPr>
          <w:p>
            <w:pPr>
              <w:spacing w:after="0"/>
              <w:rPr>
                <w:sz w:val="1"/>
                <w:szCs w:val="1"/>
                <w:color w:val="auto"/>
              </w:rPr>
            </w:pPr>
          </w:p>
        </w:tc>
      </w:tr>
      <w:tr>
        <w:trPr>
          <w:trHeight w:val="142"/>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88"/>
        </w:trPr>
        <w:tc>
          <w:tcPr>
            <w:tcW w:w="3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Brands, Inc.</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Group Index</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Group</w:t>
            </w:r>
          </w:p>
        </w:tc>
        <w:tc>
          <w:tcPr>
            <w:tcW w:w="300" w:type="dxa"/>
            <w:vAlign w:val="bottom"/>
          </w:tcPr>
          <w:p>
            <w:pPr>
              <w:spacing w:after="0"/>
              <w:rPr>
                <w:sz w:val="16"/>
                <w:szCs w:val="16"/>
                <w:color w:val="auto"/>
              </w:rPr>
            </w:pPr>
          </w:p>
        </w:tc>
        <w:tc>
          <w:tcPr>
            <w:tcW w:w="11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0" w:type="dxa"/>
            <w:vAlign w:val="bottom"/>
          </w:tcPr>
          <w:p>
            <w:pPr>
              <w:spacing w:after="0"/>
              <w:rPr>
                <w:sz w:val="1"/>
                <w:szCs w:val="1"/>
                <w:color w:val="auto"/>
              </w:rPr>
            </w:pPr>
          </w:p>
        </w:tc>
      </w:tr>
      <w:tr>
        <w:trPr>
          <w:trHeight w:val="218"/>
        </w:trPr>
        <w:tc>
          <w:tcPr>
            <w:tcW w:w="3820" w:type="dxa"/>
            <w:vAlign w:val="bottom"/>
            <w:tcBorders>
              <w:top w:val="single" w:sz="8" w:color="auto"/>
            </w:tcBorders>
            <w:shd w:val="clear" w:color="auto" w:fill="CCEEFF"/>
          </w:tcPr>
          <w:p>
            <w:pPr>
              <w:spacing w:after="0" w:line="218" w:lineRule="exact"/>
              <w:rPr>
                <w:sz w:val="20"/>
                <w:szCs w:val="20"/>
                <w:color w:val="auto"/>
              </w:rPr>
            </w:pPr>
            <w:r>
              <w:rPr>
                <w:rFonts w:ascii="Times New Roman" w:cs="Times New Roman" w:eastAsia="Times New Roman" w:hAnsi="Times New Roman"/>
                <w:sz w:val="17"/>
                <w:szCs w:val="17"/>
                <w:color w:val="auto"/>
              </w:rPr>
              <w:t xml:space="preserve">12/31/2017 </w:t>
            </w:r>
            <w:r>
              <w:rPr>
                <w:rFonts w:ascii="Times New Roman" w:cs="Times New Roman" w:eastAsia="Times New Roman" w:hAnsi="Times New Roman"/>
                <w:sz w:val="22"/>
                <w:szCs w:val="22"/>
                <w:color w:val="auto"/>
                <w:vertAlign w:val="superscript"/>
              </w:rPr>
              <w:t>(1)(2)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12/31/2018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97.16</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12/31/2019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132.81</w:t>
            </w: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12/31/2020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192.47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12/31/2021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235.15</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12/31/2022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125.14</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158.65</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60" w:hanging="457"/>
        <w:spacing w:after="0" w:line="249" w:lineRule="auto"/>
        <w:tabs>
          <w:tab w:leader="none" w:pos="448"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graph assumes $100 was invested as of the close of trading on December 31, 2017 and dividends were reinvested. Measurement points are at the last trading day of each of the fiscal years ended December 31, 2018, 2019, 2020, 2021 and 2022. The material in this chart is not soliciting material, is not deemed filed with the SEC and is not incorporated by reference in any filing of the Company under the Securities Act of 1933, as amended, or the Securities Exchange Act of 1934, as amended, irrespective of any general incorporation by reference language in such filing. A list of the companies included in the Company’s Hemscott Group Index will be furnished by the Company to any stockholder upon written request to the Chief Financial Officer of the Company. Peer Group comprises Acushnet Holdings Corp., Crocs, Inc., Hamilton Beach Brands Holding Co., Helen of Troy Ltd., Lands’ End, Inc., Johnson Outdoors Inc., Movado Group, Inc., Oxford Industries, Inc., The Buckle, Inc. and Tupperware Brands Corp., Unifi, Inc., Universal Electronics Inc., Vera Bradley, Inc., YETI Holdings, Inc.</w:t>
      </w:r>
    </w:p>
    <w:p>
      <w:pPr>
        <w:spacing w:after="0" w:line="1" w:lineRule="exact"/>
        <w:rPr>
          <w:rFonts w:ascii="Times New Roman" w:cs="Times New Roman" w:eastAsia="Times New Roman" w:hAnsi="Times New Roman"/>
          <w:sz w:val="9"/>
          <w:szCs w:val="9"/>
          <w:color w:val="auto"/>
        </w:rPr>
      </w:pPr>
    </w:p>
    <w:p>
      <w:pPr>
        <w:ind w:left="460" w:hanging="457"/>
        <w:spacing w:after="0" w:line="218" w:lineRule="auto"/>
        <w:tabs>
          <w:tab w:leader="none" w:pos="448"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graph was prepared by Zacks Investment Research, Inc. Used with permission. All rights reserved. Copyright 1980-2023. Index Data: Copyright NASDAQ OMX, Inc. Used with permission. All rights reserved.</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sets forth information regarding issuer purchases of equity securities: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0" w:type="dxa"/>
            <w:vAlign w:val="bottom"/>
          </w:tcPr>
          <w:p>
            <w:pPr>
              <w:spacing w:after="0"/>
              <w:rPr>
                <w:sz w:val="1"/>
                <w:szCs w:val="1"/>
                <w:color w:val="auto"/>
              </w:rPr>
            </w:pPr>
          </w:p>
        </w:tc>
      </w:tr>
      <w:tr>
        <w:trPr>
          <w:trHeight w:val="140"/>
        </w:trPr>
        <w:tc>
          <w:tcPr>
            <w:tcW w:w="36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47"/>
              <w:spacing w:after="0" w:line="141" w:lineRule="exact"/>
              <w:rPr>
                <w:sz w:val="20"/>
                <w:szCs w:val="20"/>
                <w:color w:val="auto"/>
              </w:rPr>
            </w:pPr>
            <w:r>
              <w:rPr>
                <w:rFonts w:ascii="Times New Roman" w:cs="Times New Roman" w:eastAsia="Times New Roman" w:hAnsi="Times New Roman"/>
                <w:sz w:val="14"/>
                <w:szCs w:val="14"/>
                <w:b w:val="1"/>
                <w:bCs w:val="1"/>
                <w:color w:val="auto"/>
                <w:w w:val="99"/>
              </w:rPr>
              <w:t>approximate</w:t>
            </w:r>
          </w:p>
        </w:tc>
        <w:tc>
          <w:tcPr>
            <w:tcW w:w="0" w:type="dxa"/>
            <w:vAlign w:val="bottom"/>
          </w:tcPr>
          <w:p>
            <w:pPr>
              <w:spacing w:after="0"/>
              <w:rPr>
                <w:sz w:val="1"/>
                <w:szCs w:val="1"/>
                <w:color w:val="auto"/>
              </w:rPr>
            </w:pPr>
          </w:p>
        </w:tc>
      </w:tr>
      <w:tr>
        <w:trPr>
          <w:trHeight w:val="130"/>
        </w:trPr>
        <w:tc>
          <w:tcPr>
            <w:tcW w:w="36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220" w:type="dxa"/>
            <w:vAlign w:val="bottom"/>
          </w:tcPr>
          <w:p>
            <w:pPr>
              <w:spacing w:after="0"/>
              <w:rPr>
                <w:sz w:val="11"/>
                <w:szCs w:val="11"/>
                <w:color w:val="auto"/>
              </w:rPr>
            </w:pPr>
          </w:p>
        </w:tc>
        <w:tc>
          <w:tcPr>
            <w:tcW w:w="1340" w:type="dxa"/>
            <w:vAlign w:val="bottom"/>
          </w:tcPr>
          <w:p>
            <w:pPr>
              <w:jc w:val="center"/>
              <w:ind w:right="147"/>
              <w:spacing w:after="0" w:line="131" w:lineRule="exact"/>
              <w:rPr>
                <w:sz w:val="20"/>
                <w:szCs w:val="20"/>
                <w:color w:val="auto"/>
              </w:rPr>
            </w:pPr>
            <w:r>
              <w:rPr>
                <w:rFonts w:ascii="Times New Roman" w:cs="Times New Roman" w:eastAsia="Times New Roman" w:hAnsi="Times New Roman"/>
                <w:sz w:val="14"/>
                <w:szCs w:val="14"/>
                <w:b w:val="1"/>
                <w:bCs w:val="1"/>
                <w:color w:val="auto"/>
                <w:w w:val="97"/>
              </w:rPr>
              <w:t>dollar value of</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47"/>
              <w:spacing w:after="0" w:line="142" w:lineRule="exact"/>
              <w:rPr>
                <w:sz w:val="20"/>
                <w:szCs w:val="20"/>
                <w:color w:val="auto"/>
              </w:rPr>
            </w:pPr>
            <w:r>
              <w:rPr>
                <w:rFonts w:ascii="Times New Roman" w:cs="Times New Roman" w:eastAsia="Times New Roman" w:hAnsi="Times New Roman"/>
                <w:sz w:val="14"/>
                <w:szCs w:val="14"/>
                <w:b w:val="1"/>
                <w:bCs w:val="1"/>
                <w:color w:val="auto"/>
                <w:w w:val="97"/>
              </w:rPr>
              <w:t>shares that</w:t>
            </w:r>
          </w:p>
        </w:tc>
        <w:tc>
          <w:tcPr>
            <w:tcW w:w="0" w:type="dxa"/>
            <w:vAlign w:val="bottom"/>
          </w:tcPr>
          <w:p>
            <w:pPr>
              <w:spacing w:after="0"/>
              <w:rPr>
                <w:sz w:val="1"/>
                <w:szCs w:val="1"/>
                <w:color w:val="auto"/>
              </w:rPr>
            </w:pPr>
          </w:p>
        </w:tc>
      </w:tr>
      <w:tr>
        <w:trPr>
          <w:trHeight w:val="140"/>
        </w:trPr>
        <w:tc>
          <w:tcPr>
            <w:tcW w:w="36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shares</w:t>
            </w:r>
          </w:p>
        </w:tc>
        <w:tc>
          <w:tcPr>
            <w:tcW w:w="220" w:type="dxa"/>
            <w:vAlign w:val="bottom"/>
          </w:tcPr>
          <w:p>
            <w:pPr>
              <w:spacing w:after="0"/>
              <w:rPr>
                <w:sz w:val="12"/>
                <w:szCs w:val="12"/>
                <w:color w:val="auto"/>
              </w:rPr>
            </w:pPr>
          </w:p>
        </w:tc>
        <w:tc>
          <w:tcPr>
            <w:tcW w:w="1340" w:type="dxa"/>
            <w:vAlign w:val="bottom"/>
          </w:tcPr>
          <w:p>
            <w:pPr>
              <w:jc w:val="center"/>
              <w:ind w:right="147"/>
              <w:spacing w:after="0" w:line="141" w:lineRule="exact"/>
              <w:rPr>
                <w:sz w:val="20"/>
                <w:szCs w:val="20"/>
                <w:color w:val="auto"/>
              </w:rPr>
            </w:pPr>
            <w:r>
              <w:rPr>
                <w:rFonts w:ascii="Times New Roman" w:cs="Times New Roman" w:eastAsia="Times New Roman" w:hAnsi="Times New Roman"/>
                <w:sz w:val="14"/>
                <w:szCs w:val="14"/>
                <w:b w:val="1"/>
                <w:bCs w:val="1"/>
                <w:color w:val="auto"/>
                <w:w w:val="99"/>
              </w:rPr>
              <w:t>may yet be</w:t>
            </w:r>
          </w:p>
        </w:tc>
        <w:tc>
          <w:tcPr>
            <w:tcW w:w="0" w:type="dxa"/>
            <w:vAlign w:val="bottom"/>
          </w:tcPr>
          <w:p>
            <w:pPr>
              <w:spacing w:after="0"/>
              <w:rPr>
                <w:sz w:val="1"/>
                <w:szCs w:val="1"/>
                <w:color w:val="auto"/>
              </w:rPr>
            </w:pPr>
          </w:p>
        </w:tc>
      </w:tr>
      <w:tr>
        <w:trPr>
          <w:trHeight w:val="130"/>
        </w:trPr>
        <w:tc>
          <w:tcPr>
            <w:tcW w:w="36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purchased as</w:t>
            </w:r>
          </w:p>
        </w:tc>
        <w:tc>
          <w:tcPr>
            <w:tcW w:w="220" w:type="dxa"/>
            <w:vAlign w:val="bottom"/>
          </w:tcPr>
          <w:p>
            <w:pPr>
              <w:spacing w:after="0"/>
              <w:rPr>
                <w:sz w:val="11"/>
                <w:szCs w:val="11"/>
                <w:color w:val="auto"/>
              </w:rPr>
            </w:pPr>
          </w:p>
        </w:tc>
        <w:tc>
          <w:tcPr>
            <w:tcW w:w="1340" w:type="dxa"/>
            <w:vAlign w:val="bottom"/>
          </w:tcPr>
          <w:p>
            <w:pPr>
              <w:jc w:val="center"/>
              <w:ind w:right="147"/>
              <w:spacing w:after="0" w:line="131" w:lineRule="exact"/>
              <w:rPr>
                <w:sz w:val="20"/>
                <w:szCs w:val="20"/>
                <w:color w:val="auto"/>
              </w:rPr>
            </w:pPr>
            <w:r>
              <w:rPr>
                <w:rFonts w:ascii="Times New Roman" w:cs="Times New Roman" w:eastAsia="Times New Roman" w:hAnsi="Times New Roman"/>
                <w:sz w:val="14"/>
                <w:szCs w:val="14"/>
                <w:b w:val="1"/>
                <w:bCs w:val="1"/>
                <w:color w:val="auto"/>
                <w:w w:val="96"/>
              </w:rPr>
              <w:t>purchased</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660" w:type="dxa"/>
            <w:vAlign w:val="bottom"/>
            <w:gridSpan w:val="2"/>
            <w:vMerge w:val="restart"/>
          </w:tcPr>
          <w:p>
            <w:pPr>
              <w:jc w:val="center"/>
              <w:ind w:left="803"/>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220" w:type="dxa"/>
            <w:vAlign w:val="bottom"/>
          </w:tcPr>
          <w:p>
            <w:pPr>
              <w:spacing w:after="0"/>
              <w:rPr>
                <w:sz w:val="12"/>
                <w:szCs w:val="12"/>
                <w:color w:val="auto"/>
              </w:rPr>
            </w:pPr>
          </w:p>
        </w:tc>
        <w:tc>
          <w:tcPr>
            <w:tcW w:w="1340" w:type="dxa"/>
            <w:vAlign w:val="bottom"/>
          </w:tcPr>
          <w:p>
            <w:pPr>
              <w:jc w:val="center"/>
              <w:ind w:right="147"/>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under the plans</w:t>
            </w:r>
          </w:p>
        </w:tc>
        <w:tc>
          <w:tcPr>
            <w:tcW w:w="0" w:type="dxa"/>
            <w:vAlign w:val="bottom"/>
          </w:tcPr>
          <w:p>
            <w:pPr>
              <w:spacing w:after="0"/>
              <w:rPr>
                <w:sz w:val="1"/>
                <w:szCs w:val="1"/>
                <w:color w:val="auto"/>
              </w:rPr>
            </w:pPr>
          </w:p>
        </w:tc>
      </w:tr>
      <w:tr>
        <w:trPr>
          <w:trHeight w:val="140"/>
        </w:trPr>
        <w:tc>
          <w:tcPr>
            <w:tcW w:w="3680" w:type="dxa"/>
            <w:vAlign w:val="bottom"/>
          </w:tcPr>
          <w:p>
            <w:pPr>
              <w:spacing w:after="0"/>
              <w:rPr>
                <w:sz w:val="12"/>
                <w:szCs w:val="12"/>
                <w:color w:val="auto"/>
              </w:rPr>
            </w:pPr>
          </w:p>
        </w:tc>
        <w:tc>
          <w:tcPr>
            <w:tcW w:w="2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6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announced</w:t>
            </w:r>
          </w:p>
        </w:tc>
        <w:tc>
          <w:tcPr>
            <w:tcW w:w="220" w:type="dxa"/>
            <w:vAlign w:val="bottom"/>
          </w:tcPr>
          <w:p>
            <w:pPr>
              <w:spacing w:after="0"/>
              <w:rPr>
                <w:sz w:val="12"/>
                <w:szCs w:val="12"/>
                <w:color w:val="auto"/>
              </w:rPr>
            </w:pPr>
          </w:p>
        </w:tc>
        <w:tc>
          <w:tcPr>
            <w:tcW w:w="1340" w:type="dxa"/>
            <w:vAlign w:val="bottom"/>
          </w:tcPr>
          <w:p>
            <w:pPr>
              <w:jc w:val="center"/>
              <w:ind w:right="147"/>
              <w:spacing w:after="0" w:line="141" w:lineRule="exact"/>
              <w:rPr>
                <w:sz w:val="20"/>
                <w:szCs w:val="20"/>
                <w:color w:val="auto"/>
              </w:rPr>
            </w:pPr>
            <w:r>
              <w:rPr>
                <w:rFonts w:ascii="Times New Roman" w:cs="Times New Roman" w:eastAsia="Times New Roman" w:hAnsi="Times New Roman"/>
                <w:sz w:val="14"/>
                <w:szCs w:val="14"/>
                <w:b w:val="1"/>
                <w:bCs w:val="1"/>
                <w:color w:val="auto"/>
                <w:w w:val="95"/>
              </w:rPr>
              <w:t>or programs</w:t>
            </w:r>
          </w:p>
        </w:tc>
        <w:tc>
          <w:tcPr>
            <w:tcW w:w="0" w:type="dxa"/>
            <w:vAlign w:val="bottom"/>
          </w:tcPr>
          <w:p>
            <w:pPr>
              <w:spacing w:after="0"/>
              <w:rPr>
                <w:sz w:val="1"/>
                <w:szCs w:val="1"/>
                <w:color w:val="auto"/>
              </w:rPr>
            </w:pPr>
          </w:p>
        </w:tc>
      </w:tr>
      <w:tr>
        <w:trPr>
          <w:trHeight w:val="142"/>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60" w:type="dxa"/>
            <w:vAlign w:val="bottom"/>
            <w:gridSpan w:val="2"/>
          </w:tcPr>
          <w:p>
            <w:pPr>
              <w:jc w:val="center"/>
              <w:ind w:left="803"/>
              <w:spacing w:after="0" w:line="142"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plans or</w:t>
            </w:r>
          </w:p>
        </w:tc>
        <w:tc>
          <w:tcPr>
            <w:tcW w:w="220" w:type="dxa"/>
            <w:vAlign w:val="bottom"/>
          </w:tcPr>
          <w:p>
            <w:pPr>
              <w:spacing w:after="0"/>
              <w:rPr>
                <w:sz w:val="12"/>
                <w:szCs w:val="12"/>
                <w:color w:val="auto"/>
              </w:rPr>
            </w:pPr>
          </w:p>
        </w:tc>
        <w:tc>
          <w:tcPr>
            <w:tcW w:w="1340" w:type="dxa"/>
            <w:vAlign w:val="bottom"/>
          </w:tcPr>
          <w:p>
            <w:pPr>
              <w:jc w:val="center"/>
              <w:ind w:right="147"/>
              <w:spacing w:after="0" w:line="142" w:lineRule="exact"/>
              <w:rPr>
                <w:sz w:val="20"/>
                <w:szCs w:val="20"/>
                <w:color w:val="auto"/>
              </w:rPr>
            </w:pPr>
            <w:r>
              <w:rPr>
                <w:rFonts w:ascii="Times New Roman" w:cs="Times New Roman" w:eastAsia="Times New Roman" w:hAnsi="Times New Roman"/>
                <w:sz w:val="14"/>
                <w:szCs w:val="14"/>
                <w:b w:val="1"/>
                <w:bCs w:val="1"/>
                <w:color w:val="auto"/>
                <w:w w:val="97"/>
              </w:rPr>
              <w:t>subsequent to</w:t>
            </w:r>
          </w:p>
        </w:tc>
        <w:tc>
          <w:tcPr>
            <w:tcW w:w="0" w:type="dxa"/>
            <w:vAlign w:val="bottom"/>
          </w:tcPr>
          <w:p>
            <w:pPr>
              <w:spacing w:after="0"/>
              <w:rPr>
                <w:sz w:val="1"/>
                <w:szCs w:val="1"/>
                <w:color w:val="auto"/>
              </w:rPr>
            </w:pPr>
          </w:p>
        </w:tc>
      </w:tr>
      <w:tr>
        <w:trPr>
          <w:trHeight w:val="193"/>
        </w:trPr>
        <w:tc>
          <w:tcPr>
            <w:tcW w:w="3680" w:type="dxa"/>
            <w:vAlign w:val="bottom"/>
            <w:vMerge w:val="continue"/>
          </w:tcPr>
          <w:p>
            <w:pPr>
              <w:spacing w:after="0"/>
              <w:rPr>
                <w:sz w:val="16"/>
                <w:szCs w:val="16"/>
                <w:color w:val="auto"/>
              </w:rPr>
            </w:pPr>
          </w:p>
        </w:tc>
        <w:tc>
          <w:tcPr>
            <w:tcW w:w="2660" w:type="dxa"/>
            <w:vAlign w:val="bottom"/>
            <w:gridSpan w:val="2"/>
          </w:tcPr>
          <w:p>
            <w:pPr>
              <w:jc w:val="center"/>
              <w:ind w:left="803"/>
              <w:spacing w:after="0"/>
              <w:rPr>
                <w:sz w:val="20"/>
                <w:szCs w:val="20"/>
                <w:color w:val="auto"/>
              </w:rPr>
            </w:pPr>
            <w:r>
              <w:rPr>
                <w:rFonts w:ascii="Times New Roman" w:cs="Times New Roman" w:eastAsia="Times New Roman" w:hAnsi="Times New Roman"/>
                <w:sz w:val="14"/>
                <w:szCs w:val="14"/>
                <w:b w:val="1"/>
                <w:bCs w:val="1"/>
                <w:color w:val="auto"/>
                <w:w w:val="98"/>
              </w:rPr>
              <w:t xml:space="preserve">purchased </w:t>
            </w:r>
            <w:r>
              <w:rPr>
                <w:rFonts w:ascii="Times New Roman" w:cs="Times New Roman" w:eastAsia="Times New Roman" w:hAnsi="Times New Roman"/>
                <w:sz w:val="8"/>
                <w:szCs w:val="8"/>
                <w:b w:val="1"/>
                <w:bCs w:val="1"/>
                <w:color w:val="auto"/>
                <w:w w:val="98"/>
              </w:rPr>
              <w:t>(1)</w:t>
            </w: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6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4"/>
                <w:szCs w:val="14"/>
                <w:b w:val="1"/>
                <w:bCs w:val="1"/>
                <w:color w:val="auto"/>
                <w:w w:val="95"/>
              </w:rPr>
              <w:t xml:space="preserve">programs </w:t>
            </w:r>
            <w:r>
              <w:rPr>
                <w:rFonts w:ascii="Times New Roman" w:cs="Times New Roman" w:eastAsia="Times New Roman" w:hAnsi="Times New Roman"/>
                <w:sz w:val="17"/>
                <w:szCs w:val="17"/>
                <w:b w:val="1"/>
                <w:bCs w:val="1"/>
                <w:color w:val="auto"/>
                <w:w w:val="95"/>
                <w:vertAlign w:val="superscript"/>
              </w:rPr>
              <w:t>(2)</w:t>
            </w:r>
          </w:p>
        </w:tc>
        <w:tc>
          <w:tcPr>
            <w:tcW w:w="220" w:type="dxa"/>
            <w:vAlign w:val="bottom"/>
          </w:tcPr>
          <w:p>
            <w:pPr>
              <w:spacing w:after="0"/>
              <w:rPr>
                <w:sz w:val="16"/>
                <w:szCs w:val="16"/>
                <w:color w:val="auto"/>
              </w:rPr>
            </w:pPr>
          </w:p>
        </w:tc>
        <w:tc>
          <w:tcPr>
            <w:tcW w:w="1340" w:type="dxa"/>
            <w:vAlign w:val="bottom"/>
          </w:tcPr>
          <w:p>
            <w:pPr>
              <w:jc w:val="center"/>
              <w:ind w:right="147"/>
              <w:spacing w:after="0" w:line="194" w:lineRule="exact"/>
              <w:rPr>
                <w:sz w:val="20"/>
                <w:szCs w:val="20"/>
                <w:color w:val="auto"/>
              </w:rPr>
            </w:pPr>
            <w:r>
              <w:rPr>
                <w:rFonts w:ascii="Times New Roman" w:cs="Times New Roman" w:eastAsia="Times New Roman" w:hAnsi="Times New Roman"/>
                <w:sz w:val="14"/>
                <w:szCs w:val="14"/>
                <w:b w:val="1"/>
                <w:bCs w:val="1"/>
                <w:color w:val="auto"/>
                <w:w w:val="95"/>
              </w:rPr>
              <w:t xml:space="preserve">end of period </w:t>
            </w:r>
            <w:r>
              <w:rPr>
                <w:rFonts w:ascii="Times New Roman" w:cs="Times New Roman" w:eastAsia="Times New Roman" w:hAnsi="Times New Roman"/>
                <w:sz w:val="17"/>
                <w:szCs w:val="17"/>
                <w:b w:val="1"/>
                <w:bCs w:val="1"/>
                <w:color w:val="auto"/>
                <w:w w:val="95"/>
                <w:vertAlign w:val="superscript"/>
              </w:rPr>
              <w:t>(2)</w:t>
            </w:r>
          </w:p>
        </w:tc>
        <w:tc>
          <w:tcPr>
            <w:tcW w:w="0" w:type="dxa"/>
            <w:vAlign w:val="bottom"/>
          </w:tcPr>
          <w:p>
            <w:pPr>
              <w:spacing w:after="0"/>
              <w:rPr>
                <w:sz w:val="1"/>
                <w:szCs w:val="1"/>
                <w:color w:val="auto"/>
              </w:rPr>
            </w:pPr>
          </w:p>
        </w:tc>
      </w:tr>
      <w:tr>
        <w:trPr>
          <w:trHeight w:val="212"/>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 October 31, 2022</w:t>
            </w:r>
          </w:p>
        </w:tc>
        <w:tc>
          <w:tcPr>
            <w:tcW w:w="2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15,322,269</w:t>
            </w:r>
          </w:p>
        </w:tc>
        <w:tc>
          <w:tcPr>
            <w:tcW w:w="0" w:type="dxa"/>
            <w:vAlign w:val="bottom"/>
          </w:tcPr>
          <w:p>
            <w:pPr>
              <w:spacing w:after="0"/>
              <w:rPr>
                <w:sz w:val="1"/>
                <w:szCs w:val="1"/>
                <w:color w:val="auto"/>
              </w:rPr>
            </w:pPr>
          </w:p>
        </w:tc>
      </w:tr>
      <w:tr>
        <w:trPr>
          <w:trHeight w:val="219"/>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1 - November 30, 2022</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84,946</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tcPr>
          <w:p>
            <w:pPr>
              <w:spacing w:after="0"/>
              <w:rPr>
                <w:sz w:val="19"/>
                <w:szCs w:val="19"/>
                <w:color w:val="auto"/>
              </w:rPr>
            </w:pPr>
          </w:p>
        </w:tc>
        <w:tc>
          <w:tcPr>
            <w:tcW w:w="1560" w:type="dxa"/>
            <w:vAlign w:val="bottom"/>
          </w:tcPr>
          <w:p>
            <w:pPr>
              <w:jc w:val="right"/>
              <w:ind w:right="6"/>
              <w:spacing w:after="0"/>
              <w:rPr>
                <w:sz w:val="20"/>
                <w:szCs w:val="20"/>
                <w:color w:val="auto"/>
              </w:rPr>
            </w:pPr>
            <w:r>
              <w:rPr>
                <w:rFonts w:ascii="Times New Roman" w:cs="Times New Roman" w:eastAsia="Times New Roman" w:hAnsi="Times New Roman"/>
                <w:sz w:val="17"/>
                <w:szCs w:val="17"/>
                <w:color w:val="auto"/>
              </w:rPr>
              <w:t>84,946</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14,688,468</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 December 31, 2022</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122,506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13,679,980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460" w:right="140" w:hanging="457"/>
        <w:spacing w:after="0" w:line="227" w:lineRule="auto"/>
        <w:tabs>
          <w:tab w:leader="none" w:pos="448"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repurchased shares were acquired other than as part of a publicly announced plan or program. The Company repurchased these securities in connection with its Amended and Restated 2000 Long Term Incentive Plan which allows participants to use shares to satisfy certain tax liabilities arising from the vesting of restricted stock. The number above does not include unvested shares forfeited back to the Company pursuant to the terms of the Company’s stock compensation plans.</w:t>
      </w:r>
    </w:p>
    <w:p>
      <w:pPr>
        <w:jc w:val="both"/>
        <w:ind w:left="460" w:right="160" w:hanging="457"/>
        <w:spacing w:after="0" w:line="245" w:lineRule="auto"/>
        <w:tabs>
          <w:tab w:leader="none" w:pos="448"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14, 2022, the Company announced that its Board of Directors authorized the repurchase of up to $20.0 million of the Company’s common stock, replacing the Company's previously-authorized $10.0 million share repurchase program. The repurchase authorization permits the Company to effect the repurchases from time to time through open market purchases and privately negotiated transactions. During the three months ended December 31, 2022, the Company repurchased 207,452 shares for a total cost of $1.6 million and thereafter retired the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the consolidated financial statements for the Company and Notes thereto set forth in Item 15. This discussion contains forward-looking statements relating to future events and the future performance of the Company based on the Company’s current expectations, assumptions, estimates and projections about it and the Company’s industry. These forward-looking statements involve risks and uncertainties. The Company’s actual results and timing of various events could differ materially from those anticipated in such forward-looking statements as a result of a variety of factors, as more fully described in this section and elsewhere in this Annual Report including those discussed under “Disclosures Regarding Forward-Looking Statements,” “Risk Factors Summary” under Item 1A “Risk Factors” and under Item 7A “Quantitative and Qualitative Disclosures Regarding Market Risk.” The Company undertakes no obligation to update publicly any forward-looking statements for any reason, even if new information becomes available or other events occur in the future, other than as required by law.</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THE COMPANY</w:t>
      </w:r>
    </w:p>
    <w:p>
      <w:pPr>
        <w:spacing w:after="0" w:line="1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2022, Kitchenware products and Tableware products accounted for approximately 82% of the Company’s U.S. net sales and 84% of the Company’s consolidated net sales. In 2021, Kitchenware products and Tableware products accounted for approximately 85% of the Company’s U.S. net sales and 87% of the Company’s consolidated net sales.</w:t>
      </w:r>
    </w:p>
    <w:p>
      <w:pPr>
        <w:spacing w:after="0" w:line="17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 Mikasa®, KitchenAid®, Taylor®, Rabbit®, Pfaltzgraff® , BUILT NY®, Sabatier®, Fred® &amp; Friends, Kamenstein®</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and S'well®.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Company operates in two reportable segments: U.S. and International. The U.S. segment is the Company’s primary domestic business that designs, markets and distributes its products to retailers and distributors, as well as directly to consumers through third parties and its own internet websites. The International segment consists of certain business operations conducted outside the U.S. The Company has segmented its operations to reflect the manner in which management reviews and evaluates its results of operations.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INVESTMENTS</w:t>
      </w:r>
    </w:p>
    <w:p>
      <w:pPr>
        <w:spacing w:after="0" w:line="1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Company owns 24.7%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consolidated statements of operations. Accordingly, the Company has recorded its proportionate share of Vasconia's net income (reduced for amortization expense related to the customer relationships acquired) for the years ended December 31, 2022, 2021, and 2020 in the accompanying consolidated statements of operations. Pursuant to a Shares Subscription Agreement, the Company may designate four persons to be nominated as members of Vasconia’s Board of Directors. As of December 31, 2022, Vasconia's Board of Directors is comprised of 11 members of whom the Company has designated two members.</w:t>
      </w:r>
    </w:p>
    <w:p>
      <w:pPr>
        <w:spacing w:after="0" w:line="17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On June 30, 2021, Vasconia issued additional shares of its stock, which diluted the Company’s investment ownership from approximately 30% to approximately 27%. The Company recorded a non-cash gain of $1.7 million, increasing the Company’s investment balance. Additionally, a loss of $2.0 million was recognized for the proportionate share of the diluted ownership for amounts previously recognized in accumulated other comprehensive loss. The net loss of $0.3 million was included in equity in earnings, net of taxes, in the accompanying consolidated statements of operations for the year ended December 31, 2021.</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On July 29, 2021, the Company sold 2.2 million shares further reducing its ownership from approximately 27% to 24.7% in Vasconia for net cash proceeds of approximately $3.1 million, as a result the Company recorded a gain of $1.0 million, after decreasing the Company’s investment balance. The gain on the sale resulted in a tax expense of $0.1 million. Additionally, a loss of $1.4 million was recognized for the proportionate share of the reduced ownership for amounts previously recognized in accumulated other comprehensive loss. The net loss, including taxes, of $0.5 million was included in equity in earnings, net of taxes, in the accompanying consolidated statements of operations for the year ended December 31, 2021. The Company continues to apply the equity method of accounting.</w:t>
      </w:r>
    </w:p>
    <w:p>
      <w:pPr>
        <w:spacing w:after="0" w:line="17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The Company recorded equity in (losses) earnings of Vasconia, net of taxes, of $(3.3) million, $1.8 million and $1.5 million for the years ended December 31, 2022, 2021 and 2020,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Company’s business and working capital needs are seasonal, with a majority of sales occurring in the third and fourth quarters. In 2022, 2021 and 2020, net sales for the third and fourth quarters accounted for 54%, 56% and 62% of total annual net sales, respectively. The current market conditions and shifts in both consumer and retailer purchasing patterns has impacted the seasonality of the Company's net sales compared to historical trend. In anticipation of the pre-holiday shipping season, inventory levels increase primarily in the June through October time period. The decrease in inventory levels at December 31, 2022 compared to the prior year was a result of the Company's response to changes in retailer purchasing patterns. The Company's inventory trends may deviate from historical trends due to a change in inventory strategy to react to current market conditions impacting the Company and retailers.</w:t>
      </w:r>
    </w:p>
    <w:p>
      <w:pPr>
        <w:spacing w:after="0" w:line="17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Consistent with the seasonality of the Company's net sales and inventory levels, the Company also experiences seasonality in its inventory turnover and turnover days from one quarter to the next.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RESTRUCTURING</w:t>
      </w:r>
    </w:p>
    <w:p>
      <w:pPr>
        <w:spacing w:after="0" w:line="11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In 2022, the Company's international segment incurred $0.4 million of restructuring expenses related to severance associated with the reorganization of the International segment's workforce. The reorganization was the result of the Company’s efforts to realign the management and operating structure of the European business in response to changing market conditions. The Company expects annual savings of $2.3 million associated with the reorganization.</w:t>
      </w:r>
    </w:p>
    <w:p>
      <w:pPr>
        <w:spacing w:after="0" w:line="1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In 2022, the Company’s U.S. segment accrued $0.4 million related to severance associated with the reorganization of the U.S. segment’s sales management structure. The Company accrued $0.6 million of unallocated expense related to the termination payment with its Executive Chairman, Jeffrey Siegel. On November 1, 2022, the Company entered into a transition agreement with Jeffrey Siegel, which provides for termination of his employment with the Company, effective March 31, 2023. The transition agreement amends Mr. Siegel’s employment agreement which was to expire on December 31, 2022. The employment agreement provides for a one-time payment which will be paid upon the expiration of the transition agreement. The Company estimates the one-time payment to be approximately $1.4 million, of which $0.6 million was accrued as a restructuring expense in 2022. The remaining $0.8 million is expected to be recorded over the remaining employment period. The Company expects annual savings of $1.3 million due to these actions.</w:t>
      </w:r>
    </w:p>
    <w:p>
      <w:pPr>
        <w:spacing w:after="0" w:line="17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2020, the Company's International segment incurred $0.2 million of restructuring expenses related to severance associated with the strategic reorganization of the International segment’s product development and sales workforce. The strategic reorganization was the result of the Company's efforts for product development efficiencies and an international sales approach tailored to countries.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global economy is experiencing accelerated inflation, which has in part been caused by supply chain disruptions and higher consumer spending. The rise in inflation is contributing to higher prices, which may result in higher input cost for products, increased transportation and labor cost and impact consumer spending and buying patterns. Retailers have responded to the economic challenges by rightsizing inventory levels that were built up by supply chain distributions, and further reducing safety stock and weekly supply on hand. The Company has been adversely impacted by these trends in 2022 and expects that these trends may continue into 2023.</w:t>
      </w:r>
    </w:p>
    <w:p>
      <w:pPr>
        <w:spacing w:after="0" w:line="17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Company has experienced an increase in delivery times and cost for products shipped from the U.K. warehouse to continental Europe. To remain competitive in the distribution of products within continental Europe, the Company expanded its distribution and warehouse capacity through a third-party operated distribution provider located in the Netherlands in the first quarter of 2022. The Company began shipments from this location in the second quarter of 2022.</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On March 23 2022, the United States Trade Representative ("USTR") announced it had reinstated exclusions on certain product categories or harmonized tariff codes retroactive to October 12, 2021. The exclusion is effective through December 31, 2023.</w:t>
      </w:r>
    </w:p>
    <w:p>
      <w:pPr>
        <w:spacing w:after="0" w:line="15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The uncertainty surrounding the consequences of the U.K.’s exit could adversely impact the U.K. economy, customers and investor confidence. The U.K.'s exit also could adversely impact the export of products between the U.K. and the European Union. Such uncertainty may contribute to additional market volatility, including volatility in the value of the U.K. pound and European euro, and may adversely affect the Company’s businesses, results of operations, and financial condition. Further, the United Kingdom economy has been facing unfavorable economic and market conditions, with high inflation and low consumer confidence due to uncertain geopolitical and economic outlooks. Net sales attributable to U.K. domiciled businesses were $45.7 million for the year ended December 31, 2022, and represent approximately 6% of the Company’s consolidated net sales for the period.</w:t>
      </w:r>
    </w:p>
    <w:p>
      <w:pPr>
        <w:spacing w:after="0" w:line="17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U.K Finance Act 2021 included an increase to the U.K. corporate tax rate from 19% to 25% effective April 1, 2023, which was enacted into law in 2021. The Company expects the higher tax rate could negatively impact the Company's operating results.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ADOPTION OF ACCOUNTING PRINCIPLES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Adopted accounting pronouncements</w:t>
      </w:r>
    </w:p>
    <w:p>
      <w:pPr>
        <w:spacing w:after="0" w:line="11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Effective January 1, 2022, the Company adopted ASU No.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Accounting Standards Codification (ASC) Topic 606, Revenue from Contracts with Customers. The adoption did not have a material impact on the Company’s consolidated financial statements.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connection with the Amendment No.1 of the Term Loan, effective December 29, 2022, the Company adopted ASU 2020-04 and 2022-06, Reference Rate Reform (Topic 848): Facilitation of the Effects of Reference Rate Reform on Financial Reporting, which provides optional expedients and exceptions to account for contract modifications, hedging relationships and other transactions that reference the London Inter-Bank Offered Rate ("LIBOR") or another reference rate that is expected to be discontinued as a result of reference rate reform. The guidance may be applied to contract modifications and hedging relationships as of any date from March 12, 2020 but no later than December 31, 2024 and should be applied on a prospective basis. The Company applied available practical expedients under Topic 848 to account for modifications, changes in critical terms, and updates to the designated hedged risks as qualifying changes have been made to applicable debt modifications as if they were not substantial. Application of these practical expedients allowed us to maintain hedge accounting for our interest rate swap contracts. The adoption did not have a material impact on the Company's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11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Updates not listed below were assessed and either determined to not be applicable or are expected to have a minimal effect on the Company’s financial position, results of operations, and disclosures.</w:t>
      </w:r>
    </w:p>
    <w:p>
      <w:pPr>
        <w:spacing w:after="0" w:line="15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7"/>
          <w:szCs w:val="17"/>
          <w:color w:val="auto"/>
        </w:rPr>
        <w:t>In June 2016, the FASB issued ASU 2016-13, Measurement of Credit Losses on Financial Instruments. This guidance introduces a new model for recognizing credit losses on financial instruments based on an estimate of current expected credit losses. ASU 2016-13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The Company met the definition of a Smaller Reporting Company as of the one-time determination date of November 15, 2019. Early adoption is permitted. Management expects the adoption of ASU 2016-13 will not have a material impact on the Company's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The results of operations below focuses on the results of the year ended December 31, 2022 compared to the year ended December 31, 2021. For a discussion of 2021 compared to 2020 refer to "Management's Discussion and Analysis of Financial Condition and Results of Operations", in Part II, Item 7 of the Company's Annual Report on Form 10-K for the year ended December 31,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statement of operations data of the Company as a percentage of net sales for the periods indicated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460" w:type="dxa"/>
            <w:vAlign w:val="bottom"/>
          </w:tcPr>
          <w:p>
            <w:pPr>
              <w:spacing w:after="0"/>
              <w:rPr>
                <w:sz w:val="15"/>
                <w:szCs w:val="15"/>
                <w:color w:val="auto"/>
              </w:rPr>
            </w:pPr>
          </w:p>
        </w:tc>
      </w:tr>
      <w:tr>
        <w:trPr>
          <w:trHeight w:val="22"/>
        </w:trPr>
        <w:tc>
          <w:tcPr>
            <w:tcW w:w="66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1"/>
        </w:trPr>
        <w:tc>
          <w:tcPr>
            <w:tcW w:w="6660" w:type="dxa"/>
            <w:vAlign w:val="bottom"/>
          </w:tcPr>
          <w:p>
            <w:pPr>
              <w:spacing w:after="0"/>
              <w:rPr>
                <w:sz w:val="15"/>
                <w:szCs w:val="15"/>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gridSpan w:val="2"/>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8"/>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64.2</w:t>
            </w:r>
          </w:p>
        </w:tc>
        <w:tc>
          <w:tcPr>
            <w:tcW w:w="15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64.4</w:t>
            </w:r>
          </w:p>
        </w:tc>
      </w:tr>
      <w:tr>
        <w:trPr>
          <w:trHeight w:val="212"/>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1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35.2</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35.6</w:t>
            </w:r>
          </w:p>
        </w:tc>
      </w:tr>
      <w:tr>
        <w:trPr>
          <w:trHeight w:val="219"/>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expenses</w:t>
            </w: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10.3</w:t>
            </w:r>
          </w:p>
        </w:tc>
        <w:tc>
          <w:tcPr>
            <w:tcW w:w="15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9.5</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21.3</w:t>
            </w:r>
          </w:p>
        </w:tc>
        <w:tc>
          <w:tcPr>
            <w:tcW w:w="15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20.3</w:t>
            </w:r>
          </w:p>
        </w:tc>
      </w:tr>
      <w:tr>
        <w:trPr>
          <w:trHeight w:val="219"/>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Wallace facility remediation expense</w:t>
            </w: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0.7</w:t>
            </w:r>
          </w:p>
        </w:tc>
        <w:tc>
          <w:tcPr>
            <w:tcW w:w="15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and other intangible asset impairments</w:t>
            </w: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expenses</w:t>
            </w: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6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(2.4)</w:t>
            </w:r>
          </w:p>
        </w:tc>
        <w:tc>
          <w:tcPr>
            <w:tcW w:w="15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46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to market gain (loss) on interest rate derivatives</w:t>
            </w: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0.3</w:t>
            </w:r>
          </w:p>
        </w:tc>
        <w:tc>
          <w:tcPr>
            <w:tcW w:w="15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(0.3)</w:t>
            </w: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 and equity in (losses) earnings</w:t>
            </w:r>
          </w:p>
        </w:tc>
        <w:tc>
          <w:tcPr>
            <w:tcW w:w="14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(0.8)</w:t>
            </w:r>
          </w:p>
        </w:tc>
        <w:tc>
          <w:tcPr>
            <w:tcW w:w="15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(losses) earnings, net of taxes</w:t>
            </w:r>
          </w:p>
        </w:tc>
        <w:tc>
          <w:tcPr>
            <w:tcW w:w="146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(1.2)</w:t>
            </w:r>
          </w:p>
        </w:tc>
        <w:tc>
          <w:tcPr>
            <w:tcW w:w="15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0.2</w:t>
            </w:r>
          </w:p>
        </w:tc>
      </w:tr>
      <w:tr>
        <w:trPr>
          <w:trHeight w:val="237"/>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4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(0.4)%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COMPARED TO 2021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Net sales for the year ended December 31, 2022 were $727.7 million, a decrease of $135.2 million, or 15.7%, compared to net sales of $862.9 million in 2021. In constant currency, a non-GAAP financial measure, which excludes the impact of foreign exchange fluctuations and was determined by applying 2022 average rates to 2021 local currency amounts, net sales decreased $127.7 million, or 14.9%, as compared to consolidated net sales in the corresponding period in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sales for the U.S. segment in 2022 were $669.2 million, a decrease of $101.4 million, or 13.2%, compared to net sales of $770.6 million in 2021.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sales for the U.S. segment’s Kitchenware product category in 2022 were $402.9 million, a decrease of $84.9 million, or 17.4%, compared to net sales of</w:t>
      </w:r>
    </w:p>
    <w:p>
      <w:pPr>
        <w:spacing w:after="0" w:line="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$487.8 million in 2021. The net sales decrease in the U.S. segment’s Kitchenware product category was driven by lower sales for kitchen tools and gadgets, cutlery and board, and bakeware products.</w:t>
      </w:r>
    </w:p>
    <w:p>
      <w:pPr>
        <w:spacing w:after="0" w:line="16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Net sales for the U.S. segment’s Tableware product category in 2022 were $148.8 million, a decrease of $18.4 million, or 11.0%, compared to net sales of $167.2 million for 2021. The decrease was across both tableware and flatware sales.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sales for the U.S. segment’s Home Solutions products category in 2022 were $117.5 million, an increase of $1.9 million, or 1.6%, compared to net sales of</w:t>
      </w:r>
    </w:p>
    <w:p>
      <w:pPr>
        <w:spacing w:after="0" w:line="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$115.6 million in 2021. The increase was due to hydration product sales primarily attributable to S'well products, which was acquired on March 2, 2022, and added net sales of $16.9 million, offset by a decrease in home décor sales.</w:t>
      </w:r>
    </w:p>
    <w:p>
      <w:pPr>
        <w:spacing w:after="0" w:line="16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decrease in the Company's U.S. segment's net sales occurred in all distribution channels. This was attributable to inventory buildup at retailers, primarily in the first half of 2022, resulting in a slowing of replenishment orders as retailers reduced safety stock and weeks of supply. In addition, retail sales declined as consumers shifted their spending toward services and away from goods, including housewares, which surged during the pandemic lock-down period.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Net sales for the International segment in 2022 were $58.5 million, a decrease of $33.8 million, or 36.6%, compared to net sales of $92.3 million for 2021. In constant currency, a non-GAAP financial measure, which excludes the impact of foreign exchange fluctuations and was determined by applying 2022 average exchange rates to 2021 local currency amounts, net sales decreased approximately 31.1%. The decrease was due to similar factors as was experienced in the U.S. segment. However, it was further exacerbated by the impact of higher food and energy inflation in Europe. In addition, a decrease in the Company's global trading business in Asia driven by lower sales to an Australian distributor.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margin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margin for 2022 was $260.3 million, or 35.8%, compared to $303.3 million, or 35.2%, for the corresponding period in 2021.</w:t>
      </w:r>
    </w:p>
    <w:p>
      <w:pPr>
        <w:spacing w:after="0" w:line="21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Gross margin for the U.S. segment was $241.1 million, or 36.0%, for 2022, compared to $274.1 million, or 35.6%, for 2021. The decrease in gross margin for the U.S. was due to lower sales. The improvement in gross margin percentage was due to product mix and a tariff reduction on certain product categories.</w:t>
      </w:r>
    </w:p>
    <w:p>
      <w:pPr>
        <w:spacing w:after="0" w:line="151"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Gross margin for the International segment was $19.2 million, or 32.8%, for 2022, compared to $29.2 million, or 31.6%, for 2021. The decrease in gross margin was due to lower sales. The increase in gross margin percentage was attributable to customer mix and sales price increases, partially offset by the impact of fixed overhead costs on lower sales volume in 2022.</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 expenses</w:t>
      </w:r>
    </w:p>
    <w:p>
      <w:pPr>
        <w:spacing w:after="0" w:line="11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Distribution expenses were $74.9 million for the 2022 period as compared to $80.8 million for the 2021 period. Distribution expenses as a percentage of net sales were 10.3% and 9.4% in 2022 and 2021.</w:t>
      </w:r>
    </w:p>
    <w:p>
      <w:pPr>
        <w:spacing w:after="0" w:line="1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Distribution expenses as a percentage of net sales for the U.S. segment were approximately 9.1% in 2022 and 8.0% in 2021. Distribution expenses in 2022 include $0.1 million for the Company's distribution operation redesign costs. As a percentage of sales shipped from the Company’s warehouses, excluding non-recurring expenses, distribution expenses were 10.1% and 8.7% for 2022 and 2021. The increase in the expenses as a percentage of sales was a result of lower shipment volume resulting in an unfavorable impact on fixed expenses, increase in storage fees due to high inventory levels through the third quarter of 2022 and higher labor rates, partially offset by lower warehouse equipment and supply expenses.</w:t>
      </w:r>
    </w:p>
    <w:p>
      <w:pPr>
        <w:spacing w:after="0" w:line="175"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7"/>
          <w:szCs w:val="17"/>
          <w:color w:val="auto"/>
        </w:rPr>
        <w:t>Distribution expenses as a percentage of net sales for the International segment were approximately 23.8% in 2022 and 20.3% in 2021, respectively. Distribution expenses in 2022 include $0.5 million for the Company’s relocation costs for its new warehouse distribution facility in the Netherlands. As a percentage of sales shipped from the Company’s warehouses, excluding non-recurring expenses, distribution expenses, were 21.5% and 17.4% for 2022 and 2021, respectively. The increase was primarily attributed to lower shipment volume resulting in an unfavorable impact on fixed expenses and higher warehouse supply expenses.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118"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Selling, general and administrative (“SG&amp;A”) expenses for 2022 were $154.5 million, a decrease of $1.9 million, or 1.2%, as compared to $156.4 million for 2021.</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SG&amp;A expenses for 2022 for the U.S. segment were $118.2 million, an increase of $6.4 million, or 5.7%, compared to $111.8 million for 2021. As a percentage of net sales, SG&amp;A expenses were 17.7% for 2022, compared to 14.5% for 2021. The increase in the expense was attributable to integration costs related to the S'well acquisition, bad debt expense related to significant declines in financial condition of certain customers due to sales declines and very high debt levels, and an increase in advertising expenses. This was partially offset by lower compensation expense. The increase in selling, general and administrative expense as a percentage of net sales is due to the unfavorable impact of fixed costs on lower sales volume.</w:t>
      </w:r>
    </w:p>
    <w:p>
      <w:pPr>
        <w:spacing w:after="0" w:line="17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SG&amp;A expenses for 2022 for the International segment were $17.0 million, a decrease of $3.7 million, or 17.9%, compared to $20.7 million for 2021. As a percentage of net sales, SG&amp;A expenses increased to 29.1% for 2022, compared to 22.4% for 2021. The international segment expense decreased primarily due to lower amortization expense on intangible assets as a result of the prior year impairment and a decrease in employee expenses.</w:t>
      </w:r>
    </w:p>
    <w:p>
      <w:pPr>
        <w:spacing w:after="0" w:line="165"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Unallocated corporate expenses for 2022 were $19.3 million, compared to $23.9 million for 2021. The decrease was driven by lower incentive compensation expense and stock compensation expense, partially offset by an increase in legal and professional fees related to the S'well acquisition.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Wallace facility remediation expense</w:t>
      </w:r>
    </w:p>
    <w:p>
      <w:pPr>
        <w:spacing w:after="0" w:line="11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In connection with the Wallace EPA Matter (as described in NOTE 14 — COMMITMENTS AND CONTINGENCIES, the “Wallace EPA Matter”), the Company recorded an additional expense of $5.1 million in 2022, for the estimated liability for remediation cost related to the Wallace facility. In 2021, the Company recorded an initial estimate of $0.5 million, related to remedial design portion of the liability. Refer to NOTE 14 — COMMITMENTS AND CONTINGENCIES for further discussion on this matter.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and other intangible asset impairments</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Due to the current operating results for the International segment as a result of low consumer confidence in the region, impairment indicators were identified for the International asset group. The Company tested the recoverability of the asset group, concluding it was not recoverable and performed an analysis of the fair value of the international long-lived assets. The Company tested the International segment's long-lived assets for impairment and concluded that the fair value exceeded the carrying value of the long-lived assets, concluding no impairment as of December 31, 2022.</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fourth quarter of 2021, due to lower than expected operating results for the International segment caused by continuing impacts of COVID-19 and the exit of the U.K. from the European Union, impairment indicators were identified for the International asset group. The Company tested the recoverability of the asset group, concluding it was not recoverable and performed an analysis of the fair value of the international long-lived assets. For the finite-lived intangible assets, the Company performed discounted cash flow analysis and recorded an impairment of $14.8 million within the International segment.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Restructuring expenses</w:t>
      </w:r>
    </w:p>
    <w:p>
      <w:pPr>
        <w:spacing w:after="0" w:line="11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In 2022, the Company's international segment incurred $0.4 million of restructuring expenses related to severance associated with the reorganization of the International segment's workforce. The reorganization was the result of the Company’s efforts to realign the management and operating structure of the European business in response to changing market conditions. The Company expects annual savings of $2.3 million associated with the reorganization.</w:t>
      </w:r>
    </w:p>
    <w:p>
      <w:pPr>
        <w:spacing w:after="0" w:line="1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In 2022, the Company’s U.S. segment accrued $0.4 million related to severance associated with the reorganization of the U.S. segment’s sales management structure. The Company accrued $0.6 million of unallocated expense related to the termination payment with its Executive Chairman, Jeffrey Siegel. On November 1, 2022, the Company entered into a transition agreement with Jeffrey Siegel, which provides for termination of his employment with the Company, effective March 31, 2023. The transition agreement amends Mr. Siegel’s employment agreement which was to expire on December 31, 2022. The employment agreement provides for a one-time payment which will be paid upon the expiration of the transition agreement. The Company estimates the one-time payment to be approximately $1.4 million, of which $0.6 million was accrued as a restructuring expense in 2022. The remaining $0.8 million is expected to be recorded over the remaining employment period. The Company expects annual savings of $1.3 million due to these actions.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Interest expense for 2022 was $17.2 million, compared to $15.5 million for 2021. The increase was a result of higher interest rates on outstanding borrowings in the current period.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to market gain (loss) on interest rate derivatives</w:t>
      </w:r>
    </w:p>
    <w:p>
      <w:pPr>
        <w:spacing w:after="0" w:line="11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7"/>
          <w:szCs w:val="17"/>
          <w:color w:val="auto"/>
        </w:rPr>
        <w:t>Mark to market gain on interest rate derivatives was $2.0 million for the year ended December 31, 2022, as compared to a mark to market gain on interest rate derivatives of $1.1 million for the year ended December 31, 2021. The mark to market amount represents the change in the fair value on the Company's interest rate derivatives that have not been designated as hedging instruments. These derivatives were entered into for purposes of locking-in a fixed interest rate on the Company's variable interest rate debt. The increase in gain was a result of increases in interest rates during 2022. As of December 31, 2022, the intent of the Company is to hold these derivative contracts until their maturity.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income tax provision was $5.7 million in 2022 and $16.5 million in 2021. The Company’s effective tax rate for 2022 was 63.4%, compared to 45.5% for 2021. The effective tax rate in 2022 and 2021 was driven primarily by state and local tax expenses, nondeductible expenses, and foreign losses for which no tax benefit is recognized as such amounts are fully offset with a valuation allowance.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in (losses) earnings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equity in earnings, net of tax, for 2022 and 2021 are as follows: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Vasconia equity in earnings,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6655435" cy="139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55435"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loss on dilution in Vasconia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655435" cy="139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55435"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loss on partial sale of Vasconia ownership, net of taxes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Impairment on investment in Vasconia</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Equity in earnings (losses),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6655435" cy="163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55435"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13423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5" w:lineRule="exact"/>
        <w:rPr>
          <w:sz w:val="20"/>
          <w:szCs w:val="20"/>
          <w:color w:val="auto"/>
        </w:rPr>
      </w:pPr>
    </w:p>
    <w:p>
      <w:pPr>
        <w:ind w:left="360"/>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13423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(3,300)</w:t>
            </w:r>
          </w:p>
        </w:tc>
        <w:tc>
          <w:tcPr>
            <w:tcW w:w="14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w:t>
            </w:r>
          </w:p>
        </w:tc>
      </w:tr>
      <w:tr>
        <w:trPr>
          <w:trHeight w:val="219"/>
        </w:trPr>
        <w:tc>
          <w:tcPr>
            <w:tcW w:w="30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r>
      <w:tr>
        <w:trPr>
          <w:trHeight w:val="214"/>
        </w:trPr>
        <w:tc>
          <w:tcPr>
            <w:tcW w:w="3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r>
      <w:tr>
        <w:trPr>
          <w:trHeight w:val="254"/>
        </w:trPr>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(6,167)</w:t>
            </w: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12"/>
        </w:trPr>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(9,467)</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40" w:space="720"/>
            <w:col w:w="2880"/>
          </w:cols>
          <w:pgMar w:left="320" w:top="123" w:right="339" w:bottom="1440" w:gutter="0" w:footer="0" w:header="0"/>
        </w:sectPr>
      </w:pPr>
    </w:p>
    <w:p>
      <w:pPr>
        <w:spacing w:after="0" w:line="5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Vasconia reported loss from operations for 2022 of $1.6 million, as compared to income of $15.5 million for 2021 and reported net loss of $13.2 million in 2022 and net income of $7.0 million in 2021. The decrease in income from operations was primarily attributable to Vasconia’s aluminum division as a result of increases in the price of commodities.</w:t>
      </w:r>
    </w:p>
    <w:p>
      <w:pPr>
        <w:spacing w:after="0" w:line="16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The effect of the translation of the Company’s investment, as well as the translation of Vasconia’s balance sheet, resulted in a decrease of the investment of $0.3 million during the year ended December 31, 2022 and an increase of the investment of $1.0 million during the year ended December 31, 2021.</w:t>
      </w:r>
    </w:p>
    <w:p>
      <w:pPr>
        <w:spacing w:after="0" w:line="151"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2022, the Company recorded an impairment charge of $6.2 million to reduce the carrying value of the Company's investment in Vasconia to its fair value. The decline in the fair value was determined to be other than temporary due to the decline in the quoted stock price and the decline in the operating results of Vasconia.</w:t>
      </w:r>
    </w:p>
    <w:p>
      <w:pPr>
        <w:spacing w:after="0" w:line="16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2021, the Company's ownership in its equity method investment decreased as a result of a dilution of its investment in Vasconia and a subsequent partial sale of its investment. The Company recognized a net loss of $0.3 million related to the dilution of the Company's ownership in its Vasconia investment. The net loss was comprised of a loss of $2.0 million, related to amounts that were previously recognized in accumulated other comprehensive loss, net of a non-cash gain of $1.7 million for the difference between the selling price and the Company's basis in the diluted shares.</w:t>
      </w:r>
    </w:p>
    <w:p>
      <w:pPr>
        <w:spacing w:after="0" w:line="17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Additionally, the Company recognized a net loss of $0.5 million related to a partial sale of the Company’s ownership in its Vasconia investment. The net loss was comprised of a gain of $1.0 million, for the difference between the selling price and the Company’s basis in the sale of shares, offset by tax expense of $0.1 million and a loss of $1.4 million, related to amounts previously recognized in accumulated other comprehensive loss.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Management’s Discussion and Analysis of Financial Condition and Results of Operations </w:t>
      </w:r>
      <w:r>
        <w:rPr>
          <w:rFonts w:ascii="Times New Roman" w:cs="Times New Roman" w:eastAsia="Times New Roman" w:hAnsi="Times New Roman"/>
          <w:sz w:val="17"/>
          <w:szCs w:val="17"/>
          <w:color w:val="auto"/>
        </w:rPr>
        <w:t>discusses the Company’s audited consolidated financial statements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have been prepared in accordance with GAAP and with the instructions to Form 10-K and Article 10 of Regulation S-X. The preparation of these financial statements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management evaluates its estimates and judgments based on historical experience and on various other factors that are believed to be reasonable under the circumstances, the results of which form the basis for making judgments about the carrying values of assets and liabilities that are not readily apparent from other sources. The Company evaluates these estimates including those related to revenue recognition, allowances for doubtful accounts, reserves for sales returns and allowances and customer chargebacks, inventory mark-down provisions, estimates for unpaid healthcare claims, impairment of goodwill, tangible and intangible assets, stock compensation expense, accruals related to the Company’s tax positions and tax valuation allowances. Actual results may differ from these estimates using different assumptions and under different conditions and changes in these estimates are recorded when known. The Company’s significant accounting policies are more fully described in NOTE 1 — SIGNIFICANT ACCOUNTING POLICIES in the Notes to the consolidated financial statements included in Item</w:t>
      </w:r>
    </w:p>
    <w:p>
      <w:pPr>
        <w:spacing w:after="0" w:line="5" w:lineRule="exact"/>
        <w:rPr>
          <w:sz w:val="20"/>
          <w:szCs w:val="20"/>
          <w:color w:val="auto"/>
        </w:rPr>
      </w:pPr>
    </w:p>
    <w:p>
      <w:pPr>
        <w:ind w:right="100" w:firstLine="3"/>
        <w:spacing w:after="0" w:line="266" w:lineRule="auto"/>
        <w:tabs>
          <w:tab w:leader="none" w:pos="25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believes that the following discussion addresses its most critical accounting policies, which are those that are most important to the portrayal of the Company’s consolidated financial condition and results of operations and require management’s most difficult, subjective and complex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intangible assets and long-lived assets</w:t>
      </w:r>
    </w:p>
    <w:p>
      <w:pPr>
        <w:spacing w:after="0" w:line="118"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1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not considered to be 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38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Company reviews goodwill and other intangibles that have indefinite lives for impairment annually as of October 1st or when events or changes in circumstances indicate the carrying value of these assets might exceed their current fair values. For goodwill, impairment testing is based upon the best information available using a combination of the discounted cash flow method, a form of the income approach, and the guideline public company method, a form of the market approach.</w:t>
      </w:r>
    </w:p>
    <w:p>
      <w:pPr>
        <w:spacing w:after="0" w:line="17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 The significant assumptions used in the relief from royalty model are future net sales for the related brands, royalty rates and the cost of capital to determine the fair value of the indefinite lived intangibles.</w:t>
      </w:r>
    </w:p>
    <w:p>
      <w:pPr>
        <w:spacing w:after="0" w:line="17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Company performed its annual impairment assessment of its U.S. reporting unit as of October 1, 2022 by comparing the fair value of the reporting unit with its carrying value. The Company performed the analysis using a discounted cash flow and market multiple method. As of October 1, 2022, the fair value of the U.S. reporting unit exceeded the carrying value of goodwill by 10%.</w:t>
      </w:r>
    </w:p>
    <w:p>
      <w:pPr>
        <w:spacing w:after="0" w:line="165"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The Company completed the quantitative impairment analysis for its indefinite-lived assets as of October 1, 2022, by comparing the fair value of the indefinite-lived trade names to their respective carrying value using a relief from royalty method. As of October 1, 2022, the fair value of the Company’s indefinite-lived trade names exceeded their respective carrying values by 12%.</w:t>
      </w:r>
    </w:p>
    <w:p>
      <w:pPr>
        <w:spacing w:after="0" w:line="16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18"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Net sales exclude taxes that are collected from customers and remitted to the taxing authorities.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terms vary by customer, but generally range from 30 to 90 days or at the point of sale for the Company’s retail direct sales.</w:t>
      </w:r>
    </w:p>
    <w:p>
      <w:pPr>
        <w:spacing w:after="0" w:line="21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Company’s principal sources of funds consists of cash provided by operating activities, borrowings available under its revolving credit facility and from time-to-time working capital reductions. The Company’s primary uses of funds consist of payments of principal and interest on its debt, working capital requirements, capital expenditures and dividends, From time-to-time uses also include acquisitions and repurchases of its common stock.</w:t>
      </w:r>
    </w:p>
    <w:p>
      <w:pPr>
        <w:spacing w:after="0" w:line="16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At December 31, 2022 and 2021, the Company had cash and cash equivalents of $23.6 million and $28.0 million, respectively, and working capital of $270.4 million at December 31, 2022, compared to $270.8 million at December 31, 2021. The current ratio (current assets to current liabilities) was 3.1 to 1.0 at December 31, 2022, compared to 2.3 to 1.0 at December 31, 2021. The increase in the current ratio was primarily due to operating cash flow used to reduce current obligations.</w:t>
      </w:r>
    </w:p>
    <w:p>
      <w:pPr>
        <w:spacing w:after="0" w:line="379" w:lineRule="exact"/>
        <w:rPr>
          <w:sz w:val="20"/>
          <w:szCs w:val="20"/>
          <w:color w:val="auto"/>
        </w:rPr>
      </w:pPr>
    </w:p>
    <w:p>
      <w:pPr>
        <w:jc w:val="both"/>
        <w:ind w:right="500"/>
        <w:spacing w:after="0" w:line="270" w:lineRule="auto"/>
        <w:rPr>
          <w:sz w:val="20"/>
          <w:szCs w:val="20"/>
          <w:color w:val="auto"/>
        </w:rPr>
      </w:pPr>
      <w:r>
        <w:rPr>
          <w:rFonts w:ascii="Times New Roman" w:cs="Times New Roman" w:eastAsia="Times New Roman" w:hAnsi="Times New Roman"/>
          <w:sz w:val="17"/>
          <w:szCs w:val="17"/>
          <w:color w:val="auto"/>
        </w:rPr>
        <w:t>At December 31, 2022, borrowings under the Company’s ABL Agreement were $10.4 million and $245.9 million was outstanding under the Term Loan. At December 31, 2021, borrowings under the Company’s ABL Agreement were nil and $252.1 million was outstanding under the Term Loan. Liquidity, which includes cash and cash equivalents and availability under the ABL Agreement, was approximately $199.8 million at December 31, 2022.</w:t>
      </w:r>
    </w:p>
    <w:p>
      <w:pPr>
        <w:spacing w:after="0" w:line="1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Inventory, a large component of the Company’s working capital, is expected to fluctuate from period to period, with inventory levels higher primarily in the June through October time period. The decrease in inventory levels at December 31, 2022 compared to the prior year was a result of the Company's response to changes in retailer purchasing patterns.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December 31, 2022 inventory turnover was 2.1 times, or 170 days, as compared to 2.5 times, or 145 days, for the three months ended December 31, 2021. Inventory turns have slowed due to macroeconomic challenges that companies across industries and retailers in particular faced. Inflation has led to weaker end market demand.</w:t>
      </w:r>
    </w:p>
    <w:p>
      <w:pPr>
        <w:spacing w:after="0" w:line="3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In connection with the Wallace EPA Matter, the Company expects it will be required to provide financial assurance of $5.6 million in the next 12 months, which it expects to provide in the form of a letter of credit. This would reduce availability under the revolving credit facility by the same amount.</w:t>
      </w:r>
    </w:p>
    <w:p>
      <w:pPr>
        <w:spacing w:after="0" w:line="151"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The Company believes that availability under the revolving credit facility under its ABL Agreement and cash flows from operations are sufficient to fund the Company’s operations for the next 12 months. However, if circumstances were to adversely change, the Company may seek alternative sources of liquidity including debt and/or equity financing. However, there can be no assurance that any such alternative sources would be available or sufficient.</w:t>
      </w:r>
    </w:p>
    <w:p>
      <w:pPr>
        <w:spacing w:after="0" w:line="165"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affected by future changes in these conditions.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Facilities</w:t>
      </w:r>
    </w:p>
    <w:p>
      <w:pPr>
        <w:spacing w:after="0" w:line="11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On August 26, 2022, the Company entered into Amendment No. 2 (the “Amendment”) to the ABL Agreement among the Company, as a Borrower, certain subsidiaries of the Company, as Borrowers and/or Loan Parties, JPMorgan Chase Bank, N.A., as Administrative Agent and a Lender, HSBC Bank USA, National Association and Wells Fargo Bank, National Association, as Co-Documentation Agents and Lenders, and Manufacturers and Traders Trust Company. The ABL Agreement provides for a senior secured asset-based revolving credit facility in the maximum aggregate principal amount of $200.0 million, which facility will mature on August 26, 2027 (subject to an earlier springing maturity date that is 90 days prior to the Term Loan maturity date of February 28, 2025 if the Company’s Term Loan has not been repaid or refinanced by such date).</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Term Loan provides for a senior secured term loan credit facility in the original principal amount of $275.0 million, which matures on February 28, 2025. On December 29, 2022, the Company entered into Amendment No. 1 to the Term Loan, which replaces the LIBOR-based interest rates with SOFR-based interest rates and modifies the provisions for determining the alternative rate of interest upon the occurrence of certain events relating to the availability of interest rate benchmarks. The Term Loan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An estimate of the amount of the Excess Cash Flow payment is recorded in current maturity of term loan on the consolidated balance sheets. Additionally, the Term Loan requires quarterly payments, which commenced on June 30, 2018, of principal equal to 0.25%, of the original aggregate principal amount of the Term Loan facility, which payments are to be adjusted from time to time to account for prepayments made. Per the Term Loan, when the Company makes an Excess Cash</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Flow payment, the payment is first applied to satisfy the next eight scheduled future quarterly required payments of the Term Loan in order of maturity and then to the remaining scheduled installments on a pro rata basis. The quarterly principal payments have been satisfied through maturity of the Term Loan by the annual Excess Cash Flow payments made to date.</w:t>
      </w:r>
    </w:p>
    <w:p>
      <w:pPr>
        <w:spacing w:after="0" w:line="16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The maximum borrowing amount under the ABL Agreement may be increased to up to $250.0 million if certain conditions are met but limited to $220.0 million pursuant to the Term Loan.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3.75 to 1.00, subject to certain limitations and for the period defined pursuant to the Term Loan but not to mature earlier than the maturity date of the then existing term loans.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2022 and 2021, the total availability under the ABL Agreement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160" w:type="dxa"/>
            <w:vAlign w:val="bottom"/>
          </w:tcPr>
          <w:p>
            <w:pPr>
              <w:spacing w:after="0"/>
              <w:rPr>
                <w:sz w:val="17"/>
                <w:szCs w:val="17"/>
                <w:color w:val="auto"/>
              </w:rPr>
            </w:pPr>
          </w:p>
        </w:tc>
        <w:tc>
          <w:tcPr>
            <w:tcW w:w="152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189,411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r>
      <w:tr>
        <w:trPr>
          <w:trHeight w:val="219"/>
        </w:trPr>
        <w:tc>
          <w:tcPr>
            <w:tcW w:w="7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Outstanding borrowings under the ABL Agreement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(3,659)</w:t>
            </w: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176,222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146,341</w:t>
            </w: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mean that the Company may have greater borrowing availability during the third and fourth quarters of each year. Consequently, the $200.0 million commitment thereunder may not represent actual borrowing capacity.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current and non-current portions of the Company’s Term Loan facility included in the consolidated balance sheets are presented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300" w:type="dxa"/>
            <w:vAlign w:val="bottom"/>
          </w:tcPr>
          <w:p>
            <w:pPr>
              <w:spacing w:after="0"/>
              <w:rPr>
                <w:sz w:val="17"/>
                <w:szCs w:val="17"/>
                <w:color w:val="auto"/>
              </w:rPr>
            </w:pPr>
          </w:p>
        </w:tc>
        <w:tc>
          <w:tcPr>
            <w:tcW w:w="196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8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Term Loan facility:</w:t>
            </w:r>
          </w:p>
        </w:tc>
        <w:tc>
          <w:tcPr>
            <w:tcW w:w="32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Estimated Excess Cash Flow principal payment</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7,200</w:t>
            </w:r>
          </w:p>
        </w:tc>
      </w:tr>
      <w:tr>
        <w:trPr>
          <w:trHeight w:val="20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Estimated unamortized debt issuance costs</w:t>
            </w:r>
          </w:p>
        </w:tc>
        <w:tc>
          <w:tcPr>
            <w:tcW w:w="3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(1,429)</w:t>
            </w:r>
          </w:p>
        </w:tc>
      </w:tr>
      <w:tr>
        <w:trPr>
          <w:trHeight w:val="196"/>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portion of Term Loan facility</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5,771</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175"/>
        </w:trPr>
        <w:tc>
          <w:tcPr>
            <w:tcW w:w="6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Non-current portion of Term Loan facility:</w:t>
            </w: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Term Loan facility, net of current portion</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245,911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244,927</w:t>
            </w:r>
          </w:p>
        </w:tc>
      </w:tr>
      <w:tr>
        <w:trPr>
          <w:trHeight w:val="203"/>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Estimated unamortized debt issuance costs</w:t>
            </w: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(3,054)</w:t>
            </w:r>
          </w:p>
        </w:tc>
      </w:tr>
      <w:tr>
        <w:trPr>
          <w:trHeight w:val="22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Non-current portion of Term Loan facility</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242,857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241,873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As of December 31, 2022, there is no Excess Cash Flow Payment due for 2023. The 2022 Excess Cash Flow payment, paid on March 30, 2022, totaled $6.2 million. The Excess Cash Flow payment differs from the estimated amount at December 31, 2021 of $7.2 million as certain lenders opted to decline their payments per the terms of the Term Loan.</w:t>
      </w:r>
    </w:p>
    <w:p>
      <w:pPr>
        <w:spacing w:after="0" w:line="16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consists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7"/>
          <w:szCs w:val="17"/>
          <w:color w:val="auto"/>
        </w:rPr>
        <w:t>of its subsidiaries (the “Term Loan Collateral”) pledged as collateral in favor of lenders under the Term Loan and a second-priority lien in the Term Loan Collateral in favor of the lenders under the ABL Agreement.</w:t>
      </w:r>
    </w:p>
    <w:p>
      <w:pPr>
        <w:spacing w:after="0" w:line="15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SOFR plus 1.0% as of a specified date in advance of the determination, but in each case not less than 1.0%, plus a margin of 0.25% to 0.5%,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December 31, 2022 was 3.43%. In addition, the Company paid a commitment fee of 0.25% to 0.375% on the unused portion of the ABL Agreement during the year ended December 31, 2022.</w:t>
      </w:r>
    </w:p>
    <w:p>
      <w:pPr>
        <w:spacing w:after="0" w:line="17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Term Loan facility bears interest, at the Company’s option, at one of the following rates: (i) alternate base rate, defined, for any day, as the greater of (x) the prime rate, (y) a federal funds and overnight bank funding based rate plus 0.50% or (z) one-month Adjusted Term SOFR, but not less than 1.0% plus 1.0%, plus a margin of 2.5% or (ii) SOFR for the applicable interest period, multiplied by any statutory reserve rate, but not less than 1.0%, plus a margin of 3.5%. The interest rate on outstanding borrowings under the Term Loan at December 31, 2022 was 7.9%.</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Debt Agreements provide for customary restrictions and events of default. Restrictions include limitations on additional indebtedness, liens,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was in compliance with the covenants of the Debt Agreements at December 31, 2022.</w:t>
      </w:r>
    </w:p>
    <w:p>
      <w:pPr>
        <w:spacing w:after="0" w:line="21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Prior to the amendment of the credit agreement, the Company’s ABL provided for an aggregate principal amount of $150.0 million. Upon entering into the Amendment to the ABL Agreement the Company repaid its outstanding ABL borrowing in the amount of $32.0 million and re-borrowed such amounts under the ABL Agreement, as amended. Unamortized debt issuance costs that were written off were immaterial.</w:t>
      </w:r>
    </w:p>
    <w:p>
      <w:pPr>
        <w:spacing w:after="0" w:line="165"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The Company expects that it will continue to borrow, subject to availability, and repay funds under the ABL Agreement based on working capital and other corporate needs.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Covenant Calculations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Non-GAAP financial measure</w:t>
      </w:r>
    </w:p>
    <w:p>
      <w:pPr>
        <w:spacing w:after="0" w:line="118"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spacing w:after="0" w:line="17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Investors should consider these non-GAAP financial measures in addition to, and not as a substitute for, the Company’s financial performance measures prepared in accordance with GAAP. Further, the Company’s non-GAAP information may be different from the non-GAAP information provided by other companies including other companies within the home retail industry.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The following is a reconciliation of net income (loss) as reported to adjusted EBITDA for the years ended December 31, 2022 and 2021 and each fiscal quarter of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7"/>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24"/>
                <w:szCs w:val="24"/>
                <w:color w:val="auto"/>
              </w:rPr>
            </w:pP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7"/>
              </w:rPr>
              <w:t>December 31, 2022</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6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(6,166)</w:t>
            </w:r>
          </w:p>
        </w:tc>
        <w:tc>
          <w:tcPr>
            <w:tcW w:w="0" w:type="dxa"/>
            <w:vAlign w:val="bottom"/>
          </w:tcPr>
          <w:p>
            <w:pPr>
              <w:spacing w:after="0"/>
              <w:rPr>
                <w:sz w:val="1"/>
                <w:szCs w:val="1"/>
                <w:color w:val="auto"/>
              </w:rPr>
            </w:pP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Undistributed equity (earnings) losses, net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9,467</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Income tax provision (benefit)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5,728</w:t>
            </w:r>
          </w:p>
        </w:tc>
        <w:tc>
          <w:tcPr>
            <w:tcW w:w="0" w:type="dxa"/>
            <w:vAlign w:val="bottom"/>
          </w:tcPr>
          <w:p>
            <w:pPr>
              <w:spacing w:after="0"/>
              <w:rPr>
                <w:sz w:val="1"/>
                <w:szCs w:val="1"/>
                <w:color w:val="auto"/>
              </w:rPr>
            </w:pP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17,205</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19,536</w:t>
            </w:r>
          </w:p>
        </w:tc>
        <w:tc>
          <w:tcPr>
            <w:tcW w:w="0" w:type="dxa"/>
            <w:vAlign w:val="bottom"/>
          </w:tcPr>
          <w:p>
            <w:pPr>
              <w:spacing w:after="0"/>
              <w:rPr>
                <w:sz w:val="1"/>
                <w:szCs w:val="1"/>
                <w:color w:val="auto"/>
              </w:rPr>
            </w:pP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Mark to market (gain) loss on interest rate derivatives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(1,971)</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Stock compensation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3,846</w:t>
            </w:r>
          </w:p>
        </w:tc>
        <w:tc>
          <w:tcPr>
            <w:tcW w:w="0" w:type="dxa"/>
            <w:vAlign w:val="bottom"/>
          </w:tcPr>
          <w:p>
            <w:pPr>
              <w:spacing w:after="0"/>
              <w:rPr>
                <w:sz w:val="1"/>
                <w:szCs w:val="1"/>
                <w:color w:val="auto"/>
              </w:rPr>
            </w:pP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Acquisition related expenses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1,473</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Restructuring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w:t>
            </w:r>
          </w:p>
        </w:tc>
        <w:tc>
          <w:tcPr>
            <w:tcW w:w="0" w:type="dxa"/>
            <w:vAlign w:val="bottom"/>
          </w:tcPr>
          <w:p>
            <w:pPr>
              <w:spacing w:after="0"/>
              <w:rPr>
                <w:sz w:val="1"/>
                <w:szCs w:val="1"/>
                <w:color w:val="auto"/>
              </w:rPr>
            </w:pPr>
          </w:p>
        </w:tc>
      </w:tr>
      <w:tr>
        <w:trPr>
          <w:trHeight w:val="206"/>
        </w:trPr>
        <w:tc>
          <w:tcPr>
            <w:tcW w:w="4600" w:type="dxa"/>
            <w:vAlign w:val="bottom"/>
          </w:tcPr>
          <w:p>
            <w:pPr>
              <w:ind w:left="640"/>
              <w:spacing w:after="0" w:line="207" w:lineRule="exact"/>
              <w:rPr>
                <w:sz w:val="20"/>
                <w:szCs w:val="20"/>
                <w:color w:val="auto"/>
              </w:rPr>
            </w:pPr>
            <w:r>
              <w:rPr>
                <w:rFonts w:ascii="Times New Roman" w:cs="Times New Roman" w:eastAsia="Times New Roman" w:hAnsi="Times New Roman"/>
                <w:sz w:val="15"/>
                <w:szCs w:val="15"/>
                <w:color w:val="auto"/>
              </w:rPr>
              <w:t>Warehouse relocation and redesign expenses</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0" w:type="dxa"/>
            <w:vAlign w:val="bottom"/>
          </w:tcPr>
          <w:p>
            <w:pPr>
              <w:spacing w:after="0"/>
              <w:rPr>
                <w:sz w:val="1"/>
                <w:szCs w:val="1"/>
                <w:color w:val="auto"/>
              </w:rPr>
            </w:pPr>
          </w:p>
        </w:tc>
      </w:tr>
      <w:tr>
        <w:trPr>
          <w:trHeight w:val="206"/>
        </w:trPr>
        <w:tc>
          <w:tcPr>
            <w:tcW w:w="4600" w:type="dxa"/>
            <w:vAlign w:val="bottom"/>
            <w:shd w:val="clear" w:color="auto" w:fill="CCEEFF"/>
          </w:tcPr>
          <w:p>
            <w:pPr>
              <w:ind w:left="640"/>
              <w:spacing w:after="0" w:line="207" w:lineRule="exact"/>
              <w:rPr>
                <w:sz w:val="20"/>
                <w:szCs w:val="20"/>
                <w:color w:val="auto"/>
              </w:rPr>
            </w:pPr>
            <w:r>
              <w:rPr>
                <w:rFonts w:ascii="Times New Roman" w:cs="Times New Roman" w:eastAsia="Times New Roman" w:hAnsi="Times New Roman"/>
                <w:sz w:val="15"/>
                <w:szCs w:val="15"/>
                <w:color w:val="auto"/>
              </w:rPr>
              <w:t>S'well integration costs</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1,895</w:t>
            </w:r>
          </w:p>
        </w:tc>
        <w:tc>
          <w:tcPr>
            <w:tcW w:w="0" w:type="dxa"/>
            <w:vAlign w:val="bottom"/>
          </w:tcPr>
          <w:p>
            <w:pPr>
              <w:spacing w:after="0"/>
              <w:rPr>
                <w:sz w:val="1"/>
                <w:szCs w:val="1"/>
                <w:color w:val="auto"/>
              </w:rPr>
            </w:pP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Wallace facility remediation expense</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5,140</w:t>
            </w:r>
          </w:p>
        </w:tc>
        <w:tc>
          <w:tcPr>
            <w:tcW w:w="0" w:type="dxa"/>
            <w:vAlign w:val="bottom"/>
          </w:tcPr>
          <w:p>
            <w:pPr>
              <w:spacing w:after="0"/>
              <w:rPr>
                <w:sz w:val="1"/>
                <w:szCs w:val="1"/>
                <w:color w:val="auto"/>
              </w:rPr>
            </w:pPr>
          </w:p>
        </w:tc>
      </w:tr>
      <w:tr>
        <w:trPr>
          <w:trHeight w:val="224"/>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EBITDA, before limitation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58,202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640"/>
              <w:spacing w:after="0" w:line="221" w:lineRule="exact"/>
              <w:rPr>
                <w:sz w:val="20"/>
                <w:szCs w:val="20"/>
                <w:color w:val="auto"/>
              </w:rPr>
            </w:pPr>
            <w:r>
              <w:rPr>
                <w:rFonts w:ascii="Times New Roman" w:cs="Times New Roman" w:eastAsia="Times New Roman" w:hAnsi="Times New Roman"/>
                <w:sz w:val="15"/>
                <w:szCs w:val="15"/>
                <w:color w:val="auto"/>
              </w:rPr>
              <w:t>Pro forma projected synergies adjustment</w:t>
            </w:r>
            <w:r>
              <w:rPr>
                <w:rFonts w:ascii="Times New Roman" w:cs="Times New Roman" w:eastAsia="Times New Roman" w:hAnsi="Times New Roman"/>
                <w:sz w:val="20"/>
                <w:szCs w:val="20"/>
                <w:color w:val="auto"/>
                <w:vertAlign w:val="superscript"/>
              </w:rPr>
              <w:t>(3)</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6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3,590</w:t>
            </w:r>
          </w:p>
        </w:tc>
        <w:tc>
          <w:tcPr>
            <w:tcW w:w="0" w:type="dxa"/>
            <w:vAlign w:val="bottom"/>
          </w:tcPr>
          <w:p>
            <w:pPr>
              <w:spacing w:after="0"/>
              <w:rPr>
                <w:sz w:val="1"/>
                <w:szCs w:val="1"/>
                <w:color w:val="auto"/>
              </w:rPr>
            </w:pPr>
          </w:p>
        </w:tc>
      </w:tr>
      <w:tr>
        <w:trPr>
          <w:trHeight w:val="199"/>
        </w:trPr>
        <w:tc>
          <w:tcPr>
            <w:tcW w:w="460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5"/>
                <w:szCs w:val="15"/>
                <w:color w:val="auto"/>
              </w:rPr>
              <w:t>Pro forma adjusted EBITDA, before limitation</w:t>
            </w:r>
            <w:r>
              <w:rPr>
                <w:rFonts w:ascii="Times New Roman" w:cs="Times New Roman" w:eastAsia="Times New Roman" w:hAnsi="Times New Roman"/>
                <w:sz w:val="20"/>
                <w:szCs w:val="20"/>
                <w:color w:val="auto"/>
                <w:vertAlign w:val="superscript"/>
              </w:rPr>
              <w:t>(5)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61,792</w:t>
            </w:r>
          </w:p>
        </w:tc>
        <w:tc>
          <w:tcPr>
            <w:tcW w:w="0" w:type="dxa"/>
            <w:vAlign w:val="bottom"/>
          </w:tcPr>
          <w:p>
            <w:pPr>
              <w:spacing w:after="0"/>
              <w:rPr>
                <w:sz w:val="1"/>
                <w:szCs w:val="1"/>
                <w:color w:val="auto"/>
              </w:rPr>
            </w:pPr>
          </w:p>
        </w:tc>
      </w:tr>
      <w:tr>
        <w:trPr>
          <w:trHeight w:val="206"/>
        </w:trPr>
        <w:tc>
          <w:tcPr>
            <w:tcW w:w="4600" w:type="dxa"/>
            <w:vAlign w:val="bottom"/>
            <w:tcBorders>
              <w:bottom w:val="single" w:sz="8" w:color="CCEEFF"/>
            </w:tcBorders>
          </w:tcPr>
          <w:p>
            <w:pPr>
              <w:ind w:left="640"/>
              <w:spacing w:after="0" w:line="207" w:lineRule="exact"/>
              <w:rPr>
                <w:sz w:val="20"/>
                <w:szCs w:val="20"/>
                <w:color w:val="auto"/>
              </w:rPr>
            </w:pPr>
            <w:r>
              <w:rPr>
                <w:rFonts w:ascii="Times New Roman" w:cs="Times New Roman" w:eastAsia="Times New Roman" w:hAnsi="Times New Roman"/>
                <w:sz w:val="15"/>
                <w:szCs w:val="15"/>
                <w:color w:val="auto"/>
              </w:rPr>
              <w:t xml:space="preserve">Permitted non-recurring charge limitation </w:t>
            </w:r>
            <w:r>
              <w:rPr>
                <w:rFonts w:ascii="Times New Roman" w:cs="Times New Roman" w:eastAsia="Times New Roman" w:hAnsi="Times New Roman"/>
                <w:sz w:val="20"/>
                <w:szCs w:val="20"/>
                <w:color w:val="auto"/>
                <w:vertAlign w:val="superscript"/>
              </w:rPr>
              <w:t>(4)</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(3,589)</w:t>
            </w:r>
          </w:p>
        </w:tc>
        <w:tc>
          <w:tcPr>
            <w:tcW w:w="0" w:type="dxa"/>
            <w:vAlign w:val="bottom"/>
          </w:tcPr>
          <w:p>
            <w:pPr>
              <w:spacing w:after="0"/>
              <w:rPr>
                <w:sz w:val="1"/>
                <w:szCs w:val="1"/>
                <w:color w:val="auto"/>
              </w:rPr>
            </w:pPr>
          </w:p>
        </w:tc>
      </w:tr>
      <w:tr>
        <w:trPr>
          <w:trHeight w:val="224"/>
        </w:trPr>
        <w:tc>
          <w:tcPr>
            <w:tcW w:w="4600" w:type="dxa"/>
            <w:vAlign w:val="bottom"/>
            <w:tcBorders>
              <w:bottom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5"/>
                <w:szCs w:val="15"/>
                <w:color w:val="auto"/>
              </w:rPr>
              <w:t>Pro forma Adjusted EBITDA</w:t>
            </w:r>
            <w:r>
              <w:rPr>
                <w:rFonts w:ascii="Times New Roman" w:cs="Times New Roman" w:eastAsia="Times New Roman" w:hAnsi="Times New Roman"/>
                <w:sz w:val="20"/>
                <w:szCs w:val="20"/>
                <w:color w:val="auto"/>
                <w:vertAlign w:val="superscript"/>
              </w:rPr>
              <w:t>(5)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6,951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18,772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58,203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20" w:firstLine="3"/>
        <w:spacing w:after="0"/>
        <w:tabs>
          <w:tab w:leader="none" w:pos="158"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 xml:space="preserve">For the year ended December 31, 2022, the warehouse relocation and redesign expenses included </w:t>
      </w:r>
      <w:r>
        <w:rPr>
          <w:rFonts w:ascii="Times New Roman" w:cs="Times New Roman" w:eastAsia="Times New Roman" w:hAnsi="Times New Roman"/>
          <w:sz w:val="13"/>
          <w:szCs w:val="13"/>
          <w:color w:val="auto"/>
        </w:rPr>
        <w:t>$0.5 million</w:t>
      </w:r>
      <w:r>
        <w:rPr>
          <w:rFonts w:ascii="Times New Roman" w:cs="Times New Roman" w:eastAsia="Times New Roman" w:hAnsi="Times New Roman"/>
          <w:sz w:val="12"/>
          <w:szCs w:val="12"/>
          <w:color w:val="auto"/>
        </w:rPr>
        <w:t xml:space="preserve"> of expenses related to the International segment and $0.1 million of expenses related to the U.S. segment.</w:t>
      </w:r>
    </w:p>
    <w:p>
      <w:pPr>
        <w:spacing w:after="0" w:line="132" w:lineRule="exact"/>
        <w:rPr>
          <w:rFonts w:ascii="Times New Roman" w:cs="Times New Roman" w:eastAsia="Times New Roman" w:hAnsi="Times New Roman"/>
          <w:sz w:val="19"/>
          <w:szCs w:val="19"/>
          <w:color w:val="auto"/>
          <w:vertAlign w:val="superscript"/>
        </w:rPr>
      </w:pPr>
    </w:p>
    <w:p>
      <w:pPr>
        <w:ind w:left="160" w:hanging="157"/>
        <w:spacing w:after="0" w:line="228" w:lineRule="auto"/>
        <w:tabs>
          <w:tab w:leader="none" w:pos="16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For the year ended December 31, 2022, S'well integration costs included $0.5 million of expenses related to inventory step up adjustment in connection with S'well acquisition.</w:t>
      </w:r>
    </w:p>
    <w:p>
      <w:pPr>
        <w:spacing w:after="0" w:line="81" w:lineRule="exact"/>
        <w:rPr>
          <w:rFonts w:ascii="Times New Roman" w:cs="Times New Roman" w:eastAsia="Times New Roman" w:hAnsi="Times New Roman"/>
          <w:sz w:val="20"/>
          <w:szCs w:val="20"/>
          <w:color w:val="auto"/>
          <w:vertAlign w:val="superscript"/>
        </w:rPr>
      </w:pPr>
    </w:p>
    <w:p>
      <w:pPr>
        <w:ind w:right="540" w:firstLine="3"/>
        <w:spacing w:after="0" w:line="233" w:lineRule="auto"/>
        <w:tabs>
          <w:tab w:leader="none" w:pos="156"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Pro forma projected synergies represents the projected cost savings of $2.3 million associated with the reorganization of the International segment’s workforce, $0.9 million associated with the retirement of the Executive Chairman, and $0.4 million associated with reorganization of the U.S. segment’s sales management structure.</w:t>
      </w:r>
    </w:p>
    <w:p>
      <w:pPr>
        <w:spacing w:after="0" w:line="41" w:lineRule="exact"/>
        <w:rPr>
          <w:rFonts w:ascii="Times New Roman" w:cs="Times New Roman" w:eastAsia="Times New Roman" w:hAnsi="Times New Roman"/>
          <w:sz w:val="19"/>
          <w:szCs w:val="19"/>
          <w:color w:val="auto"/>
          <w:vertAlign w:val="superscript"/>
        </w:rPr>
      </w:pPr>
    </w:p>
    <w:p>
      <w:pPr>
        <w:ind w:right="500" w:firstLine="3"/>
        <w:spacing w:after="0" w:line="224" w:lineRule="auto"/>
        <w:tabs>
          <w:tab w:leader="none" w:pos="158"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Permitted non-recurring charges include restructuring expenses, integration charges, Wallace facility remediation expense, and warehouse relocation and redesign expenses. These are permitted exclusions from the Company’s adjusted EBITDA, subject to limitations, pursuant to the Company’s Debt Agreements.</w:t>
      </w:r>
    </w:p>
    <w:p>
      <w:pPr>
        <w:spacing w:after="0" w:line="41" w:lineRule="exact"/>
        <w:rPr>
          <w:rFonts w:ascii="Times New Roman" w:cs="Times New Roman" w:eastAsia="Times New Roman" w:hAnsi="Times New Roman"/>
          <w:sz w:val="19"/>
          <w:szCs w:val="19"/>
          <w:color w:val="auto"/>
          <w:vertAlign w:val="superscript"/>
        </w:rPr>
      </w:pPr>
    </w:p>
    <w:p>
      <w:pPr>
        <w:ind w:right="80" w:firstLine="3"/>
        <w:spacing w:after="0" w:line="264" w:lineRule="auto"/>
        <w:tabs>
          <w:tab w:leader="none" w:pos="158"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Adjusted EBITDA is a non-GAAP financial measure which is defined in the Company’s debt agreements. Adjusted EBITDA is defined as net income (loss), adjusted to exclude undistributed equity in (earnings) losses, income tax provision (benefit), interest expense, depreciation and amortization, mark to market (gain) loss on interest rate derivatives, stock compensation expense, and other items detailed in the table above that are consistent with exclusions permitted by our debt agreements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2"/>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1"/>
        </w:trPr>
        <w:tc>
          <w:tcPr>
            <w:tcW w:w="46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7"/>
              </w:rPr>
              <w:t>December 31, 2021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7"/>
              </w:rPr>
              <w:t>December 31, 2021</w:t>
            </w:r>
          </w:p>
        </w:tc>
      </w:tr>
      <w:tr>
        <w:trPr>
          <w:trHeight w:val="184"/>
        </w:trPr>
        <w:tc>
          <w:tcPr>
            <w:tcW w:w="46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20,801</w:t>
            </w: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Undistributed equity losses (earnings), net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(807)</w:t>
            </w: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Income tax provision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16,541</w:t>
            </w: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3,819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15,524</w:t>
            </w: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22,520</w:t>
            </w: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Mark to market gain on interest rate derivatives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w:t>
            </w: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Intangible asset impairments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14,760</w:t>
            </w: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Stock compensation expense</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5,217</w:t>
            </w: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Acquisition related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w:t>
            </w:r>
          </w:p>
        </w:tc>
      </w:tr>
      <w:tr>
        <w:trPr>
          <w:trHeight w:val="206"/>
        </w:trPr>
        <w:tc>
          <w:tcPr>
            <w:tcW w:w="4600" w:type="dxa"/>
            <w:vAlign w:val="bottom"/>
          </w:tcPr>
          <w:p>
            <w:pPr>
              <w:ind w:left="640"/>
              <w:spacing w:after="0" w:line="207" w:lineRule="exact"/>
              <w:rPr>
                <w:sz w:val="20"/>
                <w:szCs w:val="20"/>
                <w:color w:val="auto"/>
              </w:rPr>
            </w:pPr>
            <w:r>
              <w:rPr>
                <w:rFonts w:ascii="Times New Roman" w:cs="Times New Roman" w:eastAsia="Times New Roman" w:hAnsi="Times New Roman"/>
                <w:sz w:val="15"/>
                <w:szCs w:val="15"/>
                <w:color w:val="auto"/>
              </w:rPr>
              <w:t xml:space="preserve">Warehouse relocation expenses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r>
      <w:tr>
        <w:trPr>
          <w:trHeight w:val="206"/>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Wallace facility remediation expense</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199"/>
        </w:trPr>
        <w:tc>
          <w:tcPr>
            <w:tcW w:w="4600" w:type="dxa"/>
            <w:vAlign w:val="bottom"/>
          </w:tcPr>
          <w:p>
            <w:pPr>
              <w:ind w:left="20"/>
              <w:spacing w:after="0" w:line="199" w:lineRule="exact"/>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0"/>
                <w:szCs w:val="20"/>
                <w:color w:val="auto"/>
                <w:vertAlign w:val="superscript"/>
              </w:rPr>
              <w:t>(2)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16,830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18,166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29,259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30,862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95,117</w:t>
            </w:r>
          </w:p>
        </w:tc>
      </w:tr>
      <w:tr>
        <w:trPr>
          <w:trHeight w:val="20"/>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120" w:hanging="117"/>
        <w:spacing w:after="0"/>
        <w:tabs>
          <w:tab w:leader="none" w:pos="120" w:val="left"/>
        </w:tabs>
        <w:numPr>
          <w:ilvl w:val="0"/>
          <w:numId w:val="25"/>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Warehouse relocation expenses included $0.1 million of expenses related to the International segment and $0.3 million of expenses related to the U.S. segment.</w:t>
      </w:r>
    </w:p>
    <w:p>
      <w:pPr>
        <w:spacing w:after="0" w:line="59" w:lineRule="exact"/>
        <w:rPr>
          <w:rFonts w:ascii="Times New Roman" w:cs="Times New Roman" w:eastAsia="Times New Roman" w:hAnsi="Times New Roman"/>
          <w:sz w:val="14"/>
          <w:szCs w:val="14"/>
          <w:b w:val="1"/>
          <w:bCs w:val="1"/>
          <w:color w:val="auto"/>
          <w:vertAlign w:val="superscript"/>
        </w:rPr>
      </w:pPr>
    </w:p>
    <w:p>
      <w:pPr>
        <w:ind w:right="100" w:firstLine="3"/>
        <w:spacing w:after="0" w:line="252" w:lineRule="auto"/>
        <w:tabs>
          <w:tab w:leader="none" w:pos="138"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EBITDA is a non-GAAP financial measure which is defined in the Company’s debt agreements. Adjusted EBITDA is defined as net income (loss), adjusted to exclude undistributed equity in losses (earnings), income tax provision, interest expense, depreciation and amortization, mark to market gain on interest rate derivatives, intangible asset impairments, stock compensation expense, and other items detailed in the table above that are consistent with exclusions permitted by our debt agreements.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 expenditures for the year ended December 31, 2022 were $3.0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Swap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net total outstanding notional value of interest rate swaps was $50 million at December 31, 2022.</w:t>
      </w:r>
    </w:p>
    <w:p>
      <w:pPr>
        <w:spacing w:after="0" w:line="21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was $25.0 million at December 31, 2022.</w:t>
      </w:r>
    </w:p>
    <w:p>
      <w:pPr>
        <w:spacing w:after="0" w:line="16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In June 2019, the Company entered into additional interest rate swap agreements, with an aggregate notional value of $25.0 million at December 31, 2022. These non-designated interest rate swaps serve as cash flow hedges of the Company’s exposure to the variability of the payment of interest on a portion of its Term Loan borrowings and expire in February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Contracts</w:t>
      </w:r>
    </w:p>
    <w:p>
      <w:pPr>
        <w:spacing w:after="0" w:line="118"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w:t>
      </w:r>
    </w:p>
    <w:p>
      <w:pPr>
        <w:spacing w:after="0" w:line="256" w:lineRule="auto"/>
        <w:rPr>
          <w:sz w:val="20"/>
          <w:szCs w:val="20"/>
          <w:color w:val="auto"/>
        </w:rPr>
      </w:pPr>
      <w:r>
        <w:rPr>
          <w:rFonts w:ascii="Times New Roman" w:cs="Times New Roman" w:eastAsia="Times New Roman" w:hAnsi="Times New Roman"/>
          <w:sz w:val="17"/>
          <w:szCs w:val="17"/>
          <w:color w:val="auto"/>
        </w:rPr>
        <w:t>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December 31, 2022 and 2021 was $6.3 million and $22.6 million, respectively.</w:t>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Company is exposed to market risks, as well as changes in foreign currency exchange rates, as measured against the USD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forward contracts that the Company enters into are components of hedging programs and are entered into for the sole purpose of hedging an existing or anticipated currency exposure. The Company does not enter into such contracts for speculative purposes and, as of December 31, 2022, the Company does not have any foreign currency forward contract derivatives that are not designated as hedges. These foreign exchange contracts have been designated as hedges in to order to apply hedge accounting.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Dividends were declared in 2022 and 2021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29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90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Date of record</w:t>
            </w:r>
          </w:p>
        </w:tc>
        <w:tc>
          <w:tcPr>
            <w:tcW w:w="25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Payment date</w:t>
            </w:r>
          </w:p>
        </w:tc>
      </w:tr>
      <w:tr>
        <w:trPr>
          <w:trHeight w:val="22"/>
        </w:trPr>
        <w:tc>
          <w:tcPr>
            <w:tcW w:w="2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9, 2021</w:t>
            </w:r>
          </w:p>
        </w:tc>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3, 2021</w:t>
            </w:r>
          </w:p>
        </w:tc>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17, 2021</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24, 2021</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2, 2021</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16, 2021</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August 3, 2021</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 2021</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15, 2021</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2, 2021</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January 31, 2022</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14, 2022</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8, 2022</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2, 2022</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16, 2022</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23, 2022</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2022</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15, 2022</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August 2, 2022</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 2022</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23"/>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1, 2022</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1, 2023</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15, 2023</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8, 2023, the Board of Directors declared a quarterly dividend of $0.0425 per share payable on May 15, 2023 to shareholders of record on May 1,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provided by operating activities</w:t>
      </w:r>
    </w:p>
    <w:p>
      <w:pPr>
        <w:spacing w:after="0" w:line="11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was $24.3 million in 2022, compared to $37.0 million in 2021. The decrease from 2022 compared to 2021 was attributable to lower net income generated in 2022 compared to 2021 and timing of payments for accounts payable and accrued expenses, offset by a decrease in inventory investment and the timing of collections related to the Company's accounts receivable.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used in investing activities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was $20.9 million in 2022, compared to $1.1 million in 2021. The change from 2022 compared to 2021 was attributable to the cash consideration of $18.0 million paid for the acquisition of S'well.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used in financing activities</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Net cash used in financing activities was $7.6 million in 2022 compared to $44.0 million in 2021. The change from 2022 compared to 2021 was attributable to proceeds from the Company's revolving credit facility under its ABL Agreement in the 2022 period, compared to repayments in the 2021 period, and lower Excess Cash Flow principal payment on the term loan for the 2022 period compared to the 2021 period. This was partially offset by payments for stock repurchases in the 2022 period.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material cash requirements include the following: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w:t>
      </w:r>
    </w:p>
    <w:p>
      <w:pPr>
        <w:spacing w:after="0" w:line="118"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As of December 31, 2022, the Company had outstanding Term Loan facility, which matures on February 28, 2025, for an aggregate principal amount of $245.9 million, with no amounts due within 12 months. Future interest obligations associated with debt and interest rate swaps total $40.7 million, with $18.8 million payable within 12 months. The future interest obligations are estimated by assuming the amounts outstanding under the Company's debt agreements and the interest rates as of December 31, 2022 remain consistent to the end of the debt agreements. Actual amounts borrowed and interest rates may vary over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has operating leases for corporate offices, distribution facilities, manufacturing plants, and certain vehicles. As of December 31, 2022, the Company had fixed lease payment obligations of $109.7 million, with $19.1 million payable within 12 months. On January 20, 2023, the Company entered into the third amendment to the existing Medford operating lease. The amendment will reduce the leased square footage, reduce rent payments beginning in the second quarter of 2023, and extend the lease term from December 2027 to December 2030. This will increase the total lease payment obligation of approximately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Royalties</w:t>
      </w:r>
    </w:p>
    <w:p>
      <w:pPr>
        <w:spacing w:after="0" w:line="11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The Company has license agreements that require the payment of royalties on sales of licensed products which expire through 2048. As of December 31, 2022, the estimated minimum royalties payable under these agreements amounted to $35.1 million, with $8.1 million payable within 12 months.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Post-retirement benefit</w:t>
      </w:r>
    </w:p>
    <w:p>
      <w:pPr>
        <w:spacing w:after="0" w:line="11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Company assumed retirement benefit obligations, which are paid to certain former executives of a business acquired in 2006. As of December 31, 2022, the estimated discounted obligations under the agreements with the former executives amounted to $5.7 million, with $0.5 million payable within 12 months.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 payment</w:t>
      </w:r>
    </w:p>
    <w:p>
      <w:pPr>
        <w:spacing w:after="0" w:line="118"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The Company entered into a transition agreement with its Executive Chairman, Jeffrey Siegel, which terminates his employment with the Company, effective March 31, 2023. The Company estimates the one-time payment to be approximately $1.4 million, which is payable upon his retirement on March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Wallace EPA Matter</w:t>
      </w:r>
    </w:p>
    <w:p>
      <w:pPr>
        <w:spacing w:after="0" w:line="11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In connection with the Wallace EPA Matter, the Company expects it will be required to provide financial assurance of $5.6 million in the next 12 months, which it expects to provide in the form of a letter of credit. This would reduce availability under the revolving credit facility by the same amount.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18"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Market risk represents the risk of loss that may impact the consolidated financial position, results of operations or cash flows of the Company. The Company is exposed to market risk associated with changes in interest rates and foreign currency exchange rates. The Company believes it has moderate exposure to these risks. The Company assesses market risk based on changes in interest rates and foreign currency exchange rates utilizing a sensitivity analysis that measures the potential loss in earnings and cash flows based on a hypothetical 10% or 100 basis point change in these rates.</w:t>
      </w:r>
    </w:p>
    <w:p>
      <w:pPr>
        <w:spacing w:after="0" w:line="17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 Company’s functional currency is the U.S. dollar. The Company has foreign operations through its acquisitions, investments and strategic alliances in the U.K., Mexico, Canada, Hong Kong and China; therefore, the Company is subject to increases and decreases in its investments resulting from the impact of fluctuations in foreign currency exchange rates. Additional transactions exposing the Company to exchange rate risk include sales, certain inventory purchases and operating expenses. Through its subsidiaries, portions of the Company’s cash, trade accounts receivable and trade accounts payable are denominated in foreign currencies. For the year ended December 31, 2022, approximately 8% of the Company’s net sales revenue was in foreign currencies, compared to 9% for the year ended December 31, 2021. These sales were primarily denominated in U.K. pounds, Euros and Canadian dollars. The Company makes most of its inventory purchases from Asia and uses the U.S. dollar for such purchases. In the Company’s consolidated statements of operations, foreign exchange gains and losses are recognized in SG&amp;A expense. A hypothetical 10% change in exchange rates, with the U.S. dollar as the functional and reporting currency, would result in an increase of approximately $0.9 million in SG&amp;A expenses.</w:t>
      </w:r>
    </w:p>
    <w:p>
      <w:pPr>
        <w:spacing w:after="0" w:line="179"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w:t>
      </w:r>
    </w:p>
    <w:p>
      <w:pPr>
        <w:spacing w:after="0" w:line="256" w:lineRule="auto"/>
        <w:rPr>
          <w:sz w:val="20"/>
          <w:szCs w:val="20"/>
          <w:color w:val="auto"/>
        </w:rPr>
      </w:pPr>
      <w:r>
        <w:rPr>
          <w:rFonts w:ascii="Times New Roman" w:cs="Times New Roman" w:eastAsia="Times New Roman" w:hAnsi="Times New Roman"/>
          <w:sz w:val="17"/>
          <w:szCs w:val="17"/>
          <w:color w:val="auto"/>
        </w:rPr>
        <w:t>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December 31, 2022 and 2021 was $6.3 million and $22.6 million, respectively.</w:t>
      </w:r>
    </w:p>
    <w:p>
      <w:pPr>
        <w:spacing w:after="0" w:line="1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The Company’s ABL Agreement and Term Loan bear interest at variable rates. The Credit Agreement provides for interest rates linked to one of the SOFR, the Prime Rate or the Federal Funds Rate; therefore, the Company is subject to increases and decreases in interest expense resulting from fluctuations in interest rates. The Company entered into interest rate swap agreement in April 2018 to manage interest rate exposure in connection with its variable interest rate borrowings with an aggregate notional value of $25.0 million at December 31, 2022. In June 2019, the Company entered into additional interest rate swap agreements, with an aggregate notional value of $25.0 million at December 31, 2022. As of December 31, 2022, approximately $206.3 million of the Company’s debt carries a variable rate of interest, as compared to $177.1 million at December 31, 2021. The remainder of the debt at December 31, 2022</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(approximately $50.0 million) carries a fixed rate of interest through the use of interest rate swaps. A hypothetical and instantaneous 100 basis point increase in the Company’s variable interest rates would increase interest expense by approximately $2.6 million over a twelve month period. The sensitivity analysis above assumes interest rate changes are instantaneous and parallel shifts in the yield curve occur.</w:t>
      </w:r>
    </w:p>
    <w:p>
      <w:pPr>
        <w:spacing w:after="0" w:line="16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Interest rate swaps expose the Company to counterparty credit risk for nonperformance. The Company manages its exposure to counterparty credit risk by dealing with counterparties who are international financial institutions with investment grade credit ratings. Although the Company’s credit risk is the replacement cost at the estimated fair value of these instruments, the Company believes that the risk of incurring credit risk losses as a result of counterparty nonperformance is remote.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enter into derivative financial instruments for trading purposes.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18"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7"/>
          <w:szCs w:val="17"/>
          <w:color w:val="auto"/>
        </w:rPr>
        <w:t>The Company’s consolidated financial statements and accompanying notes listed in Part IV, Item 15 commencing on page F-1 are incorporated herein by reference.</w:t>
      </w:r>
    </w:p>
    <w:p>
      <w:pPr>
        <w:spacing w:after="0" w:line="250" w:lineRule="exact"/>
        <w:rPr>
          <w:sz w:val="20"/>
          <w:szCs w:val="20"/>
          <w:color w:val="auto"/>
        </w:rPr>
      </w:pPr>
    </w:p>
    <w:p>
      <w:pPr>
        <w:ind w:right="4120"/>
        <w:spacing w:after="0" w:line="418" w:lineRule="auto"/>
        <w:rPr>
          <w:sz w:val="20"/>
          <w:szCs w:val="20"/>
          <w:color w:val="auto"/>
        </w:rPr>
      </w:pPr>
      <w:r>
        <w:rPr>
          <w:rFonts w:ascii="Times New Roman" w:cs="Times New Roman" w:eastAsia="Times New Roman" w:hAnsi="Times New Roman"/>
          <w:sz w:val="17"/>
          <w:szCs w:val="17"/>
          <w:b w:val="1"/>
          <w:bCs w:val="1"/>
          <w:color w:val="auto"/>
        </w:rPr>
        <w:t xml:space="preserve">Item 9. Changes in and Disagreements with Accountants on Accounting and Financial Disclosure </w:t>
      </w:r>
      <w:r>
        <w:rPr>
          <w:rFonts w:ascii="Times New Roman" w:cs="Times New Roman" w:eastAsia="Times New Roman" w:hAnsi="Times New Roman"/>
          <w:sz w:val="17"/>
          <w:szCs w:val="17"/>
          <w:color w:val="auto"/>
        </w:rPr>
        <w:t>None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Chief Executive Officer and the Chief Financial Officer of the Company (its principal executive officer and principal financial officer, respectively) have concluded, based on their evaluation as of December 31, 2022, that the Company’s controls and procedures are effective to ensure that information required to be disclosed by the Company in the reports filed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that occurred during the Company’s most recent fiscal quarter that has materially affected, or is reasonably likely to materially affect, the Company’s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Management of the Company is responsible for establishing and maintaining effective internal control over financial reporting and for performing an assessment of the effectiveness of internal control over financial reporting as of December 31, 2022.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Internal control over financial reporting includes those policies and procedures that:</w:t>
      </w:r>
    </w:p>
    <w:p>
      <w:pPr>
        <w:spacing w:after="0" w:line="114" w:lineRule="exact"/>
        <w:rPr>
          <w:sz w:val="20"/>
          <w:szCs w:val="20"/>
          <w:color w:val="auto"/>
        </w:rPr>
      </w:pPr>
    </w:p>
    <w:p>
      <w:pPr>
        <w:ind w:left="620" w:right="360" w:firstLine="2"/>
        <w:spacing w:after="0" w:line="287" w:lineRule="auto"/>
        <w:tabs>
          <w:tab w:leader="none" w:pos="72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acquisitions and dispositions of the assets of the Company;</w:t>
      </w:r>
    </w:p>
    <w:p>
      <w:pPr>
        <w:spacing w:after="0" w:line="48" w:lineRule="exact"/>
        <w:rPr>
          <w:rFonts w:ascii="Times New Roman" w:cs="Times New Roman" w:eastAsia="Times New Roman" w:hAnsi="Times New Roman"/>
          <w:sz w:val="17"/>
          <w:szCs w:val="17"/>
          <w:color w:val="auto"/>
        </w:rPr>
      </w:pPr>
    </w:p>
    <w:p>
      <w:pPr>
        <w:ind w:left="620" w:right="280" w:firstLine="2"/>
        <w:spacing w:after="0" w:line="270" w:lineRule="auto"/>
        <w:tabs>
          <w:tab w:leader="none" w:pos="72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the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62" w:lineRule="exact"/>
        <w:rPr>
          <w:rFonts w:ascii="Times New Roman" w:cs="Times New Roman" w:eastAsia="Times New Roman" w:hAnsi="Times New Roman"/>
          <w:sz w:val="17"/>
          <w:szCs w:val="17"/>
          <w:color w:val="auto"/>
        </w:rPr>
      </w:pPr>
    </w:p>
    <w:p>
      <w:pPr>
        <w:ind w:left="620" w:firstLine="2"/>
        <w:spacing w:after="0" w:line="287" w:lineRule="auto"/>
        <w:tabs>
          <w:tab w:leader="none" w:pos="72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All internal control systems, no matter how well designed, have inherent limitations. Because of the inherent limitations, internal control over financial reporting may not prevent or detect misstatements. Projections of any evaluation of effectiveness to future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periods are subject to the risk that controls may become inadequate because of changes in conditions or the degree of compliance with the policies or procedures may deteriorate. Accordingly, even those systems determined to be effective can provide only reasonable assurance with respect to financial statement preparation and presentation.</w:t>
      </w:r>
    </w:p>
    <w:p>
      <w:pPr>
        <w:spacing w:after="0" w:line="16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Management performed an assessment of the effectiveness of the Company’s internal control over financial reporting as of December 31, 2022 using the criteria set forth in the Internal Control-Integrated Framework issued by the Committee of Sponsoring Organizations of the Treadway Commission (2013 framework). Based on this assessment, management has determined that the Company’s internal control over financial reporting as of December 31, 2022 was effective.</w:t>
      </w:r>
    </w:p>
    <w:p>
      <w:pPr>
        <w:spacing w:after="0" w:line="16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31, 2022 has been audited by Ernst &amp; Young LLP, an independent registered public accounting firm, as stated in their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Lifetime Brands,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have audited Lifetime Brands, Inc.’s internal control over financial reporting as of December 31, 2022, based on criteria established in Internal Control— Integrated Framework issued by the Committee of Sponsoring Organizations of the Treadway Commission (2013 framework) (the COSO criteria). In our opinion, Lifetime Brands, Inc. (the Company) maintained, in all material respects, effective internal control over financial reporting as of December 31, 2022, based on the COSO criteria.</w:t>
      </w:r>
    </w:p>
    <w:p>
      <w:pPr>
        <w:spacing w:after="0" w:line="68"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2022 consolidated financial statements of the Company and our report dated March 9, 2023 expressed an unqualified opinion thereon.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Jericho,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9, 2023</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14"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7"/>
          <w:szCs w:val="17"/>
          <w:i w:val="1"/>
          <w:iCs w:val="1"/>
          <w:color w:val="auto"/>
        </w:rPr>
        <w:t>The information set forth below is included herein, by our option, for the purpose of providing disclosure under “Item 5.02 – Departure of Directors or Certain Officers; Election of Directors; Appointment of Certain Officers; Compensatory Arrangements of Certain Officers” of Form 8-K.</w:t>
      </w:r>
    </w:p>
    <w:p>
      <w:pPr>
        <w:spacing w:after="0" w:line="14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On March 8, 2023, the Company entered into amendments (each, an “Employment Agreement Amendment”) to the existing effective employment agreements between the Company and each of Robert B. Kay, Laurence Winoker, and Daniel Siegel.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Employment Agreement Amendment for Robert B. Kay increases his base salary from $900,000 to $1,000,000, effective March 2,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Employment Agreement Amendment for Daniel Siegel, increases his base salary from $650,000 to $663,000, effective January 1,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Employment Agreement Amendment for Laurence Winoker, increases his base salary from $425,000 to $446,250, effective January 1, 2023.</w:t>
      </w:r>
    </w:p>
    <w:p>
      <w:pPr>
        <w:spacing w:after="0" w:line="316" w:lineRule="exact"/>
        <w:rPr>
          <w:sz w:val="20"/>
          <w:szCs w:val="20"/>
          <w:color w:val="auto"/>
        </w:rPr>
      </w:pPr>
    </w:p>
    <w:p>
      <w:pPr>
        <w:ind w:right="5560"/>
        <w:spacing w:after="0" w:line="418" w:lineRule="auto"/>
        <w:rPr>
          <w:sz w:val="20"/>
          <w:szCs w:val="20"/>
          <w:color w:val="auto"/>
        </w:rPr>
      </w:pPr>
      <w:r>
        <w:rPr>
          <w:rFonts w:ascii="Times New Roman" w:cs="Times New Roman" w:eastAsia="Times New Roman" w:hAnsi="Times New Roman"/>
          <w:sz w:val="17"/>
          <w:szCs w:val="17"/>
          <w:b w:val="1"/>
          <w:bCs w:val="1"/>
          <w:color w:val="auto"/>
        </w:rPr>
        <w:t xml:space="preserve">Item 9C. Disclosure Regarding Foreign Jurisdictions that Prevent Inspections </w:t>
      </w:r>
      <w:r>
        <w:rPr>
          <w:rFonts w:ascii="Times New Roman" w:cs="Times New Roman" w:eastAsia="Times New Roman" w:hAnsi="Times New Roman"/>
          <w:sz w:val="17"/>
          <w:szCs w:val="17"/>
          <w:color w:val="auto"/>
        </w:rPr>
        <w:t>Not applicable.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Items 10, 11, 12, 13 and 14</w:t>
      </w:r>
    </w:p>
    <w:p>
      <w:pPr>
        <w:spacing w:after="0" w:line="11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information required under these items is contained in the Company’s 2023 Proxy Statement, which will be filed with the SEC within 120 days after the close of the Company’s fiscal year covered by this Annual Report on Form 10-K and is incorporated herein by reference.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18" w:lineRule="exact"/>
        <w:rPr>
          <w:sz w:val="20"/>
          <w:szCs w:val="20"/>
          <w:color w:val="auto"/>
        </w:rPr>
      </w:pPr>
    </w:p>
    <w:p>
      <w:pPr>
        <w:ind w:left="460" w:hanging="457"/>
        <w:spacing w:after="0"/>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Financial Statements and Financial Statement Schedule on page F-1.</w:t>
      </w:r>
    </w:p>
    <w:p>
      <w:pPr>
        <w:spacing w:after="0" w:line="113"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620" w:type="dxa"/>
            <w:vAlign w:val="bottom"/>
          </w:tcPr>
          <w:p>
            <w:pPr>
              <w:spacing w:after="0"/>
              <w:rPr>
                <w:sz w:val="13"/>
                <w:szCs w:val="13"/>
                <w:color w:val="auto"/>
              </w:rPr>
            </w:pPr>
          </w:p>
        </w:tc>
        <w:tc>
          <w:tcPr>
            <w:tcW w:w="50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2.1</w:t>
            </w:r>
          </w:p>
        </w:tc>
        <w:tc>
          <w:tcPr>
            <w:tcW w:w="9700" w:type="dxa"/>
            <w:vAlign w:val="bottom"/>
            <w:gridSpan w:val="6"/>
          </w:tcPr>
          <w:p>
            <w:pPr>
              <w:spacing w:after="0"/>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Agreement and Plan of Merger, dated as of December 22, 2017, by and among the Company, TPP Acquisition I Corp., TPP Acquisition II</w:t>
              </w:r>
            </w:hyperlink>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46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700" w:type="dxa"/>
            <w:vAlign w:val="bottom"/>
            <w:gridSpan w:val="6"/>
          </w:tcPr>
          <w:p>
            <w:pPr>
              <w:spacing w:after="0" w:line="148"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LLC, Taylor Parent, LLC, Taylor Holdco, LLC, and CP Taylor GP, LLC. (incorporated by reference to Exhibit 2.1 to the Company’s Current</w:t>
              </w:r>
            </w:hyperlink>
          </w:p>
        </w:tc>
      </w:tr>
      <w:tr>
        <w:trPr>
          <w:trHeight w:val="160"/>
        </w:trPr>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80" w:type="dxa"/>
            <w:vAlign w:val="bottom"/>
            <w:tcBorders>
              <w:top w:val="single" w:sz="8" w:color="0000FF"/>
            </w:tcBorders>
            <w:gridSpan w:val="5"/>
          </w:tcPr>
          <w:p>
            <w:pPr>
              <w:spacing w:after="0" w:line="161"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Report on Form 8-K filed on December 29, 2017) Holdco, LLC, and CP Taylor GP, LLC. (incorporated by reference to Exhibit 2.1 to the</w:t>
              </w:r>
            </w:hyperlink>
          </w:p>
        </w:tc>
        <w:tc>
          <w:tcPr>
            <w:tcW w:w="20" w:type="dxa"/>
            <w:vAlign w:val="bottom"/>
          </w:tcPr>
          <w:p>
            <w:pPr>
              <w:spacing w:after="0"/>
              <w:rPr>
                <w:sz w:val="13"/>
                <w:szCs w:val="13"/>
                <w:color w:val="auto"/>
              </w:rPr>
            </w:pPr>
          </w:p>
        </w:tc>
      </w:tr>
      <w:tr>
        <w:trPr>
          <w:trHeight w:val="148"/>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500" w:type="dxa"/>
            <w:vAlign w:val="bottom"/>
            <w:tcBorders>
              <w:top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Company’s Current Report on Form 8-K filed on December 29, 2017)</w:t>
              </w:r>
            </w:hyperlink>
          </w:p>
        </w:tc>
        <w:tc>
          <w:tcPr>
            <w:tcW w:w="200" w:type="dxa"/>
            <w:vAlign w:val="bottom"/>
            <w:gridSpan w:val="2"/>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4" w:lineRule="exact"/>
        <w:rPr>
          <w:sz w:val="20"/>
          <w:szCs w:val="20"/>
          <w:color w:val="auto"/>
        </w:rPr>
      </w:pPr>
    </w:p>
    <w:p>
      <w:pPr>
        <w:sectPr>
          <w:pgSz w:w="11900" w:h="16838" w:orient="portrait"/>
          <w:cols w:equalWidth="0" w:num="1">
            <w:col w:w="11240"/>
          </w:cols>
          <w:pgMar w:left="320" w:top="123"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242424"/>
        </w:rPr>
        <w:t>3.1</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42424"/>
        </w:rPr>
        <w:t>3.2</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br w:type="column"/>
      </w:r>
    </w:p>
    <w:p>
      <w:pPr>
        <w:ind w:right="580"/>
        <w:spacing w:after="0" w:line="271" w:lineRule="auto"/>
        <w:rPr>
          <w:rFonts w:ascii="Times New Roman" w:cs="Times New Roman" w:eastAsia="Times New Roman" w:hAnsi="Times New Roman"/>
          <w:sz w:val="17"/>
          <w:szCs w:val="17"/>
          <w:u w:val="single" w:color="auto"/>
          <w:color w:val="0000FF"/>
        </w:rPr>
      </w:pPr>
      <w:hyperlink r:id="rId69">
        <w:r>
          <w:rPr>
            <w:rFonts w:ascii="Times New Roman" w:cs="Times New Roman" w:eastAsia="Times New Roman" w:hAnsi="Times New Roman"/>
            <w:sz w:val="17"/>
            <w:szCs w:val="17"/>
            <w:u w:val="single" w:color="auto"/>
            <w:color w:val="0000FF"/>
          </w:rPr>
          <w:t>Second Restated Certificate of Incorporation of the Company (incorporated by reference to Exhibit 3.2 to the Company’s Annual Report on</w:t>
        </w:r>
      </w:hyperlink>
      <w:r>
        <w:rPr>
          <w:rFonts w:ascii="Times New Roman" w:cs="Times New Roman" w:eastAsia="Times New Roman" w:hAnsi="Times New Roman"/>
          <w:sz w:val="17"/>
          <w:szCs w:val="17"/>
          <w:u w:val="single" w:color="auto"/>
          <w:color w:val="0000FF"/>
        </w:rPr>
        <w:t xml:space="preserve"> </w:t>
      </w:r>
      <w:hyperlink r:id="rId69">
        <w:r>
          <w:rPr>
            <w:rFonts w:ascii="Times New Roman" w:cs="Times New Roman" w:eastAsia="Times New Roman" w:hAnsi="Times New Roman"/>
            <w:sz w:val="17"/>
            <w:szCs w:val="17"/>
            <w:u w:val="single" w:color="auto"/>
            <w:color w:val="0000FF"/>
          </w:rPr>
          <w:t>Form 10-K for the year ended December 31, 2005)</w:t>
        </w:r>
      </w:hyperlink>
    </w:p>
    <w:p>
      <w:pPr>
        <w:spacing w:after="0" w:line="61" w:lineRule="exact"/>
        <w:rPr>
          <w:sz w:val="20"/>
          <w:szCs w:val="20"/>
          <w:color w:val="auto"/>
        </w:rPr>
      </w:pPr>
    </w:p>
    <w:p>
      <w:pPr>
        <w:ind w:right="640"/>
        <w:spacing w:after="0" w:line="271" w:lineRule="auto"/>
        <w:rPr>
          <w:rFonts w:ascii="Times New Roman" w:cs="Times New Roman" w:eastAsia="Times New Roman" w:hAnsi="Times New Roman"/>
          <w:sz w:val="17"/>
          <w:szCs w:val="17"/>
          <w:u w:val="single" w:color="auto"/>
          <w:color w:val="0000FF"/>
        </w:rPr>
      </w:pPr>
      <w:hyperlink r:id="rId70">
        <w:r>
          <w:rPr>
            <w:rFonts w:ascii="Times New Roman" w:cs="Times New Roman" w:eastAsia="Times New Roman" w:hAnsi="Times New Roman"/>
            <w:sz w:val="17"/>
            <w:szCs w:val="17"/>
            <w:u w:val="single" w:color="auto"/>
            <w:color w:val="0000FF"/>
          </w:rPr>
          <w:t>Certificate of Amendment of Second Restated Certificate of Incorporation of the Company (incorporated by reference to Exhibit 3.1 to the</w:t>
        </w:r>
      </w:hyperlink>
      <w:r>
        <w:rPr>
          <w:rFonts w:ascii="Times New Roman" w:cs="Times New Roman" w:eastAsia="Times New Roman" w:hAnsi="Times New Roman"/>
          <w:sz w:val="17"/>
          <w:szCs w:val="17"/>
          <w:u w:val="single" w:color="auto"/>
          <w:color w:val="0000FF"/>
        </w:rPr>
        <w:t xml:space="preserve"> </w:t>
      </w:r>
      <w:hyperlink r:id="rId70">
        <w:r>
          <w:rPr>
            <w:rFonts w:ascii="Times New Roman" w:cs="Times New Roman" w:eastAsia="Times New Roman" w:hAnsi="Times New Roman"/>
            <w:sz w:val="17"/>
            <w:szCs w:val="17"/>
            <w:u w:val="single" w:color="auto"/>
            <w:color w:val="0000FF"/>
          </w:rPr>
          <w:t>Company’s Current Report on Form 8-K filed June 10, 2016)</w:t>
        </w:r>
      </w:hyperlink>
    </w:p>
    <w:p>
      <w:pPr>
        <w:spacing w:after="0" w:line="48" w:lineRule="exact"/>
        <w:rPr>
          <w:sz w:val="20"/>
          <w:szCs w:val="20"/>
          <w:color w:val="auto"/>
        </w:rPr>
      </w:pPr>
    </w:p>
    <w:p>
      <w:pPr>
        <w:ind w:right="640"/>
        <w:spacing w:after="0" w:line="239" w:lineRule="auto"/>
        <w:rPr>
          <w:rFonts w:ascii="Times New Roman" w:cs="Times New Roman" w:eastAsia="Times New Roman" w:hAnsi="Times New Roman"/>
          <w:sz w:val="17"/>
          <w:szCs w:val="17"/>
          <w:u w:val="single" w:color="auto"/>
          <w:color w:val="0000FF"/>
        </w:rPr>
      </w:pPr>
      <w:hyperlink r:id="rId71">
        <w:r>
          <w:rPr>
            <w:rFonts w:ascii="Times New Roman" w:cs="Times New Roman" w:eastAsia="Times New Roman" w:hAnsi="Times New Roman"/>
            <w:sz w:val="17"/>
            <w:szCs w:val="17"/>
            <w:u w:val="single" w:color="auto"/>
            <w:color w:val="0000FF"/>
          </w:rPr>
          <w:t>Amended and Restated By-Laws of the Company (incorporated by reference to Exhibit 3.1 to the Company’s Current Report on Form 8-K</w:t>
        </w:r>
      </w:hyperlink>
      <w:r>
        <w:rPr>
          <w:rFonts w:ascii="Times New Roman" w:cs="Times New Roman" w:eastAsia="Times New Roman" w:hAnsi="Times New Roman"/>
          <w:sz w:val="17"/>
          <w:szCs w:val="17"/>
          <w:u w:val="single" w:color="auto"/>
          <w:color w:val="0000FF"/>
        </w:rPr>
        <w:t xml:space="preserve"> </w:t>
      </w:r>
      <w:hyperlink r:id="rId71">
        <w:r>
          <w:rPr>
            <w:rFonts w:ascii="Times New Roman" w:cs="Times New Roman" w:eastAsia="Times New Roman" w:hAnsi="Times New Roman"/>
            <w:sz w:val="17"/>
            <w:szCs w:val="17"/>
            <w:u w:val="single" w:color="auto"/>
            <w:color w:val="0000FF"/>
          </w:rPr>
          <w:t>filed on December 8, 2016)</w:t>
        </w:r>
      </w:hyperlink>
    </w:p>
    <w:p>
      <w:pPr>
        <w:spacing w:after="0" w:line="50" w:lineRule="exact"/>
        <w:rPr>
          <w:sz w:val="20"/>
          <w:szCs w:val="20"/>
          <w:color w:val="auto"/>
        </w:rPr>
      </w:pPr>
    </w:p>
    <w:p>
      <w:pPr>
        <w:sectPr>
          <w:pgSz w:w="11900" w:h="16838" w:orient="portrait"/>
          <w:cols w:equalWidth="0" w:num="2">
            <w:col w:w="340" w:space="720"/>
            <w:col w:w="1018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0180" w:type="dxa"/>
            <w:vAlign w:val="bottom"/>
            <w:gridSpan w:val="3"/>
          </w:tcPr>
          <w:p>
            <w:pPr>
              <w:spacing w:after="0"/>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Description of the Company’s securities registered under Section 12 of the Securities Exchange Act of 1934, as amended (incorporated by</w:t>
              </w:r>
            </w:hyperlink>
          </w:p>
        </w:tc>
      </w:tr>
      <w:tr>
        <w:trPr>
          <w:trHeight w:val="160"/>
        </w:trPr>
        <w:tc>
          <w:tcPr>
            <w:tcW w:w="1060" w:type="dxa"/>
            <w:vAlign w:val="bottom"/>
          </w:tcPr>
          <w:p>
            <w:pPr>
              <w:spacing w:after="0"/>
              <w:rPr>
                <w:sz w:val="13"/>
                <w:szCs w:val="13"/>
                <w:color w:val="auto"/>
              </w:rPr>
            </w:pPr>
          </w:p>
        </w:tc>
        <w:tc>
          <w:tcPr>
            <w:tcW w:w="9500" w:type="dxa"/>
            <w:vAlign w:val="bottom"/>
            <w:tcBorders>
              <w:top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reference to Exhibit 4.1 to the Company's Annual Report on Form 10-K for the year ended December 31, 2019)</w:t>
              </w:r>
            </w:hyperlink>
          </w:p>
        </w:tc>
        <w:tc>
          <w:tcPr>
            <w:tcW w:w="6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7680" w:type="dxa"/>
            <w:vAlign w:val="bottom"/>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License Agreement dated December 14, 1989 between the Company and Farberware, Inc. (incorporated by reference to the Company’s</w:t>
            </w:r>
          </w:p>
        </w:tc>
      </w:tr>
      <w:tr>
        <w:trPr>
          <w:trHeight w:val="223"/>
        </w:trPr>
        <w:tc>
          <w:tcPr>
            <w:tcW w:w="10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registration statement No. 33-40154 on Form S-1)(P)</w:t>
            </w:r>
          </w:p>
        </w:tc>
      </w:tr>
      <w:tr>
        <w:trPr>
          <w:trHeight w:val="770"/>
        </w:trPr>
        <w:tc>
          <w:tcPr>
            <w:tcW w:w="1060" w:type="dxa"/>
            <w:vAlign w:val="bottom"/>
          </w:tcPr>
          <w:p>
            <w:pPr>
              <w:spacing w:after="0"/>
              <w:rPr>
                <w:sz w:val="24"/>
                <w:szCs w:val="24"/>
                <w:color w:val="auto"/>
              </w:rPr>
            </w:pPr>
          </w:p>
        </w:tc>
        <w:tc>
          <w:tcPr>
            <w:tcW w:w="7680" w:type="dxa"/>
            <w:vAlign w:val="bottom"/>
          </w:tcPr>
          <w:p>
            <w:pPr>
              <w:ind w:left="4480"/>
              <w:spacing w:after="0"/>
              <w:rPr>
                <w:sz w:val="20"/>
                <w:szCs w:val="20"/>
                <w:color w:val="auto"/>
              </w:rPr>
            </w:pPr>
            <w:r>
              <w:rPr>
                <w:rFonts w:ascii="Times New Roman" w:cs="Times New Roman" w:eastAsia="Times New Roman" w:hAnsi="Times New Roman"/>
                <w:sz w:val="17"/>
                <w:szCs w:val="17"/>
                <w:color w:val="auto"/>
              </w:rPr>
              <w:t>49</w:t>
            </w:r>
          </w:p>
        </w:tc>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8"/>
        </w:trPr>
        <w:tc>
          <w:tcPr>
            <w:tcW w:w="1060" w:type="dxa"/>
            <w:vAlign w:val="bottom"/>
            <w:tcBorders>
              <w:bottom w:val="single" w:sz="8" w:color="9A9A9A"/>
            </w:tcBorders>
          </w:tcPr>
          <w:p>
            <w:pPr>
              <w:spacing w:after="0"/>
              <w:rPr>
                <w:sz w:val="9"/>
                <w:szCs w:val="9"/>
                <w:color w:val="auto"/>
              </w:rPr>
            </w:pPr>
          </w:p>
        </w:tc>
        <w:tc>
          <w:tcPr>
            <w:tcW w:w="76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Fourth Amended and Restated Employment Agreement, dated as of June 27, 2019, between the Company and Jeffrey Siegel (incorporated by</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760" w:type="dxa"/>
            <w:vAlign w:val="bottom"/>
            <w:tcBorders>
              <w:top w:val="single" w:sz="8" w:color="0000FF"/>
            </w:tcBorders>
            <w:gridSpan w:val="33"/>
          </w:tcPr>
          <w:p>
            <w:pPr>
              <w:spacing w:after="0" w:line="173"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reference to Exhibit 10.1 to the Company’s Current Report on Form 8-K filed June 28, 2019)*</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060" w:type="dxa"/>
            <w:vAlign w:val="bottom"/>
            <w:vMerge w:val="continue"/>
          </w:tcPr>
          <w:p>
            <w:pPr>
              <w:spacing w:after="0"/>
              <w:rPr>
                <w:sz w:val="24"/>
                <w:szCs w:val="24"/>
                <w:color w:val="auto"/>
              </w:rPr>
            </w:pPr>
          </w:p>
        </w:tc>
        <w:tc>
          <w:tcPr>
            <w:tcW w:w="10180" w:type="dxa"/>
            <w:vAlign w:val="bottom"/>
            <w:gridSpan w:val="38"/>
          </w:tcPr>
          <w:p>
            <w:pPr>
              <w:spacing w:after="0"/>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First Amendment to the Fourth Amended and Restated Employment Agreement, dated as of October 11, 2019, between the Company and</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500" w:type="dxa"/>
            <w:vAlign w:val="bottom"/>
            <w:tcBorders>
              <w:top w:val="single" w:sz="8" w:color="0000FF"/>
            </w:tcBorders>
            <w:gridSpan w:val="21"/>
          </w:tcPr>
          <w:p>
            <w:pPr>
              <w:spacing w:after="0" w:line="173"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Jeffrey Siegel (incorporated by reference to Exhibit 10.6 to the Company’s Current Report on Form 8-K filed October 15,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060" w:type="dxa"/>
            <w:vAlign w:val="bottom"/>
            <w:vMerge w:val="continue"/>
          </w:tcPr>
          <w:p>
            <w:pPr>
              <w:spacing w:after="0"/>
              <w:rPr>
                <w:sz w:val="24"/>
                <w:szCs w:val="24"/>
                <w:color w:val="auto"/>
              </w:rPr>
            </w:pPr>
          </w:p>
        </w:tc>
        <w:tc>
          <w:tcPr>
            <w:tcW w:w="10180" w:type="dxa"/>
            <w:vAlign w:val="bottom"/>
            <w:gridSpan w:val="38"/>
          </w:tcPr>
          <w:p>
            <w:pPr>
              <w:spacing w:after="0"/>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Transition Agreement, dated as of November 1, 2022, by and among the Company and Jeffrey Siegel (incorporated by reference to Exhibit</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6560" w:type="dxa"/>
            <w:vAlign w:val="bottom"/>
            <w:tcBorders>
              <w:top w:val="single" w:sz="8" w:color="0000FF"/>
              <w:bottom w:val="single" w:sz="8" w:color="0000FF"/>
            </w:tcBorders>
            <w:gridSpan w:val="9"/>
          </w:tcPr>
          <w:p>
            <w:pPr>
              <w:spacing w:after="0" w:line="173"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w:t>
              </w:r>
              <w:r>
                <w:rPr>
                  <w:rFonts w:ascii="Times New Roman" w:cs="Times New Roman" w:eastAsia="Times New Roman" w:hAnsi="Times New Roman"/>
                  <w:sz w:val="17"/>
                  <w:szCs w:val="17"/>
                  <w:color w:val="0000FF"/>
                </w:rPr>
                <w:t xml:space="preserve"> to the Company's quarter report on Form 10-Q for the quarter ended September 30, 2022).</w:t>
              </w:r>
            </w:hyperlink>
          </w:p>
        </w:tc>
        <w:tc>
          <w:tcPr>
            <w:tcW w:w="302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Letter Agreement Amending and Supplementing Employment Agreement between Lifetime Brands, Inc. and Daniel Siegel, effective April 13,</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440" w:type="dxa"/>
            <w:vAlign w:val="bottom"/>
            <w:tcBorders>
              <w:top w:val="single" w:sz="8" w:color="0000FF"/>
              <w:bottom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2020 (incorporated by reference to Exhibit 10.2 to the Company's Quarterly Report on Form 10-Q for the quarter ended March 31, 2020)</w:t>
              </w:r>
            </w:hyperlink>
          </w:p>
        </w:tc>
        <w:tc>
          <w:tcPr>
            <w:tcW w:w="42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Lease Agreement, dated as of May 10, 2006, between AG Metropolitan Endo, L.L.C and the Company for the property located at 1000 Stewart</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880" w:type="dxa"/>
            <w:vAlign w:val="bottom"/>
            <w:tcBorders>
              <w:top w:val="single" w:sz="8" w:color="0000FF"/>
            </w:tcBorders>
            <w:gridSpan w:val="37"/>
          </w:tcPr>
          <w:p>
            <w:pPr>
              <w:spacing w:after="0" w:line="173"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Avenue in Garden City, New York (incorporated by reference to Exhibit 99.1 to the Company’s Current Report on Form 8-K filed May 15,</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420" w:type="dxa"/>
            <w:vAlign w:val="bottom"/>
            <w:tcBorders>
              <w:top w:val="single" w:sz="8" w:color="0000FF"/>
              <w:bottom w:val="single" w:sz="8" w:color="0000FF"/>
            </w:tcBorders>
            <w:gridSpan w:val="2"/>
          </w:tcPr>
          <w:p>
            <w:pPr>
              <w:spacing w:after="0" w:line="186"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2006)</w:t>
              </w:r>
            </w:hyperlink>
          </w:p>
        </w:tc>
        <w:tc>
          <w:tcPr>
            <w:tcW w:w="900" w:type="dxa"/>
            <w:vAlign w:val="bottom"/>
            <w:tcBorders>
              <w:top w:val="single" w:sz="8" w:color="0000FF"/>
            </w:tcBorders>
          </w:tcPr>
          <w:p>
            <w:pPr>
              <w:spacing w:after="0"/>
              <w:rPr>
                <w:sz w:val="16"/>
                <w:szCs w:val="16"/>
                <w:color w:val="auto"/>
              </w:rPr>
            </w:pPr>
          </w:p>
        </w:tc>
        <w:tc>
          <w:tcPr>
            <w:tcW w:w="2160" w:type="dxa"/>
            <w:vAlign w:val="bottom"/>
            <w:tcBorders>
              <w:top w:val="single" w:sz="8" w:color="0000FF"/>
            </w:tcBorders>
          </w:tcPr>
          <w:p>
            <w:pPr>
              <w:spacing w:after="0"/>
              <w:rPr>
                <w:sz w:val="16"/>
                <w:szCs w:val="16"/>
                <w:color w:val="auto"/>
              </w:rPr>
            </w:pPr>
          </w:p>
        </w:tc>
        <w:tc>
          <w:tcPr>
            <w:tcW w:w="9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8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First Amendment to the Lease Agreement, dated as of September 26, 2006, between AG Metropolitan Endo, L.L.C and the Company for the</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700" w:type="dxa"/>
            <w:vAlign w:val="bottom"/>
            <w:tcBorders>
              <w:top w:val="single" w:sz="8" w:color="0000FF"/>
            </w:tcBorders>
            <w:gridSpan w:val="31"/>
          </w:tcPr>
          <w:p>
            <w:pPr>
              <w:spacing w:after="0" w:line="148"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property located at 1000 Stewart Avenue in Garden City, New York (incorporated by reference to Exhibit 10.1 to the Company’s Quarterly</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5"/>
          </w:tcPr>
          <w:p>
            <w:pPr>
              <w:spacing w:after="0" w:line="161"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Report on Form 10-Q for the quarter ended September 30, 2006)</w:t>
              </w:r>
            </w:hyperlink>
          </w:p>
        </w:tc>
        <w:tc>
          <w:tcPr>
            <w:tcW w:w="510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Amended and Restated 2000 Long-Term Incentive Plan, dated June 28, 2018 (incorporated by reference to Exhibit 10.1 to the Company’s</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48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Current Report on Form 8-K filed June 29,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4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vMerge w:val="continue"/>
          </w:tcPr>
          <w:p>
            <w:pPr>
              <w:spacing w:after="0"/>
              <w:rPr>
                <w:sz w:val="24"/>
                <w:szCs w:val="24"/>
                <w:color w:val="auto"/>
              </w:rPr>
            </w:pPr>
          </w:p>
        </w:tc>
        <w:tc>
          <w:tcPr>
            <w:tcW w:w="10180" w:type="dxa"/>
            <w:vAlign w:val="bottom"/>
            <w:gridSpan w:val="38"/>
          </w:tcPr>
          <w:p>
            <w:pPr>
              <w:spacing w:after="0"/>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Form of Restricted Stock Award Agreement under the Amended and Restated 2000 Long-term Incentive Plan (incorporated by reference to</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6040" w:type="dxa"/>
            <w:vAlign w:val="bottom"/>
            <w:tcBorders>
              <w:top w:val="single" w:sz="8" w:color="0000FF"/>
              <w:bottom w:val="single" w:sz="8" w:color="0000FF"/>
            </w:tcBorders>
            <w:gridSpan w:val="7"/>
          </w:tcPr>
          <w:p>
            <w:pPr>
              <w:spacing w:after="0" w:line="173"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Exhibit 10.1 to the Company’s Quarterly Report on Form 10-Q filed August 10, 2015)*</w:t>
              </w:r>
            </w:hyperlink>
          </w:p>
        </w:tc>
        <w:tc>
          <w:tcPr>
            <w:tcW w:w="356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Form of Deferred Stock (Performance-Vesting) Award Agreement under the Amended and Restated 2000 Long-term Incentive Plan</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8080" w:type="dxa"/>
            <w:vAlign w:val="bottom"/>
            <w:tcBorders>
              <w:top w:val="single" w:sz="8" w:color="0000FF"/>
              <w:bottom w:val="single" w:sz="8" w:color="0000FF"/>
            </w:tcBorders>
            <w:gridSpan w:val="13"/>
          </w:tcPr>
          <w:p>
            <w:pPr>
              <w:spacing w:after="0" w:line="173"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(incorporated by reference to Exhibit 10.2 to the Company’s Quarterly Report on Form 10-Q filed August 10, 2015)*</w:t>
              </w:r>
            </w:hyperlink>
          </w:p>
        </w:tc>
        <w:tc>
          <w:tcPr>
            <w:tcW w:w="1000" w:type="dxa"/>
            <w:vAlign w:val="bottom"/>
            <w:tcBorders>
              <w:top w:val="single" w:sz="8" w:color="0000FF"/>
            </w:tcBorders>
            <w:gridSpan w:val="2"/>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10.11</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Amended and Restated 2000 Incentive Bonus Compensation Plan, effective as of June 22, 2017 (incorporated by reference to Exhibit 10.1 to</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720" w:type="dxa"/>
            <w:vAlign w:val="bottom"/>
            <w:tcBorders>
              <w:top w:val="single" w:sz="8" w:color="0000FF"/>
            </w:tcBorders>
            <w:gridSpan w:val="32"/>
          </w:tcPr>
          <w:p>
            <w:pPr>
              <w:spacing w:after="0" w:line="161"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the Company’s Current Report on Form 8-K filed June 23, 2017)*</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10.12</w:t>
            </w:r>
          </w:p>
        </w:tc>
        <w:tc>
          <w:tcPr>
            <w:tcW w:w="4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060" w:type="dxa"/>
            <w:vAlign w:val="bottom"/>
            <w:vMerge w:val="continue"/>
          </w:tcPr>
          <w:p>
            <w:pPr>
              <w:spacing w:after="0"/>
              <w:rPr>
                <w:sz w:val="24"/>
                <w:szCs w:val="24"/>
                <w:color w:val="auto"/>
              </w:rPr>
            </w:pPr>
          </w:p>
        </w:tc>
        <w:tc>
          <w:tcPr>
            <w:tcW w:w="10180" w:type="dxa"/>
            <w:vAlign w:val="bottom"/>
            <w:gridSpan w:val="38"/>
          </w:tcPr>
          <w:p>
            <w:pPr>
              <w:spacing w:after="0"/>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Amended and Restated 2000 Incentive Bonus Compensation Plan, effective as of June 25, 2020 (filed as Appendix B to the Registrant's</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7420" w:type="dxa"/>
            <w:vAlign w:val="bottom"/>
            <w:tcBorders>
              <w:top w:val="single" w:sz="8" w:color="0000FF"/>
              <w:bottom w:val="single" w:sz="8" w:color="0000FF"/>
            </w:tcBorders>
            <w:gridSpan w:val="12"/>
          </w:tcPr>
          <w:p>
            <w:pPr>
              <w:spacing w:after="0" w:line="173"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Definitive Proxy Statement on Schedule 14A, filed on April 29, 2020 and incorporated by reference herein)</w:t>
              </w:r>
            </w:hyperlink>
          </w:p>
        </w:tc>
        <w:tc>
          <w:tcPr>
            <w:tcW w:w="1940" w:type="dxa"/>
            <w:vAlign w:val="bottom"/>
            <w:tcBorders>
              <w:top w:val="single" w:sz="8" w:color="0000FF"/>
            </w:tcBorders>
            <w:gridSpan w:val="5"/>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10.13</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Amended and Restated 2000 Incentive Bonus Compensation Plan, effective as of June 23, 2022 (filed as Appendix B to the Registrant's</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340" w:type="dxa"/>
            <w:vAlign w:val="bottom"/>
            <w:tcBorders>
              <w:top w:val="single" w:sz="8" w:color="0000FF"/>
            </w:tcBorders>
            <w:gridSpan w:val="16"/>
          </w:tcPr>
          <w:p>
            <w:pPr>
              <w:spacing w:after="0" w:line="173"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Definitive Proxy Statement on Schedule 14A, filed on April 28, 2022 and incorporated by reference herein)</w:t>
              </w:r>
            </w:hyperlink>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10.14</w:t>
            </w:r>
          </w:p>
        </w:tc>
        <w:tc>
          <w:tcPr>
            <w:tcW w:w="4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58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060" w:type="dxa"/>
            <w:vAlign w:val="bottom"/>
            <w:vMerge w:val="continue"/>
          </w:tcPr>
          <w:p>
            <w:pPr>
              <w:spacing w:after="0"/>
              <w:rPr>
                <w:sz w:val="24"/>
                <w:szCs w:val="24"/>
                <w:color w:val="auto"/>
              </w:rPr>
            </w:pPr>
          </w:p>
        </w:tc>
        <w:tc>
          <w:tcPr>
            <w:tcW w:w="10180" w:type="dxa"/>
            <w:vAlign w:val="bottom"/>
            <w:gridSpan w:val="38"/>
          </w:tcPr>
          <w:p>
            <w:pPr>
              <w:spacing w:after="0"/>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Amended and Restated Employment Agreement, dated September 10, 2015, between the Company and Laurence Winoker (incorporated by</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640" w:type="dxa"/>
            <w:vAlign w:val="bottom"/>
            <w:tcBorders>
              <w:top w:val="single" w:sz="8" w:color="0000FF"/>
            </w:tcBorders>
            <w:gridSpan w:val="28"/>
          </w:tcPr>
          <w:p>
            <w:pPr>
              <w:spacing w:after="0" w:line="173"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reference to Exhibit 10.1 to the Company’s Current Report on Form 8-K filed September 16, 2015)*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580" w:type="dxa"/>
            <w:vAlign w:val="bottom"/>
            <w:gridSpan w:val="7"/>
            <w:shd w:val="clear" w:color="auto" w:fill="0000FF"/>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10.15</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Amendment to the Amended and Restated Employment Agreement, dated November 8, 2017, between the Company and Laurence Winoker</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18"/>
          </w:tcPr>
          <w:p>
            <w:pPr>
              <w:spacing w:after="0" w:line="161"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(incorporated by reference to Exhibit 10.3 to the Company’s Quarterly Report on Form 10-Q for the quarter ended September 30, 2017)*</w:t>
              </w:r>
            </w:hyperlink>
          </w:p>
        </w:tc>
        <w:tc>
          <w:tcPr>
            <w:tcW w:w="240" w:type="dxa"/>
            <w:vAlign w:val="bottom"/>
            <w:tcBorders>
              <w:top w:val="single" w:sz="8" w:color="0000FF"/>
            </w:tcBorders>
            <w:gridSpan w:val="12"/>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10.16</w:t>
            </w:r>
          </w:p>
        </w:tc>
        <w:tc>
          <w:tcPr>
            <w:tcW w:w="954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Letter Agreement Amending and Supplementing Employment Agreement between Lifetime Brands, Inc. and Laurence Winoker, effective</w:t>
              </w:r>
            </w:hyperlink>
          </w:p>
        </w:tc>
        <w:tc>
          <w:tcPr>
            <w:tcW w:w="6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180" w:type="dxa"/>
            <w:vAlign w:val="bottom"/>
            <w:gridSpan w:val="38"/>
          </w:tcPr>
          <w:p>
            <w:pPr>
              <w:spacing w:after="0" w:line="148"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April 13, 2020 (incorporated by reference to Exhibit 10.4 to the Company's Quarterly Report on Form 10-Q for the quarter ended March 31,</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5"/>
              </w:rPr>
            </w:pPr>
            <w:hyperlink r:id="rId89">
              <w:r>
                <w:rPr>
                  <w:rFonts w:ascii="Times New Roman" w:cs="Times New Roman" w:eastAsia="Times New Roman" w:hAnsi="Times New Roman"/>
                  <w:sz w:val="17"/>
                  <w:szCs w:val="17"/>
                  <w:color w:val="0000FF"/>
                  <w:w w:val="95"/>
                </w:rPr>
                <w:t>2020)</w:t>
              </w:r>
            </w:hyperlink>
          </w:p>
        </w:tc>
        <w:tc>
          <w:tcPr>
            <w:tcW w:w="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10.17</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Third Amendment to the Amended and Restated Employment Agreement, dated as of August 1, 2022, between the Company and Laurence</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460" w:type="dxa"/>
            <w:vAlign w:val="bottom"/>
            <w:tcBorders>
              <w:top w:val="single" w:sz="8" w:color="0000FF"/>
              <w:bottom w:val="single" w:sz="8" w:color="0000FF"/>
            </w:tcBorders>
            <w:gridSpan w:val="19"/>
          </w:tcPr>
          <w:p>
            <w:pPr>
              <w:spacing w:after="0" w:line="173"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Winoker (incorporated by reference to Exhibit 10.1 to the Company's quarterly report on Form 10-Q for the quarter ended June 30, 2022)</w:t>
              </w:r>
            </w:hyperlink>
          </w:p>
        </w:tc>
        <w:tc>
          <w:tcPr>
            <w:tcW w:w="160" w:type="dxa"/>
            <w:vAlign w:val="bottom"/>
            <w:tcBorders>
              <w:top w:val="single" w:sz="8" w:color="0000FF"/>
            </w:tcBorders>
            <w:gridSpan w:val="8"/>
          </w:tcPr>
          <w:p>
            <w:pPr>
              <w:spacing w:after="0"/>
              <w:rPr>
                <w:sz w:val="15"/>
                <w:szCs w:val="15"/>
                <w:color w:val="auto"/>
              </w:rPr>
            </w:pPr>
          </w:p>
        </w:tc>
        <w:tc>
          <w:tcPr>
            <w:tcW w:w="18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w:t>
            </w:r>
          </w:p>
        </w:tc>
        <w:tc>
          <w:tcPr>
            <w:tcW w:w="10180" w:type="dxa"/>
            <w:vAlign w:val="bottom"/>
            <w:gridSpan w:val="38"/>
          </w:tcPr>
          <w:p>
            <w:pPr>
              <w:spacing w:after="0"/>
              <w:rPr>
                <w:sz w:val="20"/>
                <w:szCs w:val="20"/>
                <w:color w:val="auto"/>
              </w:rPr>
            </w:pPr>
            <w:r>
              <w:rPr>
                <w:rFonts w:ascii="Times New Roman" w:cs="Times New Roman" w:eastAsia="Times New Roman" w:hAnsi="Times New Roman"/>
                <w:sz w:val="17"/>
                <w:szCs w:val="17"/>
                <w:color w:val="0000FF"/>
              </w:rPr>
              <w:t>Fourth Amendment to the Amended and Restated Employment Agreement, dated as of March 8, 2023, by and between the Company. and</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1320" w:type="dxa"/>
            <w:vAlign w:val="bottom"/>
            <w:tcBorders>
              <w:top w:val="single" w:sz="8" w:color="0000FF"/>
              <w:bottom w:val="single" w:sz="8" w:color="0000FF"/>
            </w:tcBorders>
            <w:gridSpan w:val="3"/>
          </w:tcPr>
          <w:p>
            <w:pPr>
              <w:spacing w:after="0" w:line="173" w:lineRule="exact"/>
              <w:rPr>
                <w:sz w:val="20"/>
                <w:szCs w:val="20"/>
                <w:color w:val="auto"/>
              </w:rPr>
            </w:pPr>
            <w:r>
              <w:rPr>
                <w:rFonts w:ascii="Times New Roman" w:cs="Times New Roman" w:eastAsia="Times New Roman" w:hAnsi="Times New Roman"/>
                <w:sz w:val="17"/>
                <w:szCs w:val="17"/>
                <w:color w:val="0000FF"/>
                <w:w w:val="99"/>
              </w:rPr>
              <w:t>Laurence Winoker.</w:t>
            </w:r>
          </w:p>
        </w:tc>
        <w:tc>
          <w:tcPr>
            <w:tcW w:w="8200" w:type="dxa"/>
            <w:vAlign w:val="bottom"/>
            <w:tcBorders>
              <w:top w:val="single" w:sz="8" w:color="0000FF"/>
            </w:tcBorders>
            <w:gridSpan w:val="19"/>
          </w:tcPr>
          <w:p>
            <w:pPr>
              <w:spacing w:after="0"/>
              <w:rPr>
                <w:sz w:val="15"/>
                <w:szCs w:val="15"/>
                <w:color w:val="auto"/>
              </w:rPr>
            </w:pPr>
          </w:p>
        </w:tc>
        <w:tc>
          <w:tcPr>
            <w:tcW w:w="280" w:type="dxa"/>
            <w:vAlign w:val="bottom"/>
            <w:gridSpan w:val="12"/>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10.19</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Shares Subscription Agreement by and among the Company, Ekco, S.A.B. and Mr. José Ramón Elizondo Anaya and Mr. Miguel Ángel Huerta</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840" w:type="dxa"/>
            <w:vAlign w:val="bottom"/>
            <w:tcBorders>
              <w:top w:val="single" w:sz="8" w:color="0000FF"/>
            </w:tcBorders>
            <w:gridSpan w:val="35"/>
          </w:tcPr>
          <w:p>
            <w:pPr>
              <w:spacing w:after="0" w:line="173"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Pando, dated as of June 8, 2007 (incorporated by reference to Exhibit 99.1 to the Company’s Current Report on Form 8-K filed June 11, 2007)</w:t>
              </w:r>
            </w:hyperlink>
          </w:p>
        </w:tc>
        <w:tc>
          <w:tcPr>
            <w:tcW w:w="3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806"/>
        </w:trPr>
        <w:tc>
          <w:tcPr>
            <w:tcW w:w="1060" w:type="dxa"/>
            <w:vAlign w:val="bottom"/>
          </w:tcPr>
          <w:p>
            <w:pPr>
              <w:spacing w:after="0"/>
              <w:rPr>
                <w:sz w:val="24"/>
                <w:szCs w:val="24"/>
                <w:color w:val="auto"/>
              </w:rPr>
            </w:pPr>
          </w:p>
        </w:tc>
        <w:tc>
          <w:tcPr>
            <w:tcW w:w="6040" w:type="dxa"/>
            <w:vAlign w:val="bottom"/>
            <w:tcBorders>
              <w:top w:val="single" w:sz="8" w:color="0000FF"/>
            </w:tcBorders>
            <w:gridSpan w:val="7"/>
          </w:tcPr>
          <w:p>
            <w:pPr>
              <w:ind w:left="4480"/>
              <w:spacing w:after="0"/>
              <w:rPr>
                <w:sz w:val="20"/>
                <w:szCs w:val="20"/>
                <w:color w:val="auto"/>
              </w:rPr>
            </w:pPr>
            <w:r>
              <w:rPr>
                <w:rFonts w:ascii="Times New Roman" w:cs="Times New Roman" w:eastAsia="Times New Roman" w:hAnsi="Times New Roman"/>
                <w:sz w:val="17"/>
                <w:szCs w:val="17"/>
                <w:color w:val="auto"/>
              </w:rPr>
              <w:t>50</w:t>
            </w: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10.20</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Amendment No. 1 dated September 5, 2007 to the Shares Subscription Agreement by and among the Company, Ekco, S.A.B. and Mr. José</w:t>
              </w:r>
            </w:hyperlink>
          </w:p>
        </w:tc>
      </w:tr>
      <w:tr>
        <w:trPr>
          <w:trHeight w:val="160"/>
        </w:trPr>
        <w:tc>
          <w:tcPr>
            <w:tcW w:w="1060" w:type="dxa"/>
            <w:vAlign w:val="bottom"/>
          </w:tcPr>
          <w:p>
            <w:pPr>
              <w:spacing w:after="0"/>
              <w:rPr>
                <w:sz w:val="13"/>
                <w:szCs w:val="13"/>
                <w:color w:val="auto"/>
              </w:rPr>
            </w:pPr>
          </w:p>
        </w:tc>
        <w:tc>
          <w:tcPr>
            <w:tcW w:w="956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Ramón Elizondo Anaya and Mr. Miguel Ángel Huerta Pando (incorporated by reference to Exhibit 10.17 to the Company’s Annual Report</w:t>
              </w:r>
            </w:hyperlink>
          </w:p>
        </w:tc>
        <w:tc>
          <w:tcPr>
            <w:tcW w:w="20" w:type="dxa"/>
            <w:vAlign w:val="bottom"/>
          </w:tcPr>
          <w:p>
            <w:pPr>
              <w:spacing w:after="0"/>
              <w:rPr>
                <w:sz w:val="13"/>
                <w:szCs w:val="13"/>
                <w:color w:val="auto"/>
              </w:rPr>
            </w:pPr>
          </w:p>
        </w:tc>
        <w:tc>
          <w:tcPr>
            <w:tcW w:w="600" w:type="dxa"/>
            <w:vAlign w:val="bottom"/>
            <w:gridSpan w:val="16"/>
          </w:tcPr>
          <w:p>
            <w:pPr>
              <w:jc w:val="right"/>
              <w:ind w:right="420"/>
              <w:spacing w:after="0" w:line="161" w:lineRule="exact"/>
              <w:rPr>
                <w:rFonts w:ascii="Times New Roman" w:cs="Times New Roman" w:eastAsia="Times New Roman" w:hAnsi="Times New Roman"/>
                <w:sz w:val="17"/>
                <w:szCs w:val="17"/>
                <w:color w:val="0000FF"/>
                <w:w w:val="93"/>
              </w:rPr>
            </w:pPr>
            <w:hyperlink r:id="rId94">
              <w:r>
                <w:rPr>
                  <w:rFonts w:ascii="Times New Roman" w:cs="Times New Roman" w:eastAsia="Times New Roman" w:hAnsi="Times New Roman"/>
                  <w:sz w:val="17"/>
                  <w:szCs w:val="17"/>
                  <w:color w:val="0000FF"/>
                  <w:w w:val="93"/>
                </w:rPr>
                <w:t>on</w:t>
              </w:r>
            </w:hyperlink>
          </w:p>
        </w:tc>
      </w:tr>
      <w:tr>
        <w:trPr>
          <w:trHeight w:val="173"/>
        </w:trPr>
        <w:tc>
          <w:tcPr>
            <w:tcW w:w="1060" w:type="dxa"/>
            <w:vAlign w:val="bottom"/>
          </w:tcPr>
          <w:p>
            <w:pPr>
              <w:spacing w:after="0"/>
              <w:rPr>
                <w:sz w:val="15"/>
                <w:szCs w:val="15"/>
                <w:color w:val="auto"/>
              </w:rPr>
            </w:pPr>
          </w:p>
        </w:tc>
        <w:tc>
          <w:tcPr>
            <w:tcW w:w="3540" w:type="dxa"/>
            <w:vAlign w:val="bottom"/>
            <w:tcBorders>
              <w:top w:val="single" w:sz="8" w:color="0000FF"/>
              <w:bottom w:val="single" w:sz="8" w:color="0000FF"/>
            </w:tcBorders>
            <w:gridSpan w:val="6"/>
          </w:tcPr>
          <w:p>
            <w:pPr>
              <w:spacing w:after="0" w:line="173"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Form 10-K for the year ended December 31, 2008)</w:t>
              </w:r>
            </w:hyperlink>
          </w:p>
        </w:tc>
        <w:tc>
          <w:tcPr>
            <w:tcW w:w="6220" w:type="dxa"/>
            <w:vAlign w:val="bottom"/>
            <w:tcBorders>
              <w:top w:val="single" w:sz="8" w:color="0000FF"/>
            </w:tcBorders>
            <w:gridSpan w:val="25"/>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10.21</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Amendment No. 2 dated September 25, 2008 to the Shares Subscription Agreement by and among the Company, Ekco, S.A.B. and Mr. José</w:t>
              </w:r>
            </w:hyperlink>
          </w:p>
        </w:tc>
      </w:tr>
      <w:tr>
        <w:trPr>
          <w:trHeight w:val="173"/>
        </w:trPr>
        <w:tc>
          <w:tcPr>
            <w:tcW w:w="1060" w:type="dxa"/>
            <w:vAlign w:val="bottom"/>
          </w:tcPr>
          <w:p>
            <w:pPr>
              <w:spacing w:after="0"/>
              <w:rPr>
                <w:sz w:val="15"/>
                <w:szCs w:val="15"/>
                <w:color w:val="auto"/>
              </w:rPr>
            </w:pPr>
          </w:p>
        </w:tc>
        <w:tc>
          <w:tcPr>
            <w:tcW w:w="9640" w:type="dxa"/>
            <w:vAlign w:val="bottom"/>
            <w:tcBorders>
              <w:top w:val="single" w:sz="8" w:color="0000FF"/>
            </w:tcBorders>
            <w:gridSpan w:val="28"/>
          </w:tcPr>
          <w:p>
            <w:pPr>
              <w:spacing w:after="0" w:line="173"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Ramón Elizondo Anaya and Mr. Miguel Ángel Huerta Pando (incorporated by reference to Exhibit 10.21 to the Company’s Annual Report</w:t>
              </w:r>
            </w:hyperlink>
          </w:p>
        </w:tc>
        <w:tc>
          <w:tcPr>
            <w:tcW w:w="540" w:type="dxa"/>
            <w:vAlign w:val="bottom"/>
            <w:gridSpan w:val="15"/>
          </w:tcPr>
          <w:p>
            <w:pPr>
              <w:jc w:val="right"/>
              <w:ind w:right="420"/>
              <w:spacing w:after="0"/>
              <w:rPr>
                <w:rFonts w:ascii="Times New Roman" w:cs="Times New Roman" w:eastAsia="Times New Roman" w:hAnsi="Times New Roman"/>
                <w:sz w:val="14"/>
                <w:szCs w:val="14"/>
                <w:color w:val="0000FF"/>
                <w:w w:val="71"/>
              </w:rPr>
            </w:pPr>
            <w:hyperlink r:id="rId95">
              <w:r>
                <w:rPr>
                  <w:rFonts w:ascii="Times New Roman" w:cs="Times New Roman" w:eastAsia="Times New Roman" w:hAnsi="Times New Roman"/>
                  <w:sz w:val="14"/>
                  <w:szCs w:val="14"/>
                  <w:color w:val="0000FF"/>
                  <w:w w:val="71"/>
                </w:rPr>
                <w:t>on</w:t>
              </w:r>
            </w:hyperlink>
          </w:p>
        </w:tc>
      </w:tr>
      <w:tr>
        <w:trPr>
          <w:trHeight w:val="186"/>
        </w:trPr>
        <w:tc>
          <w:tcPr>
            <w:tcW w:w="1060" w:type="dxa"/>
            <w:vAlign w:val="bottom"/>
          </w:tcPr>
          <w:p>
            <w:pPr>
              <w:spacing w:after="0"/>
              <w:rPr>
                <w:sz w:val="16"/>
                <w:szCs w:val="16"/>
                <w:color w:val="auto"/>
              </w:rPr>
            </w:pPr>
          </w:p>
        </w:tc>
        <w:tc>
          <w:tcPr>
            <w:tcW w:w="3520" w:type="dxa"/>
            <w:vAlign w:val="bottom"/>
            <w:tcBorders>
              <w:top w:val="single" w:sz="8" w:color="0000FF"/>
              <w:bottom w:val="single" w:sz="8" w:color="0000FF"/>
            </w:tcBorders>
            <w:gridSpan w:val="5"/>
          </w:tcPr>
          <w:p>
            <w:pPr>
              <w:spacing w:after="0" w:line="186"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Form 10-K for the year ended December 31, 2008)</w:t>
              </w:r>
            </w:hyperlink>
          </w:p>
        </w:tc>
        <w:tc>
          <w:tcPr>
            <w:tcW w:w="6240" w:type="dxa"/>
            <w:vAlign w:val="bottom"/>
            <w:tcBorders>
              <w:top w:val="single" w:sz="8" w:color="0000FF"/>
            </w:tcBorders>
            <w:gridSpan w:val="26"/>
          </w:tcPr>
          <w:p>
            <w:pPr>
              <w:spacing w:after="0"/>
              <w:rPr>
                <w:sz w:val="16"/>
                <w:szCs w:val="16"/>
                <w:color w:val="auto"/>
              </w:rPr>
            </w:pPr>
          </w:p>
        </w:tc>
        <w:tc>
          <w:tcPr>
            <w:tcW w:w="420" w:type="dxa"/>
            <w:vAlign w:val="bottom"/>
            <w:gridSpan w:val="12"/>
          </w:tcPr>
          <w:p>
            <w:pPr>
              <w:spacing w:after="0"/>
              <w:rPr>
                <w:sz w:val="16"/>
                <w:szCs w:val="16"/>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10.22</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Employment Agreement, dated as of November 8, 2017, between the Company and Daniel Siegel (incorporated by reference to Exhibit 10.4 to</w:t>
              </w:r>
            </w:hyperlink>
          </w:p>
        </w:tc>
      </w:tr>
      <w:tr>
        <w:trPr>
          <w:trHeight w:val="160"/>
        </w:trPr>
        <w:tc>
          <w:tcPr>
            <w:tcW w:w="1060" w:type="dxa"/>
            <w:vAlign w:val="bottom"/>
          </w:tcPr>
          <w:p>
            <w:pPr>
              <w:spacing w:after="0"/>
              <w:rPr>
                <w:sz w:val="13"/>
                <w:szCs w:val="13"/>
                <w:color w:val="auto"/>
              </w:rPr>
            </w:pPr>
          </w:p>
        </w:tc>
        <w:tc>
          <w:tcPr>
            <w:tcW w:w="9960" w:type="dxa"/>
            <w:vAlign w:val="bottom"/>
            <w:tcBorders>
              <w:top w:val="single" w:sz="8" w:color="0000FF"/>
            </w:tcBorders>
            <w:gridSpan w:val="40"/>
          </w:tcPr>
          <w:p>
            <w:pPr>
              <w:spacing w:after="0" w:line="161"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the Company’s Quarterly Report on Form 10-Q for the quarter ended September 30,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10.23</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Amendment to the Employment Agreement, dated as of October 11, 2019, between the Company and Daniel Siegel (incorporated by reference</w:t>
              </w:r>
            </w:hyperlink>
          </w:p>
        </w:tc>
      </w:tr>
      <w:tr>
        <w:trPr>
          <w:trHeight w:val="148"/>
        </w:trPr>
        <w:tc>
          <w:tcPr>
            <w:tcW w:w="1060" w:type="dxa"/>
            <w:vAlign w:val="bottom"/>
          </w:tcPr>
          <w:p>
            <w:pPr>
              <w:spacing w:after="0"/>
              <w:rPr>
                <w:sz w:val="12"/>
                <w:szCs w:val="12"/>
                <w:color w:val="auto"/>
              </w:rPr>
            </w:pPr>
          </w:p>
        </w:tc>
        <w:tc>
          <w:tcPr>
            <w:tcW w:w="9900" w:type="dxa"/>
            <w:vAlign w:val="bottom"/>
            <w:tcBorders>
              <w:top w:val="single" w:sz="8" w:color="0000FF"/>
            </w:tcBorders>
            <w:gridSpan w:val="37"/>
          </w:tcPr>
          <w:p>
            <w:pPr>
              <w:spacing w:after="0" w:line="148"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to Exhibit 10.5 to the Company’s Current Report on Form 8-K filed October 15,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10.24</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Letter Agreement Amending and Supplementing Employment Agreement between Lifetime Brands, Inc. and Daniel Siegel, effective April 13,</w:t>
              </w:r>
            </w:hyperlink>
          </w:p>
        </w:tc>
      </w:tr>
      <w:tr>
        <w:trPr>
          <w:trHeight w:val="148"/>
        </w:trPr>
        <w:tc>
          <w:tcPr>
            <w:tcW w:w="1060" w:type="dxa"/>
            <w:vAlign w:val="bottom"/>
          </w:tcPr>
          <w:p>
            <w:pPr>
              <w:spacing w:after="0"/>
              <w:rPr>
                <w:sz w:val="12"/>
                <w:szCs w:val="12"/>
                <w:color w:val="auto"/>
              </w:rPr>
            </w:pPr>
          </w:p>
        </w:tc>
        <w:tc>
          <w:tcPr>
            <w:tcW w:w="9460" w:type="dxa"/>
            <w:vAlign w:val="bottom"/>
            <w:tcBorders>
              <w:top w:val="single" w:sz="8" w:color="0000FF"/>
              <w:bottom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2020 (incorporated by reference to Exhibit 10.2 to the Company's Quarterly Report on Form 10-Q for the quarter ended March 31, 2020)</w:t>
              </w:r>
            </w:hyperlink>
          </w:p>
        </w:tc>
        <w:tc>
          <w:tcPr>
            <w:tcW w:w="48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10.25</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Second Amendment, dated February 1, 2021, to the Employment Agreement, dated as of November 8, 2017, by and between Lifetime Brands,</w:t>
              </w:r>
            </w:hyperlink>
          </w:p>
        </w:tc>
      </w:tr>
      <w:tr>
        <w:trPr>
          <w:trHeight w:val="148"/>
        </w:trPr>
        <w:tc>
          <w:tcPr>
            <w:tcW w:w="106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Inc. and Daniel Siegel (incorporated by reference to Exhibit 10.2 to the Company's Current Report on Form 8-K filed February 1, 2021)</w:t>
              </w:r>
            </w:hyperlink>
          </w:p>
        </w:tc>
        <w:tc>
          <w:tcPr>
            <w:tcW w:w="50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10.26</w:t>
            </w:r>
          </w:p>
        </w:tc>
        <w:tc>
          <w:tcPr>
            <w:tcW w:w="10180" w:type="dxa"/>
            <w:vAlign w:val="bottom"/>
            <w:gridSpan w:val="43"/>
          </w:tcPr>
          <w:p>
            <w:pPr>
              <w:spacing w:after="0"/>
              <w:rPr>
                <w:sz w:val="20"/>
                <w:szCs w:val="20"/>
                <w:color w:val="auto"/>
              </w:rPr>
            </w:pPr>
            <w:r>
              <w:rPr>
                <w:rFonts w:ascii="Times New Roman" w:cs="Times New Roman" w:eastAsia="Times New Roman" w:hAnsi="Times New Roman"/>
                <w:sz w:val="17"/>
                <w:szCs w:val="17"/>
                <w:color w:val="0000FF"/>
              </w:rPr>
              <w:t>Third Amendment, dated March 8, 2023, to the Employment Agreement, dated as of November 8, 2017, by and between Lifetime Brands, Inc.</w:t>
            </w:r>
          </w:p>
        </w:tc>
      </w:tr>
      <w:tr>
        <w:trPr>
          <w:trHeight w:val="148"/>
        </w:trPr>
        <w:tc>
          <w:tcPr>
            <w:tcW w:w="1060" w:type="dxa"/>
            <w:vAlign w:val="bottom"/>
          </w:tcPr>
          <w:p>
            <w:pPr>
              <w:spacing w:after="0"/>
              <w:rPr>
                <w:sz w:val="12"/>
                <w:szCs w:val="12"/>
                <w:color w:val="auto"/>
              </w:rPr>
            </w:pPr>
          </w:p>
        </w:tc>
        <w:tc>
          <w:tcPr>
            <w:tcW w:w="9880" w:type="dxa"/>
            <w:vAlign w:val="bottom"/>
            <w:tcBorders>
              <w:top w:val="single" w:sz="8" w:color="0000FF"/>
            </w:tcBorders>
            <w:gridSpan w:val="36"/>
          </w:tcPr>
          <w:p>
            <w:pPr>
              <w:spacing w:after="0" w:line="148" w:lineRule="exact"/>
              <w:rPr>
                <w:sz w:val="20"/>
                <w:szCs w:val="20"/>
                <w:color w:val="auto"/>
              </w:rPr>
            </w:pPr>
            <w:r>
              <w:rPr>
                <w:rFonts w:ascii="Times New Roman" w:cs="Times New Roman" w:eastAsia="Times New Roman" w:hAnsi="Times New Roman"/>
                <w:sz w:val="17"/>
                <w:szCs w:val="17"/>
                <w:color w:val="0000FF"/>
              </w:rPr>
              <w:t>and Daniel Siegel.</w:t>
            </w: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10.27</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Form of Amended and Restated Director’s and Officer’s Indemnification Agreement (incorporated by reference to Exhibit 10.1 to the</w:t>
              </w:r>
            </w:hyperlink>
          </w:p>
        </w:tc>
      </w:tr>
      <w:tr>
        <w:trPr>
          <w:trHeight w:val="148"/>
        </w:trPr>
        <w:tc>
          <w:tcPr>
            <w:tcW w:w="1060" w:type="dxa"/>
            <w:vAlign w:val="bottom"/>
          </w:tcPr>
          <w:p>
            <w:pPr>
              <w:spacing w:after="0"/>
              <w:rPr>
                <w:sz w:val="12"/>
                <w:szCs w:val="12"/>
                <w:color w:val="auto"/>
              </w:rPr>
            </w:pPr>
          </w:p>
        </w:tc>
        <w:tc>
          <w:tcPr>
            <w:tcW w:w="920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Company’s Current Report on Form 8-K filed January 28,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10.28</w:t>
            </w:r>
          </w:p>
        </w:tc>
        <w:tc>
          <w:tcPr>
            <w:tcW w:w="9580" w:type="dxa"/>
            <w:vAlign w:val="bottom"/>
            <w:tcBorders>
              <w:bottom w:val="single" w:sz="8" w:color="0000FF"/>
            </w:tcBorders>
            <w:gridSpan w:val="27"/>
          </w:tcPr>
          <w:p>
            <w:pPr>
              <w:spacing w:after="0"/>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Receivables Purchase Agreement, dated as of September 30, 2016 by and among the Company, as a Seller and as a Seller Agent and initial</w:t>
              </w:r>
            </w:hyperlink>
          </w:p>
        </w:tc>
        <w:tc>
          <w:tcPr>
            <w:tcW w:w="600" w:type="dxa"/>
            <w:vAlign w:val="bottom"/>
            <w:gridSpan w:val="16"/>
          </w:tcPr>
          <w:p>
            <w:pPr>
              <w:spacing w:after="0"/>
              <w:rPr>
                <w:sz w:val="22"/>
                <w:szCs w:val="22"/>
                <w:color w:val="auto"/>
              </w:rPr>
            </w:pPr>
          </w:p>
        </w:tc>
      </w:tr>
      <w:tr>
        <w:trPr>
          <w:trHeight w:val="160"/>
        </w:trPr>
        <w:tc>
          <w:tcPr>
            <w:tcW w:w="1060" w:type="dxa"/>
            <w:vAlign w:val="bottom"/>
          </w:tcPr>
          <w:p>
            <w:pPr>
              <w:spacing w:after="0"/>
              <w:rPr>
                <w:sz w:val="13"/>
                <w:szCs w:val="13"/>
                <w:color w:val="auto"/>
              </w:rPr>
            </w:pPr>
          </w:p>
        </w:tc>
        <w:tc>
          <w:tcPr>
            <w:tcW w:w="10180" w:type="dxa"/>
            <w:vAlign w:val="bottom"/>
            <w:gridSpan w:val="43"/>
          </w:tcPr>
          <w:p>
            <w:pPr>
              <w:spacing w:after="0" w:line="161"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Servicer, for itself and each of its subsidiaries thereto as a Seller, and HSBC Bank USA, National Association, as Purchaser (incorporated by</w:t>
              </w:r>
            </w:hyperlink>
          </w:p>
        </w:tc>
      </w:tr>
      <w:tr>
        <w:trPr>
          <w:trHeight w:val="173"/>
        </w:trPr>
        <w:tc>
          <w:tcPr>
            <w:tcW w:w="1060" w:type="dxa"/>
            <w:vAlign w:val="bottom"/>
          </w:tcPr>
          <w:p>
            <w:pPr>
              <w:spacing w:after="0"/>
              <w:rPr>
                <w:sz w:val="15"/>
                <w:szCs w:val="15"/>
                <w:color w:val="auto"/>
              </w:rPr>
            </w:pPr>
          </w:p>
        </w:tc>
        <w:tc>
          <w:tcPr>
            <w:tcW w:w="6560" w:type="dxa"/>
            <w:vAlign w:val="bottom"/>
            <w:tcBorders>
              <w:top w:val="single" w:sz="8" w:color="0000FF"/>
              <w:bottom w:val="single" w:sz="8" w:color="0000FF"/>
            </w:tcBorders>
            <w:gridSpan w:val="13"/>
          </w:tcPr>
          <w:p>
            <w:pPr>
              <w:spacing w:after="0" w:line="173"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reference to Exhibit 10.1 to the Company’s Current Report on Form 8-K filed October 4, 2016)</w:t>
              </w:r>
            </w:hyperlink>
          </w:p>
        </w:tc>
        <w:tc>
          <w:tcPr>
            <w:tcW w:w="312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10.29</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Lease Agreement (Single Tenant Facility), dated as of February 14, 2017 between Baseline Opportunity LLC and Lifetime Brands Inc. for</w:t>
              </w:r>
            </w:hyperlink>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0"/>
        </w:trPr>
        <w:tc>
          <w:tcPr>
            <w:tcW w:w="1060" w:type="dxa"/>
            <w:vAlign w:val="bottom"/>
          </w:tcPr>
          <w:p>
            <w:pPr>
              <w:spacing w:after="0"/>
              <w:rPr>
                <w:sz w:val="13"/>
                <w:szCs w:val="13"/>
                <w:color w:val="auto"/>
              </w:rPr>
            </w:pPr>
          </w:p>
        </w:tc>
        <w:tc>
          <w:tcPr>
            <w:tcW w:w="10180" w:type="dxa"/>
            <w:vAlign w:val="bottom"/>
            <w:gridSpan w:val="43"/>
          </w:tcPr>
          <w:p>
            <w:pPr>
              <w:spacing w:after="0" w:line="161"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property located at 1221 North Alder Avenue, Rialto, California (incorporated by reference to Exhibit 10.1 to the Company’s Quarterly Report</w:t>
              </w:r>
            </w:hyperlink>
          </w:p>
        </w:tc>
      </w:tr>
      <w:tr>
        <w:trPr>
          <w:trHeight w:val="173"/>
        </w:trPr>
        <w:tc>
          <w:tcPr>
            <w:tcW w:w="1060" w:type="dxa"/>
            <w:vAlign w:val="bottom"/>
          </w:tcPr>
          <w:p>
            <w:pPr>
              <w:spacing w:after="0"/>
              <w:rPr>
                <w:sz w:val="15"/>
                <w:szCs w:val="15"/>
                <w:color w:val="auto"/>
              </w:rPr>
            </w:pPr>
          </w:p>
        </w:tc>
        <w:tc>
          <w:tcPr>
            <w:tcW w:w="3660" w:type="dxa"/>
            <w:vAlign w:val="bottom"/>
            <w:tcBorders>
              <w:top w:val="single" w:sz="8" w:color="0000FF"/>
              <w:bottom w:val="single" w:sz="8" w:color="0000FF"/>
            </w:tcBorders>
            <w:gridSpan w:val="7"/>
          </w:tcPr>
          <w:p>
            <w:pPr>
              <w:spacing w:after="0" w:line="173"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on Form 10-Q for the quarter ended March 31, 2017)</w:t>
              </w:r>
            </w:hyperlink>
          </w:p>
        </w:tc>
        <w:tc>
          <w:tcPr>
            <w:tcW w:w="6160" w:type="dxa"/>
            <w:vAlign w:val="bottom"/>
            <w:tcBorders>
              <w:top w:val="single" w:sz="8" w:color="0000FF"/>
            </w:tcBorders>
            <w:gridSpan w:val="2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10.30</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Voting Agreement, dated as of December 22, 2017, by and among Taylor Parent, LLC, and Jeffrey Siegel, Ronald Shiftan, Daniel Siegel and</w:t>
              </w:r>
            </w:hyperlink>
          </w:p>
        </w:tc>
      </w:tr>
      <w:tr>
        <w:trPr>
          <w:trHeight w:val="160"/>
        </w:trPr>
        <w:tc>
          <w:tcPr>
            <w:tcW w:w="1060" w:type="dxa"/>
            <w:vAlign w:val="bottom"/>
          </w:tcPr>
          <w:p>
            <w:pPr>
              <w:spacing w:after="0"/>
              <w:rPr>
                <w:sz w:val="13"/>
                <w:szCs w:val="13"/>
                <w:color w:val="auto"/>
              </w:rPr>
            </w:pPr>
          </w:p>
        </w:tc>
        <w:tc>
          <w:tcPr>
            <w:tcW w:w="9700" w:type="dxa"/>
            <w:vAlign w:val="bottom"/>
            <w:tcBorders>
              <w:top w:val="single" w:sz="8" w:color="0000FF"/>
            </w:tcBorders>
            <w:gridSpan w:val="30"/>
          </w:tcPr>
          <w:p>
            <w:pPr>
              <w:spacing w:after="0" w:line="161"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Clifford Siegel (incorporated by reference to Exhibit 10.1 to the Company’s Current Report on Form 8-K filed December 29, 2017)</w:t>
              </w:r>
            </w:hyperlink>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10.31</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Employment Agreement, dated as of December 22, 2017, between the Company and Robert B. Kay (incorporated by reference to Exhibit 10.2</w:t>
              </w:r>
            </w:hyperlink>
          </w:p>
        </w:tc>
      </w:tr>
      <w:tr>
        <w:trPr>
          <w:trHeight w:val="160"/>
        </w:trPr>
        <w:tc>
          <w:tcPr>
            <w:tcW w:w="1060" w:type="dxa"/>
            <w:vAlign w:val="bottom"/>
          </w:tcPr>
          <w:p>
            <w:pPr>
              <w:spacing w:after="0"/>
              <w:rPr>
                <w:sz w:val="13"/>
                <w:szCs w:val="13"/>
                <w:color w:val="auto"/>
              </w:rPr>
            </w:pPr>
          </w:p>
        </w:tc>
        <w:tc>
          <w:tcPr>
            <w:tcW w:w="9800" w:type="dxa"/>
            <w:vAlign w:val="bottom"/>
            <w:tcBorders>
              <w:top w:val="single" w:sz="8" w:color="0000FF"/>
            </w:tcBorders>
            <w:gridSpan w:val="32"/>
          </w:tcPr>
          <w:p>
            <w:pPr>
              <w:spacing w:after="0" w:line="161"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to the Company’s Current Report on Form 8-K filed December 29, 2017)*</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10.32</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Amendment to the Employment Agreement, dated as of October 11, 2019, between the Company and Robert B. Kay (incorporated by</w:t>
              </w:r>
            </w:hyperlink>
          </w:p>
        </w:tc>
      </w:tr>
      <w:tr>
        <w:trPr>
          <w:trHeight w:val="160"/>
        </w:trPr>
        <w:tc>
          <w:tcPr>
            <w:tcW w:w="1060" w:type="dxa"/>
            <w:vAlign w:val="bottom"/>
          </w:tcPr>
          <w:p>
            <w:pPr>
              <w:spacing w:after="0"/>
              <w:rPr>
                <w:sz w:val="13"/>
                <w:szCs w:val="13"/>
                <w:color w:val="auto"/>
              </w:rPr>
            </w:pPr>
          </w:p>
        </w:tc>
        <w:tc>
          <w:tcPr>
            <w:tcW w:w="922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reference to Exhibit 10.2 to the Company’s Current Report on Form 8-K filed October 15, 2019)*</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0" w:type="dxa"/>
            <w:vAlign w:val="bottom"/>
            <w:gridSpan w:val="11"/>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10.33</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Letter Agreement Amending and Supplementing Employment Agreement between Lifetime Brands, Inc. and Robert B. Kay, effective April 13,</w:t>
              </w:r>
            </w:hyperlink>
          </w:p>
        </w:tc>
      </w:tr>
      <w:tr>
        <w:trPr>
          <w:trHeight w:val="148"/>
        </w:trPr>
        <w:tc>
          <w:tcPr>
            <w:tcW w:w="1060" w:type="dxa"/>
            <w:vAlign w:val="bottom"/>
          </w:tcPr>
          <w:p>
            <w:pPr>
              <w:spacing w:after="0"/>
              <w:rPr>
                <w:sz w:val="12"/>
                <w:szCs w:val="12"/>
                <w:color w:val="auto"/>
              </w:rPr>
            </w:pPr>
          </w:p>
        </w:tc>
        <w:tc>
          <w:tcPr>
            <w:tcW w:w="10000" w:type="dxa"/>
            <w:vAlign w:val="bottom"/>
            <w:tcBorders>
              <w:top w:val="single" w:sz="8" w:color="0000FF"/>
            </w:tcBorders>
            <w:gridSpan w:val="42"/>
          </w:tcPr>
          <w:p>
            <w:pPr>
              <w:spacing w:after="0" w:line="148"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 xml:space="preserve">2020 </w:t>
              </w:r>
            </w:hyperlink>
            <w:hyperlink r:id="rId78">
              <w:r>
                <w:rPr>
                  <w:rFonts w:ascii="Times New Roman" w:cs="Times New Roman" w:eastAsia="Times New Roman" w:hAnsi="Times New Roman"/>
                  <w:sz w:val="17"/>
                  <w:szCs w:val="17"/>
                  <w:color w:val="0000FF"/>
                </w:rPr>
                <w:t>(incorporated by reference to Exhibit 10.1 to the Company's Quarterly Report on Form 10-Q for the quarter ended March 31, 2020)</w:t>
              </w:r>
            </w:hyperlink>
          </w:p>
        </w:tc>
        <w:tc>
          <w:tcPr>
            <w:tcW w:w="18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10.34</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Second Amendment, dated February 1, 2021, to the Employment Agreement, dated as of December 22, 2017, by and between Lifetime Brands,</w:t>
              </w:r>
            </w:hyperlink>
          </w:p>
        </w:tc>
      </w:tr>
      <w:tr>
        <w:trPr>
          <w:trHeight w:val="160"/>
        </w:trPr>
        <w:tc>
          <w:tcPr>
            <w:tcW w:w="106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20"/>
          </w:tcPr>
          <w:p>
            <w:pPr>
              <w:spacing w:after="0" w:line="161"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Inc. and Robert Kay (incorporated by reference to Exhibit 10.1 to the Company's Current Report on Form 8-K filed February 1, 2021)</w:t>
              </w:r>
            </w:hyperlink>
          </w:p>
        </w:tc>
        <w:tc>
          <w:tcPr>
            <w:tcW w:w="740" w:type="dxa"/>
            <w:vAlign w:val="bottom"/>
            <w:tcBorders>
              <w:top w:val="single" w:sz="8" w:color="0000FF"/>
            </w:tcBorders>
            <w:gridSpan w:val="21"/>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10.35</w:t>
            </w:r>
          </w:p>
        </w:tc>
        <w:tc>
          <w:tcPr>
            <w:tcW w:w="10180" w:type="dxa"/>
            <w:vAlign w:val="bottom"/>
            <w:gridSpan w:val="43"/>
          </w:tcPr>
          <w:p>
            <w:pPr>
              <w:spacing w:after="0"/>
              <w:rPr>
                <w:sz w:val="20"/>
                <w:szCs w:val="20"/>
                <w:color w:val="auto"/>
              </w:rPr>
            </w:pPr>
            <w:r>
              <w:rPr>
                <w:rFonts w:ascii="Times New Roman" w:cs="Times New Roman" w:eastAsia="Times New Roman" w:hAnsi="Times New Roman"/>
                <w:sz w:val="17"/>
                <w:szCs w:val="17"/>
                <w:color w:val="0000FF"/>
              </w:rPr>
              <w:t>Third Amendment, dated March 8, 2023, to the Employment Agreement, dated as of December 22, 2017, by and between Lifetime Brands, Inc.</w:t>
            </w:r>
          </w:p>
        </w:tc>
      </w:tr>
      <w:tr>
        <w:trPr>
          <w:trHeight w:val="160"/>
        </w:trPr>
        <w:tc>
          <w:tcPr>
            <w:tcW w:w="1060" w:type="dxa"/>
            <w:vAlign w:val="bottom"/>
          </w:tcPr>
          <w:p>
            <w:pPr>
              <w:spacing w:after="0"/>
              <w:rPr>
                <w:sz w:val="13"/>
                <w:szCs w:val="13"/>
                <w:color w:val="auto"/>
              </w:rPr>
            </w:pPr>
          </w:p>
        </w:tc>
        <w:tc>
          <w:tcPr>
            <w:tcW w:w="10000" w:type="dxa"/>
            <w:vAlign w:val="bottom"/>
            <w:tcBorders>
              <w:top w:val="single" w:sz="8" w:color="0000FF"/>
            </w:tcBorders>
            <w:gridSpan w:val="42"/>
          </w:tcPr>
          <w:p>
            <w:pPr>
              <w:spacing w:after="0" w:line="161" w:lineRule="exact"/>
              <w:rPr>
                <w:sz w:val="20"/>
                <w:szCs w:val="20"/>
                <w:color w:val="auto"/>
              </w:rPr>
            </w:pPr>
            <w:r>
              <w:rPr>
                <w:rFonts w:ascii="Times New Roman" w:cs="Times New Roman" w:eastAsia="Times New Roman" w:hAnsi="Times New Roman"/>
                <w:sz w:val="17"/>
                <w:szCs w:val="17"/>
                <w:color w:val="0000FF"/>
              </w:rPr>
              <w:t>and Robert Kay.</w:t>
            </w:r>
          </w:p>
        </w:tc>
        <w:tc>
          <w:tcPr>
            <w:tcW w:w="1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10.36</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Stockholders Agreement, dated as of March 2, 2018, between the Company and Taylor Parent, LLC (incorporated by reference to Exhibit 10.1</w:t>
              </w:r>
            </w:hyperlink>
          </w:p>
        </w:tc>
      </w:tr>
      <w:tr>
        <w:trPr>
          <w:trHeight w:val="160"/>
        </w:trPr>
        <w:tc>
          <w:tcPr>
            <w:tcW w:w="1060" w:type="dxa"/>
            <w:vAlign w:val="bottom"/>
          </w:tcPr>
          <w:p>
            <w:pPr>
              <w:spacing w:after="0"/>
              <w:rPr>
                <w:sz w:val="13"/>
                <w:szCs w:val="13"/>
                <w:color w:val="auto"/>
              </w:rPr>
            </w:pPr>
          </w:p>
        </w:tc>
        <w:tc>
          <w:tcPr>
            <w:tcW w:w="9840" w:type="dxa"/>
            <w:vAlign w:val="bottom"/>
            <w:tcBorders>
              <w:top w:val="single" w:sz="8" w:color="0000FF"/>
            </w:tcBorders>
            <w:gridSpan w:val="34"/>
          </w:tcPr>
          <w:p>
            <w:pPr>
              <w:spacing w:after="0" w:line="161"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to the Company’s Current Report on Form 8-K filed March 6, 2018)</w:t>
              </w:r>
            </w:hyperlink>
          </w:p>
        </w:tc>
        <w:tc>
          <w:tcPr>
            <w:tcW w:w="80" w:type="dxa"/>
            <w:vAlign w:val="bottom"/>
            <w:gridSpan w:val="4"/>
          </w:tcPr>
          <w:p>
            <w:pPr>
              <w:spacing w:after="0"/>
              <w:rPr>
                <w:sz w:val="13"/>
                <w:szCs w:val="13"/>
                <w:color w:val="auto"/>
              </w:rPr>
            </w:pPr>
          </w:p>
        </w:tc>
        <w:tc>
          <w:tcPr>
            <w:tcW w:w="260" w:type="dxa"/>
            <w:vAlign w:val="bottom"/>
            <w:gridSpan w:val="5"/>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4700" w:type="dxa"/>
            <w:vAlign w:val="bottom"/>
            <w:gridSpan w:val="9"/>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0" w:type="dxa"/>
            <w:vAlign w:val="bottom"/>
            <w:gridSpan w:val="17"/>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10.37</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Amendment to Stockholders Agreement, dated as of October 11, 2019, between the Company and Taylor Parent, LLC (incorporated by</w:t>
              </w:r>
            </w:hyperlink>
          </w:p>
        </w:tc>
      </w:tr>
      <w:tr>
        <w:trPr>
          <w:trHeight w:val="160"/>
        </w:trPr>
        <w:tc>
          <w:tcPr>
            <w:tcW w:w="1060" w:type="dxa"/>
            <w:vAlign w:val="bottom"/>
          </w:tcPr>
          <w:p>
            <w:pPr>
              <w:spacing w:after="0"/>
              <w:rPr>
                <w:sz w:val="13"/>
                <w:szCs w:val="13"/>
                <w:color w:val="auto"/>
              </w:rPr>
            </w:pPr>
          </w:p>
        </w:tc>
        <w:tc>
          <w:tcPr>
            <w:tcW w:w="9320" w:type="dxa"/>
            <w:vAlign w:val="bottom"/>
            <w:tcBorders>
              <w:top w:val="single" w:sz="8" w:color="0000FF"/>
            </w:tcBorders>
            <w:gridSpan w:val="21"/>
          </w:tcPr>
          <w:p>
            <w:pPr>
              <w:spacing w:after="0" w:line="161"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reference to Exhibit 10.1 to the Company’s Current Report on Form 8-K filed October 15, 2019)</w:t>
              </w:r>
            </w:hyperlink>
          </w:p>
        </w:tc>
        <w:tc>
          <w:tcPr>
            <w:tcW w:w="600" w:type="dxa"/>
            <w:vAlign w:val="bottom"/>
            <w:gridSpan w:val="17"/>
          </w:tcPr>
          <w:p>
            <w:pPr>
              <w:spacing w:after="0"/>
              <w:rPr>
                <w:sz w:val="13"/>
                <w:szCs w:val="13"/>
                <w:color w:val="auto"/>
              </w:rPr>
            </w:pPr>
          </w:p>
        </w:tc>
        <w:tc>
          <w:tcPr>
            <w:tcW w:w="260" w:type="dxa"/>
            <w:vAlign w:val="bottom"/>
            <w:gridSpan w:val="5"/>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640" w:type="dxa"/>
            <w:vAlign w:val="bottom"/>
            <w:gridSpan w:val="14"/>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560" w:type="dxa"/>
            <w:vAlign w:val="bottom"/>
            <w:gridSpan w:val="2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10.38</w:t>
            </w:r>
          </w:p>
        </w:tc>
        <w:tc>
          <w:tcPr>
            <w:tcW w:w="10180" w:type="dxa"/>
            <w:vAlign w:val="bottom"/>
            <w:gridSpan w:val="43"/>
          </w:tcPr>
          <w:p>
            <w:pPr>
              <w:spacing w:after="0"/>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Letter Agreement and Joinder, dated as of November 9, 2018, by and among the Company, Taylor Parent, LLC and Centre Capital Investors V,</w:t>
              </w:r>
            </w:hyperlink>
          </w:p>
        </w:tc>
      </w:tr>
      <w:tr>
        <w:trPr>
          <w:trHeight w:val="160"/>
        </w:trPr>
        <w:tc>
          <w:tcPr>
            <w:tcW w:w="1060" w:type="dxa"/>
            <w:vAlign w:val="bottom"/>
          </w:tcPr>
          <w:p>
            <w:pPr>
              <w:spacing w:after="0"/>
              <w:rPr>
                <w:sz w:val="13"/>
                <w:szCs w:val="13"/>
                <w:color w:val="auto"/>
              </w:rPr>
            </w:pPr>
          </w:p>
        </w:tc>
        <w:tc>
          <w:tcPr>
            <w:tcW w:w="9920" w:type="dxa"/>
            <w:vAlign w:val="bottom"/>
            <w:tcBorders>
              <w:top w:val="single" w:sz="8" w:color="0000FF"/>
            </w:tcBorders>
            <w:gridSpan w:val="38"/>
          </w:tcPr>
          <w:p>
            <w:pPr>
              <w:spacing w:after="0" w:line="161"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LP. (incorporated by reference to Exhibit 10.01 to the Company’s Current Report on Form 8-K filed November 15, 2018)</w:t>
              </w:r>
            </w:hyperlink>
          </w:p>
        </w:tc>
        <w:tc>
          <w:tcPr>
            <w:tcW w:w="260" w:type="dxa"/>
            <w:vAlign w:val="bottom"/>
            <w:gridSpan w:val="5"/>
          </w:tcPr>
          <w:p>
            <w:pPr>
              <w:spacing w:after="0"/>
              <w:rPr>
                <w:sz w:val="13"/>
                <w:szCs w:val="13"/>
                <w:color w:val="auto"/>
              </w:rPr>
            </w:pPr>
          </w:p>
        </w:tc>
      </w:tr>
      <w:tr>
        <w:trPr>
          <w:trHeight w:val="806"/>
        </w:trPr>
        <w:tc>
          <w:tcPr>
            <w:tcW w:w="1060" w:type="dxa"/>
            <w:vAlign w:val="bottom"/>
          </w:tcPr>
          <w:p>
            <w:pPr>
              <w:spacing w:after="0"/>
              <w:rPr>
                <w:sz w:val="24"/>
                <w:szCs w:val="24"/>
                <w:color w:val="auto"/>
              </w:rPr>
            </w:pPr>
          </w:p>
        </w:tc>
        <w:tc>
          <w:tcPr>
            <w:tcW w:w="4700" w:type="dxa"/>
            <w:vAlign w:val="bottom"/>
            <w:tcBorders>
              <w:top w:val="single" w:sz="8" w:color="0000FF"/>
            </w:tcBorders>
            <w:gridSpan w:val="9"/>
          </w:tcPr>
          <w:p>
            <w:pPr>
              <w:ind w:left="4480"/>
              <w:spacing w:after="0"/>
              <w:rPr>
                <w:sz w:val="20"/>
                <w:szCs w:val="20"/>
                <w:color w:val="auto"/>
              </w:rPr>
            </w:pPr>
            <w:r>
              <w:rPr>
                <w:rFonts w:ascii="Times New Roman" w:cs="Times New Roman" w:eastAsia="Times New Roman" w:hAnsi="Times New Roman"/>
                <w:sz w:val="17"/>
                <w:szCs w:val="17"/>
                <w:color w:val="auto"/>
              </w:rPr>
              <w:t>51</w:t>
            </w:r>
          </w:p>
        </w:tc>
        <w:tc>
          <w:tcPr>
            <w:tcW w:w="4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8"/>
        </w:trPr>
        <w:tc>
          <w:tcPr>
            <w:tcW w:w="10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10.39</w:t>
            </w:r>
          </w:p>
        </w:tc>
        <w:tc>
          <w:tcPr>
            <w:tcW w:w="9920" w:type="dxa"/>
            <w:vAlign w:val="bottom"/>
            <w:tcBorders>
              <w:bottom w:val="single" w:sz="8" w:color="0000FF"/>
            </w:tcBorders>
            <w:gridSpan w:val="30"/>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Credit Agreement, dated as of March 2, 2018, by and among the Company, the other Borrowers from time to time party thereto, the other Loan</w:t>
              </w:r>
            </w:hyperlink>
          </w:p>
        </w:tc>
      </w:tr>
      <w:tr>
        <w:trPr>
          <w:trHeight w:val="160"/>
        </w:trPr>
        <w:tc>
          <w:tcPr>
            <w:tcW w:w="1040" w:type="dxa"/>
            <w:vAlign w:val="bottom"/>
          </w:tcPr>
          <w:p>
            <w:pPr>
              <w:spacing w:after="0"/>
              <w:rPr>
                <w:sz w:val="13"/>
                <w:szCs w:val="13"/>
                <w:color w:val="auto"/>
              </w:rPr>
            </w:pPr>
          </w:p>
        </w:tc>
        <w:tc>
          <w:tcPr>
            <w:tcW w:w="9920" w:type="dxa"/>
            <w:vAlign w:val="bottom"/>
            <w:gridSpan w:val="30"/>
          </w:tcPr>
          <w:p>
            <w:pPr>
              <w:spacing w:after="0" w:line="161"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Parties from time to time party thereto, the Lenders from time to time party thereto, and JPMorgan Chase Bank, N.A., as Administrative Agent</w:t>
              </w:r>
            </w:hyperlink>
          </w:p>
        </w:tc>
      </w:tr>
      <w:tr>
        <w:trPr>
          <w:trHeight w:val="173"/>
        </w:trPr>
        <w:tc>
          <w:tcPr>
            <w:tcW w:w="1040" w:type="dxa"/>
            <w:vAlign w:val="bottom"/>
          </w:tcPr>
          <w:p>
            <w:pPr>
              <w:spacing w:after="0"/>
              <w:rPr>
                <w:sz w:val="15"/>
                <w:szCs w:val="15"/>
                <w:color w:val="auto"/>
              </w:rPr>
            </w:pPr>
          </w:p>
        </w:tc>
        <w:tc>
          <w:tcPr>
            <w:tcW w:w="9860" w:type="dxa"/>
            <w:vAlign w:val="bottom"/>
            <w:tcBorders>
              <w:top w:val="single" w:sz="8" w:color="0000FF"/>
            </w:tcBorders>
            <w:gridSpan w:val="27"/>
          </w:tcPr>
          <w:p>
            <w:pPr>
              <w:spacing w:after="0" w:line="173"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(incorporated by reference to Exhibit 10.02 to the Company’s Current Report on Form 8-K filed March 6, 2018)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10.40</w:t>
            </w:r>
          </w:p>
        </w:tc>
        <w:tc>
          <w:tcPr>
            <w:tcW w:w="9920" w:type="dxa"/>
            <w:vAlign w:val="bottom"/>
            <w:gridSpan w:val="30"/>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Amendment No. 1, dated as of December 28, 2021, by and among the Company, the other Loan Parties party thereto (as defined therein), and</w:t>
              </w:r>
            </w:hyperlink>
          </w:p>
        </w:tc>
      </w:tr>
      <w:tr>
        <w:trPr>
          <w:trHeight w:val="148"/>
        </w:trPr>
        <w:tc>
          <w:tcPr>
            <w:tcW w:w="1040" w:type="dxa"/>
            <w:vAlign w:val="bottom"/>
          </w:tcPr>
          <w:p>
            <w:pPr>
              <w:spacing w:after="0"/>
              <w:rPr>
                <w:sz w:val="12"/>
                <w:szCs w:val="12"/>
                <w:color w:val="auto"/>
              </w:rPr>
            </w:pPr>
          </w:p>
        </w:tc>
        <w:tc>
          <w:tcPr>
            <w:tcW w:w="9800" w:type="dxa"/>
            <w:vAlign w:val="bottom"/>
            <w:tcBorders>
              <w:top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JPMorgan Chase Bank, N.A., as Administrative Agent (incorporated by reference to Exhibit 10.01 to the Company's Current Report on Form</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104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4"/>
          </w:tcPr>
          <w:p>
            <w:pPr>
              <w:spacing w:after="0" w:line="161"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8-K filed December 29, 2021)</w:t>
              </w:r>
            </w:hyperlink>
          </w:p>
        </w:tc>
        <w:tc>
          <w:tcPr>
            <w:tcW w:w="770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10.41</w:t>
            </w:r>
          </w:p>
        </w:tc>
        <w:tc>
          <w:tcPr>
            <w:tcW w:w="954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Amendment No. 2, dated as of August 26, 2022, by and among the Company, the other Loan Parties party thereto (as defined therein), and</w:t>
              </w:r>
            </w:hyperlink>
          </w:p>
        </w:tc>
        <w:tc>
          <w:tcPr>
            <w:tcW w:w="380" w:type="dxa"/>
            <w:vAlign w:val="bottom"/>
            <w:gridSpan w:val="13"/>
          </w:tcPr>
          <w:p>
            <w:pPr>
              <w:spacing w:after="0"/>
              <w:rPr>
                <w:sz w:val="21"/>
                <w:szCs w:val="21"/>
                <w:color w:val="auto"/>
              </w:rPr>
            </w:pPr>
          </w:p>
        </w:tc>
      </w:tr>
      <w:tr>
        <w:trPr>
          <w:trHeight w:val="148"/>
        </w:trPr>
        <w:tc>
          <w:tcPr>
            <w:tcW w:w="1040" w:type="dxa"/>
            <w:vAlign w:val="bottom"/>
          </w:tcPr>
          <w:p>
            <w:pPr>
              <w:spacing w:after="0"/>
              <w:rPr>
                <w:sz w:val="12"/>
                <w:szCs w:val="12"/>
                <w:color w:val="auto"/>
              </w:rPr>
            </w:pPr>
          </w:p>
        </w:tc>
        <w:tc>
          <w:tcPr>
            <w:tcW w:w="9920" w:type="dxa"/>
            <w:vAlign w:val="bottom"/>
            <w:gridSpan w:val="30"/>
          </w:tcPr>
          <w:p>
            <w:pPr>
              <w:spacing w:after="0" w:line="148"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JPMorgan Chase Bank, N.A., as Administrative Agent (incorporated by reference to Exhibit 10.01 to the Company's Current Report on Form</w:t>
              </w:r>
            </w:hyperlink>
          </w:p>
        </w:tc>
      </w:tr>
      <w:tr>
        <w:trPr>
          <w:trHeight w:val="160"/>
        </w:trPr>
        <w:tc>
          <w:tcPr>
            <w:tcW w:w="104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8-K filed August 29, 2022)</w:t>
              </w:r>
            </w:hyperlink>
          </w:p>
        </w:tc>
        <w:tc>
          <w:tcPr>
            <w:tcW w:w="788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10.42</w:t>
            </w:r>
          </w:p>
        </w:tc>
        <w:tc>
          <w:tcPr>
            <w:tcW w:w="9920" w:type="dxa"/>
            <w:vAlign w:val="bottom"/>
            <w:gridSpan w:val="30"/>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Loan Agreement, dated as of March 2, 2018, by and among the Company, the other Loan Parties from time to time party thereto, the Lenders</w:t>
              </w:r>
            </w:hyperlink>
          </w:p>
        </w:tc>
      </w:tr>
      <w:tr>
        <w:trPr>
          <w:trHeight w:val="148"/>
        </w:trPr>
        <w:tc>
          <w:tcPr>
            <w:tcW w:w="1040" w:type="dxa"/>
            <w:vAlign w:val="bottom"/>
          </w:tcPr>
          <w:p>
            <w:pPr>
              <w:spacing w:after="0"/>
              <w:rPr>
                <w:sz w:val="12"/>
                <w:szCs w:val="12"/>
                <w:color w:val="auto"/>
              </w:rPr>
            </w:pPr>
          </w:p>
        </w:tc>
        <w:tc>
          <w:tcPr>
            <w:tcW w:w="972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from time to time party thereto, JPMorgan Chase Bank, N.A., as Administrative Agent and Golub Capital LLC, as Syndication Agent.</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1040" w:type="dxa"/>
            <w:vAlign w:val="bottom"/>
          </w:tcPr>
          <w:p>
            <w:pPr>
              <w:spacing w:after="0"/>
              <w:rPr>
                <w:sz w:val="13"/>
                <w:szCs w:val="13"/>
                <w:color w:val="auto"/>
              </w:rPr>
            </w:pPr>
          </w:p>
        </w:tc>
        <w:tc>
          <w:tcPr>
            <w:tcW w:w="9240" w:type="dxa"/>
            <w:vAlign w:val="bottom"/>
            <w:tcBorders>
              <w:top w:val="single" w:sz="8" w:color="0000FF"/>
            </w:tcBorders>
            <w:gridSpan w:val="13"/>
          </w:tcPr>
          <w:p>
            <w:pPr>
              <w:spacing w:after="0" w:line="161"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(incorporated by reference to Exhibit 10.03 to the Company’s Current Report on Form 8-K filed March 6, 2018)</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10.43</w:t>
            </w:r>
          </w:p>
        </w:tc>
        <w:tc>
          <w:tcPr>
            <w:tcW w:w="958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Amendment No. 1, dated as of December 29, 2022, by and among the Company, the other Loan Parties from time to time party thereto, the</w:t>
              </w:r>
            </w:hyperlink>
          </w:p>
        </w:tc>
        <w:tc>
          <w:tcPr>
            <w:tcW w:w="340" w:type="dxa"/>
            <w:vAlign w:val="bottom"/>
            <w:gridSpan w:val="12"/>
          </w:tcPr>
          <w:p>
            <w:pPr>
              <w:spacing w:after="0"/>
              <w:rPr>
                <w:sz w:val="21"/>
                <w:szCs w:val="21"/>
                <w:color w:val="auto"/>
              </w:rPr>
            </w:pPr>
          </w:p>
        </w:tc>
      </w:tr>
      <w:tr>
        <w:trPr>
          <w:trHeight w:val="148"/>
        </w:trPr>
        <w:tc>
          <w:tcPr>
            <w:tcW w:w="1040" w:type="dxa"/>
            <w:vAlign w:val="bottom"/>
          </w:tcPr>
          <w:p>
            <w:pPr>
              <w:spacing w:after="0"/>
              <w:rPr>
                <w:sz w:val="12"/>
                <w:szCs w:val="12"/>
                <w:color w:val="auto"/>
              </w:rPr>
            </w:pPr>
          </w:p>
        </w:tc>
        <w:tc>
          <w:tcPr>
            <w:tcW w:w="9920" w:type="dxa"/>
            <w:vAlign w:val="bottom"/>
            <w:gridSpan w:val="30"/>
          </w:tcPr>
          <w:p>
            <w:pPr>
              <w:spacing w:after="0" w:line="148"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Lenders from time to time party thereto, JPMorgan Chase Bank, N.A., as Administrative Agent and Golub Capital LLC, as Syndication Agent.</w:t>
              </w:r>
            </w:hyperlink>
          </w:p>
        </w:tc>
      </w:tr>
      <w:tr>
        <w:trPr>
          <w:trHeight w:val="160"/>
        </w:trPr>
        <w:tc>
          <w:tcPr>
            <w:tcW w:w="1040" w:type="dxa"/>
            <w:vAlign w:val="bottom"/>
          </w:tcPr>
          <w:p>
            <w:pPr>
              <w:spacing w:after="0"/>
              <w:rPr>
                <w:sz w:val="13"/>
                <w:szCs w:val="13"/>
                <w:color w:val="auto"/>
              </w:rPr>
            </w:pPr>
          </w:p>
        </w:tc>
        <w:tc>
          <w:tcPr>
            <w:tcW w:w="9880" w:type="dxa"/>
            <w:vAlign w:val="bottom"/>
            <w:tcBorders>
              <w:top w:val="single" w:sz="8" w:color="0000FF"/>
            </w:tcBorders>
            <w:gridSpan w:val="28"/>
          </w:tcPr>
          <w:p>
            <w:pPr>
              <w:spacing w:after="0" w:line="161"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 xml:space="preserve">(incorporated by reference to Exhibit 10.01 to the Company’s Current Report on Form 8-K filed January 3, </w:t>
              </w:r>
            </w:hyperlink>
            <w:r>
              <w:rPr>
                <w:rFonts w:ascii="Times New Roman" w:cs="Times New Roman" w:eastAsia="Times New Roman" w:hAnsi="Times New Roman"/>
                <w:sz w:val="17"/>
                <w:szCs w:val="17"/>
                <w:color w:val="0000FF"/>
              </w:rPr>
              <w:t>2023)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10.44</w:t>
            </w:r>
          </w:p>
        </w:tc>
        <w:tc>
          <w:tcPr>
            <w:tcW w:w="9920" w:type="dxa"/>
            <w:vAlign w:val="bottom"/>
            <w:gridSpan w:val="30"/>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Amendment No.1 to the Receivables Purchase Agreement, dated as of October 9, 2020 by and among the Company, as a Seller and as a Seller</w:t>
              </w:r>
            </w:hyperlink>
          </w:p>
        </w:tc>
      </w:tr>
      <w:tr>
        <w:trPr>
          <w:trHeight w:val="148"/>
        </w:trPr>
        <w:tc>
          <w:tcPr>
            <w:tcW w:w="1040" w:type="dxa"/>
            <w:vAlign w:val="bottom"/>
          </w:tcPr>
          <w:p>
            <w:pPr>
              <w:spacing w:after="0"/>
              <w:rPr>
                <w:sz w:val="12"/>
                <w:szCs w:val="12"/>
                <w:color w:val="auto"/>
              </w:rPr>
            </w:pPr>
          </w:p>
        </w:tc>
        <w:tc>
          <w:tcPr>
            <w:tcW w:w="984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Agent and initial Servicer, for itself and each of its subsidiaries thereto as a Seller, and HSBC Bank USA, National Association, as Purchaser</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1040" w:type="dxa"/>
            <w:vAlign w:val="bottom"/>
          </w:tcPr>
          <w:p>
            <w:pPr>
              <w:spacing w:after="0"/>
              <w:rPr>
                <w:sz w:val="13"/>
                <w:szCs w:val="13"/>
                <w:color w:val="auto"/>
              </w:rPr>
            </w:pPr>
          </w:p>
        </w:tc>
        <w:tc>
          <w:tcPr>
            <w:tcW w:w="970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(incorporated by reference to Exhibit 10.43 to the Company's Annual Report on Form 10-K for the year ended December 31, 2020)</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10.45</w:t>
            </w: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Amendment No.2 to the Receivables Purchase Agreement, dated as of January 6, 2023 by and among the Company, as a Seller and as a Seller</w:t>
            </w:r>
          </w:p>
        </w:tc>
      </w:tr>
      <w:tr>
        <w:trPr>
          <w:trHeight w:val="148"/>
        </w:trPr>
        <w:tc>
          <w:tcPr>
            <w:tcW w:w="1040" w:type="dxa"/>
            <w:vAlign w:val="bottom"/>
          </w:tcPr>
          <w:p>
            <w:pPr>
              <w:spacing w:after="0"/>
              <w:rPr>
                <w:sz w:val="12"/>
                <w:szCs w:val="12"/>
                <w:color w:val="auto"/>
              </w:rPr>
            </w:pPr>
          </w:p>
        </w:tc>
        <w:tc>
          <w:tcPr>
            <w:tcW w:w="9700" w:type="dxa"/>
            <w:vAlign w:val="bottom"/>
            <w:tcBorders>
              <w:top w:val="single" w:sz="8" w:color="0000FF"/>
              <w:bottom w:val="single" w:sz="8" w:color="0000FF"/>
            </w:tcBorders>
            <w:gridSpan w:val="19"/>
          </w:tcPr>
          <w:p>
            <w:pPr>
              <w:spacing w:after="0" w:line="148" w:lineRule="exact"/>
              <w:rPr>
                <w:sz w:val="20"/>
                <w:szCs w:val="20"/>
                <w:color w:val="auto"/>
              </w:rPr>
            </w:pPr>
            <w:r>
              <w:rPr>
                <w:rFonts w:ascii="Times New Roman" w:cs="Times New Roman" w:eastAsia="Times New Roman" w:hAnsi="Times New Roman"/>
                <w:sz w:val="17"/>
                <w:szCs w:val="17"/>
                <w:color w:val="0000FF"/>
              </w:rPr>
              <w:t>Agent and initial Servicer, for itself and each of its subsidiaries thereto as a Seller, and HSBC Bank USA, National Association, as Purchaser</w:t>
            </w:r>
          </w:p>
        </w:tc>
        <w:tc>
          <w:tcPr>
            <w:tcW w:w="120" w:type="dxa"/>
            <w:vAlign w:val="bottom"/>
            <w:tcBorders>
              <w:top w:val="single" w:sz="8" w:color="0000FF"/>
            </w:tcBorders>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10.46</w:t>
            </w: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Amendment to Option Grant Certificates, dated as of March 8, 2023 by and among the Company and Jeffrey Siegel</w:t>
            </w: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20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Subsidiaries of the Company</w:t>
            </w:r>
          </w:p>
        </w:tc>
        <w:tc>
          <w:tcPr>
            <w:tcW w:w="5960" w:type="dxa"/>
            <w:vAlign w:val="bottom"/>
            <w:tcBorders>
              <w:top w:val="single" w:sz="8" w:color="0000FF"/>
            </w:tcBorders>
            <w:gridSpan w:val="7"/>
          </w:tcPr>
          <w:p>
            <w:pPr>
              <w:spacing w:after="0"/>
              <w:rPr>
                <w:sz w:val="21"/>
                <w:szCs w:val="21"/>
                <w:color w:val="auto"/>
              </w:rPr>
            </w:pPr>
          </w:p>
        </w:tc>
        <w:tc>
          <w:tcPr>
            <w:tcW w:w="1960" w:type="dxa"/>
            <w:vAlign w:val="bottom"/>
            <w:gridSpan w:val="20"/>
          </w:tcPr>
          <w:p>
            <w:pPr>
              <w:spacing w:after="0"/>
              <w:rPr>
                <w:sz w:val="21"/>
                <w:szCs w:val="21"/>
                <w:color w:val="auto"/>
              </w:rPr>
            </w:pP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2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Consent of Ernst &amp; Young LLP</w:t>
            </w:r>
          </w:p>
        </w:tc>
        <w:tc>
          <w:tcPr>
            <w:tcW w:w="7740" w:type="dxa"/>
            <w:vAlign w:val="bottom"/>
            <w:gridSpan w:val="25"/>
          </w:tcPr>
          <w:p>
            <w:pPr>
              <w:spacing w:after="0"/>
              <w:rPr>
                <w:sz w:val="21"/>
                <w:szCs w:val="21"/>
                <w:color w:val="auto"/>
              </w:rPr>
            </w:pP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32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Consent of Castillo Miranda Y Compania, S.C.</w:t>
            </w:r>
          </w:p>
        </w:tc>
        <w:tc>
          <w:tcPr>
            <w:tcW w:w="6660" w:type="dxa"/>
            <w:vAlign w:val="bottom"/>
            <w:gridSpan w:val="24"/>
          </w:tcPr>
          <w:p>
            <w:pPr>
              <w:spacing w:after="0"/>
              <w:rPr>
                <w:sz w:val="21"/>
                <w:szCs w:val="21"/>
                <w:color w:val="auto"/>
              </w:rPr>
            </w:pP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Certification by Robert B. Kay, Chief Executive Officer and Director, pursuant to Rule 13a-14(a) or Rule 15d-14(a) of the Securities and</w:t>
            </w:r>
          </w:p>
        </w:tc>
      </w:tr>
      <w:tr>
        <w:trPr>
          <w:trHeight w:val="148"/>
        </w:trPr>
        <w:tc>
          <w:tcPr>
            <w:tcW w:w="1040" w:type="dxa"/>
            <w:vAlign w:val="bottom"/>
          </w:tcPr>
          <w:p>
            <w:pPr>
              <w:spacing w:after="0"/>
              <w:rPr>
                <w:sz w:val="12"/>
                <w:szCs w:val="12"/>
                <w:color w:val="auto"/>
              </w:rPr>
            </w:pPr>
          </w:p>
        </w:tc>
        <w:tc>
          <w:tcPr>
            <w:tcW w:w="6480" w:type="dxa"/>
            <w:vAlign w:val="bottom"/>
            <w:tcBorders>
              <w:top w:val="single" w:sz="8" w:color="0000FF"/>
              <w:bottom w:val="single" w:sz="8" w:color="0000FF"/>
            </w:tcBorders>
            <w:gridSpan w:val="7"/>
          </w:tcPr>
          <w:p>
            <w:pPr>
              <w:spacing w:after="0" w:line="148" w:lineRule="exact"/>
              <w:rPr>
                <w:sz w:val="20"/>
                <w:szCs w:val="20"/>
                <w:color w:val="auto"/>
              </w:rPr>
            </w:pPr>
            <w:r>
              <w:rPr>
                <w:rFonts w:ascii="Times New Roman" w:cs="Times New Roman" w:eastAsia="Times New Roman" w:hAnsi="Times New Roman"/>
                <w:sz w:val="17"/>
                <w:szCs w:val="17"/>
                <w:color w:val="0000FF"/>
              </w:rPr>
              <w:t>Exchange Act of 1934, as adopted pursuant to Section 302 of the Sarbanes-Oxley Act of 2002</w:t>
            </w:r>
          </w:p>
        </w:tc>
        <w:tc>
          <w:tcPr>
            <w:tcW w:w="292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Certification by Laurence Winoker, Senior Vice President – Finance, Treasurer and Chief Financial Officer, pursuant to Rule 13a-14(a) or Rule</w:t>
            </w:r>
          </w:p>
        </w:tc>
      </w:tr>
      <w:tr>
        <w:trPr>
          <w:trHeight w:val="148"/>
        </w:trPr>
        <w:tc>
          <w:tcPr>
            <w:tcW w:w="1040" w:type="dxa"/>
            <w:vAlign w:val="bottom"/>
          </w:tcPr>
          <w:p>
            <w:pPr>
              <w:spacing w:after="0"/>
              <w:rPr>
                <w:sz w:val="12"/>
                <w:szCs w:val="12"/>
                <w:color w:val="auto"/>
              </w:rPr>
            </w:pPr>
          </w:p>
        </w:tc>
        <w:tc>
          <w:tcPr>
            <w:tcW w:w="9900" w:type="dxa"/>
            <w:vAlign w:val="bottom"/>
            <w:tcBorders>
              <w:top w:val="single" w:sz="8" w:color="0000FF"/>
            </w:tcBorders>
            <w:gridSpan w:val="29"/>
          </w:tcPr>
          <w:p>
            <w:pPr>
              <w:spacing w:after="0" w:line="148" w:lineRule="exact"/>
              <w:rPr>
                <w:sz w:val="20"/>
                <w:szCs w:val="20"/>
                <w:color w:val="auto"/>
              </w:rPr>
            </w:pPr>
            <w:r>
              <w:rPr>
                <w:rFonts w:ascii="Times New Roman" w:cs="Times New Roman" w:eastAsia="Times New Roman" w:hAnsi="Times New Roman"/>
                <w:sz w:val="17"/>
                <w:szCs w:val="17"/>
                <w:color w:val="0000FF"/>
              </w:rPr>
              <w:t>15d-14(a) of the Securities and Exchange Act of 1934, as adopted pursuant to Section 302 of the Sarbanes-Oxley Act of 2002</w:t>
            </w:r>
          </w:p>
        </w:tc>
        <w:tc>
          <w:tcPr>
            <w:tcW w:w="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120" w:type="dxa"/>
            <w:vAlign w:val="bottom"/>
            <w:gridSpan w:val="10"/>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Certification by Robert B. Kay, Chief Executive Officer and Director, and Laurence Winoker, Senior Vice President – Finance, Treasurer and</w:t>
            </w:r>
          </w:p>
        </w:tc>
      </w:tr>
      <w:tr>
        <w:trPr>
          <w:trHeight w:val="148"/>
        </w:trPr>
        <w:tc>
          <w:tcPr>
            <w:tcW w:w="1040" w:type="dxa"/>
            <w:vAlign w:val="bottom"/>
          </w:tcPr>
          <w:p>
            <w:pPr>
              <w:spacing w:after="0"/>
              <w:rPr>
                <w:sz w:val="12"/>
                <w:szCs w:val="12"/>
                <w:color w:val="auto"/>
              </w:rPr>
            </w:pPr>
          </w:p>
        </w:tc>
        <w:tc>
          <w:tcPr>
            <w:tcW w:w="9420" w:type="dxa"/>
            <w:vAlign w:val="bottom"/>
            <w:tcBorders>
              <w:top w:val="single" w:sz="8" w:color="0000FF"/>
              <w:bottom w:val="single" w:sz="8" w:color="0000FF"/>
            </w:tcBorders>
            <w:gridSpan w:val="16"/>
          </w:tcPr>
          <w:p>
            <w:pPr>
              <w:spacing w:after="0" w:line="148" w:lineRule="exact"/>
              <w:rPr>
                <w:sz w:val="20"/>
                <w:szCs w:val="20"/>
                <w:color w:val="auto"/>
              </w:rPr>
            </w:pPr>
            <w:r>
              <w:rPr>
                <w:rFonts w:ascii="Times New Roman" w:cs="Times New Roman" w:eastAsia="Times New Roman" w:hAnsi="Times New Roman"/>
                <w:sz w:val="17"/>
                <w:szCs w:val="17"/>
                <w:color w:val="0000FF"/>
              </w:rPr>
              <w:t>Chief Financial Officer, pursuant to 18 U.S.C. Section 1350, as adopted pursuant to Section 906 of the Sarbanes-Oxley Act of 2002 (**)</w:t>
            </w:r>
          </w:p>
        </w:tc>
        <w:tc>
          <w:tcPr>
            <w:tcW w:w="320" w:type="dxa"/>
            <w:vAlign w:val="bottom"/>
            <w:tcBorders>
              <w:top w:val="single" w:sz="8" w:color="0000FF"/>
            </w:tcBorders>
            <w:gridSpan w:val="5"/>
          </w:tcPr>
          <w:p>
            <w:pPr>
              <w:spacing w:after="0"/>
              <w:rPr>
                <w:sz w:val="12"/>
                <w:szCs w:val="12"/>
                <w:color w:val="auto"/>
              </w:rPr>
            </w:pPr>
          </w:p>
        </w:tc>
        <w:tc>
          <w:tcPr>
            <w:tcW w:w="180" w:type="dxa"/>
            <w:vAlign w:val="bottom"/>
            <w:gridSpan w:val="9"/>
          </w:tcPr>
          <w:p>
            <w:pPr>
              <w:spacing w:after="0"/>
              <w:rPr>
                <w:sz w:val="12"/>
                <w:szCs w:val="12"/>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Report of Independent Registered Accounting Firm on the consolidated financial statements of Grupo Vasconia, S.A.B. (formerly Ekco,</w:t>
            </w:r>
          </w:p>
        </w:tc>
      </w:tr>
      <w:tr>
        <w:trPr>
          <w:trHeight w:val="148"/>
        </w:trPr>
        <w:tc>
          <w:tcPr>
            <w:tcW w:w="1040" w:type="dxa"/>
            <w:vAlign w:val="bottom"/>
          </w:tcPr>
          <w:p>
            <w:pPr>
              <w:spacing w:after="0"/>
              <w:rPr>
                <w:sz w:val="12"/>
                <w:szCs w:val="12"/>
                <w:color w:val="auto"/>
              </w:rPr>
            </w:pPr>
          </w:p>
        </w:tc>
        <w:tc>
          <w:tcPr>
            <w:tcW w:w="9360" w:type="dxa"/>
            <w:vAlign w:val="bottom"/>
            <w:tcBorders>
              <w:top w:val="single" w:sz="8" w:color="0000FF"/>
            </w:tcBorders>
            <w:gridSpan w:val="14"/>
          </w:tcPr>
          <w:p>
            <w:pPr>
              <w:spacing w:after="0" w:line="148" w:lineRule="exact"/>
              <w:rPr>
                <w:sz w:val="20"/>
                <w:szCs w:val="20"/>
                <w:color w:val="auto"/>
              </w:rPr>
            </w:pPr>
            <w:r>
              <w:rPr>
                <w:rFonts w:ascii="Times New Roman" w:cs="Times New Roman" w:eastAsia="Times New Roman" w:hAnsi="Times New Roman"/>
                <w:sz w:val="17"/>
                <w:szCs w:val="17"/>
                <w:color w:val="0000FF"/>
              </w:rPr>
              <w:t>S.A.B.)</w:t>
            </w:r>
          </w:p>
        </w:tc>
        <w:tc>
          <w:tcPr>
            <w:tcW w:w="560" w:type="dxa"/>
            <w:vAlign w:val="bottom"/>
            <w:gridSpan w:val="16"/>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0" w:type="dxa"/>
            <w:vAlign w:val="bottom"/>
            <w:gridSpan w:val="29"/>
          </w:tcPr>
          <w:p>
            <w:pPr>
              <w:spacing w:after="0" w:line="20" w:lineRule="exact"/>
              <w:rPr>
                <w:sz w:val="1"/>
                <w:szCs w:val="1"/>
                <w:color w:val="auto"/>
              </w:rPr>
            </w:pPr>
          </w:p>
        </w:tc>
      </w:tr>
      <w:tr>
        <w:trPr>
          <w:trHeight w:val="30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Inline XBRL Instance Document (the instance document does not appear in the interactive Data File because its XBRL tags are embedded</w:t>
            </w:r>
          </w:p>
        </w:tc>
      </w:tr>
      <w:tr>
        <w:trPr>
          <w:trHeight w:val="223"/>
        </w:trPr>
        <w:tc>
          <w:tcPr>
            <w:tcW w:w="1040" w:type="dxa"/>
            <w:vAlign w:val="bottom"/>
          </w:tcPr>
          <w:p>
            <w:pPr>
              <w:spacing w:after="0"/>
              <w:rPr>
                <w:sz w:val="19"/>
                <w:szCs w:val="19"/>
                <w:color w:val="auto"/>
              </w:rPr>
            </w:pP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80"/>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992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ind w:right="4140" w:firstLine="20"/>
        <w:spacing w:after="0" w:line="369" w:lineRule="auto"/>
        <w:tabs>
          <w:tab w:leader="none" w:pos="106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this Annual Report on Form 10-K, formatted in Inline XBRL Notes to exhibits:</w:t>
      </w:r>
    </w:p>
    <w:p>
      <w:pPr>
        <w:ind w:left="320" w:right="3880" w:hanging="7"/>
        <w:spacing w:after="0" w:line="413" w:lineRule="auto"/>
        <w:tabs>
          <w:tab w:leader="none" w:pos="563"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Compensatory plans in which the directors and executive officers of the Company participate. (**) Furnished, not filed.</w:t>
      </w:r>
    </w:p>
    <w:p>
      <w:pPr>
        <w:spacing w:after="0" w:line="2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0"/>
          </w:cols>
          <w:pgMar w:left="320" w:top="123" w:right="6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4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Lifetime Brands, Inc.</w:t>
      </w:r>
    </w:p>
    <w:p>
      <w:pPr>
        <w:spacing w:after="0" w:line="28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17145</wp:posOffset>
            </wp:positionV>
            <wp:extent cx="27095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a:extLst>
                        <a:ext uri="{28A0092B-C50C-407E-A947-70E740481C1C}"/>
                      </a:extLst>
                    </a:blip>
                    <a:srcRect/>
                    <a:stretch>
                      <a:fillRect/>
                    </a:stretch>
                  </pic:blipFill>
                  <pic:spPr bwMode="auto">
                    <a:xfrm>
                      <a:off x="0" y="0"/>
                      <a:ext cx="2709545" cy="8255"/>
                    </a:xfrm>
                    <a:prstGeom prst="rect">
                      <a:avLst/>
                    </a:prstGeom>
                    <a:noFill/>
                  </pic:spPr>
                </pic:pic>
              </a:graphicData>
            </a:graphic>
          </wp:anchor>
        </w:drawing>
      </w:r>
    </w:p>
    <w:p>
      <w:pPr>
        <w:spacing w:after="0" w:line="1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Robert B. Kay</w:t>
      </w:r>
    </w:p>
    <w:p>
      <w:pPr>
        <w:spacing w:after="0" w:line="28"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2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Date: March 9, 2023</w:t>
      </w:r>
    </w:p>
    <w:p>
      <w:pPr>
        <w:spacing w:after="0" w:line="303"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w:t>
            </w:r>
          </w:p>
        </w:tc>
        <w:tc>
          <w:tcPr>
            <w:tcW w:w="482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Title</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Date</w:t>
            </w:r>
          </w:p>
        </w:tc>
      </w:tr>
      <w:tr>
        <w:trPr>
          <w:trHeight w:val="29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Robert B. Kay</w:t>
            </w:r>
          </w:p>
        </w:tc>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9, 2023</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Robert B. Kay</w:t>
            </w:r>
          </w:p>
        </w:tc>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56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Laurence Winoker</w:t>
            </w:r>
          </w:p>
        </w:tc>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Executive Vice President</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9, 2023</w:t>
            </w:r>
          </w:p>
        </w:tc>
      </w:tr>
      <w:tr>
        <w:trPr>
          <w:trHeight w:val="160"/>
        </w:trPr>
        <w:tc>
          <w:tcPr>
            <w:tcW w:w="386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Laurence Winoker</w:t>
            </w:r>
          </w:p>
        </w:tc>
        <w:tc>
          <w:tcPr>
            <w:tcW w:w="4820" w:type="dxa"/>
            <w:vAlign w:val="bottom"/>
          </w:tcPr>
          <w:p>
            <w:pPr>
              <w:ind w:left="120"/>
              <w:spacing w:after="0" w:line="161" w:lineRule="exact"/>
              <w:rPr>
                <w:sz w:val="20"/>
                <w:szCs w:val="20"/>
                <w:color w:val="auto"/>
              </w:rPr>
            </w:pPr>
            <w:r>
              <w:rPr>
                <w:rFonts w:ascii="Times New Roman" w:cs="Times New Roman" w:eastAsia="Times New Roman" w:hAnsi="Times New Roman"/>
                <w:sz w:val="17"/>
                <w:szCs w:val="17"/>
                <w:color w:val="auto"/>
              </w:rPr>
              <w:t>Treasurer and Chief Financial Officer</w:t>
            </w:r>
          </w:p>
        </w:tc>
        <w:tc>
          <w:tcPr>
            <w:tcW w:w="2560" w:type="dxa"/>
            <w:vAlign w:val="bottom"/>
          </w:tcPr>
          <w:p>
            <w:pPr>
              <w:spacing w:after="0"/>
              <w:rPr>
                <w:sz w:val="13"/>
                <w:szCs w:val="13"/>
                <w:color w:val="auto"/>
              </w:rPr>
            </w:pPr>
          </w:p>
        </w:tc>
      </w:tr>
      <w:tr>
        <w:trPr>
          <w:trHeight w:val="223"/>
        </w:trPr>
        <w:tc>
          <w:tcPr>
            <w:tcW w:w="386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2560" w:type="dxa"/>
            <w:vAlign w:val="bottom"/>
          </w:tcPr>
          <w:p>
            <w:pPr>
              <w:spacing w:after="0"/>
              <w:rPr>
                <w:sz w:val="19"/>
                <w:szCs w:val="19"/>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Jeffrey Siegel</w:t>
            </w:r>
          </w:p>
        </w:tc>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Executive Chairman of the Board of Directors</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9, 2023</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Siegel</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Rachael Jarosh</w:t>
            </w:r>
          </w:p>
        </w:tc>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9, 2023</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Rachael Jarosh</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John Koegel</w:t>
            </w:r>
          </w:p>
        </w:tc>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9, 2023</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Koegel</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Cherrie Nanninga</w:t>
            </w:r>
          </w:p>
        </w:tc>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9, 2023</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Cherrie Nanninga</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Veronique Gabai-Pinsky</w:t>
            </w:r>
          </w:p>
        </w:tc>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9, 2023</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Veronique Gabai-Pinsky</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Bruce Pollack</w:t>
            </w:r>
          </w:p>
        </w:tc>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9, 2023</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Bruce Pollack</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Michael J. Regan</w:t>
            </w:r>
          </w:p>
        </w:tc>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9, 2023</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J. Regan</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Michael Schnabel</w:t>
            </w:r>
          </w:p>
        </w:tc>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9, 2023</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Schnabel</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925"/>
        </w:trPr>
        <w:tc>
          <w:tcPr>
            <w:tcW w:w="3860" w:type="dxa"/>
            <w:vAlign w:val="bottom"/>
          </w:tcPr>
          <w:p>
            <w:pPr>
              <w:spacing w:after="0"/>
              <w:rPr>
                <w:sz w:val="24"/>
                <w:szCs w:val="24"/>
                <w:color w:val="auto"/>
              </w:rPr>
            </w:pPr>
          </w:p>
        </w:tc>
        <w:tc>
          <w:tcPr>
            <w:tcW w:w="482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53</w:t>
            </w:r>
          </w:p>
        </w:tc>
        <w:tc>
          <w:tcPr>
            <w:tcW w:w="2560" w:type="dxa"/>
            <w:vAlign w:val="bottom"/>
          </w:tcPr>
          <w:p>
            <w:pPr>
              <w:spacing w:after="0"/>
              <w:rPr>
                <w:sz w:val="24"/>
                <w:szCs w:val="24"/>
                <w:color w:val="auto"/>
              </w:rPr>
            </w:pPr>
          </w:p>
        </w:tc>
      </w:tr>
      <w:tr>
        <w:trPr>
          <w:trHeight w:val="108"/>
        </w:trPr>
        <w:tc>
          <w:tcPr>
            <w:tcW w:w="386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5"/>
        </w:trPr>
        <w:tc>
          <w:tcPr>
            <w:tcW w:w="1070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40" w:type="dxa"/>
            <w:vAlign w:val="bottom"/>
          </w:tcPr>
          <w:p>
            <w:pPr>
              <w:spacing w:after="0"/>
              <w:rPr>
                <w:sz w:val="17"/>
                <w:szCs w:val="17"/>
                <w:color w:val="auto"/>
              </w:rPr>
            </w:pPr>
          </w:p>
        </w:tc>
      </w:tr>
      <w:tr>
        <w:trPr>
          <w:trHeight w:val="947"/>
        </w:trPr>
        <w:tc>
          <w:tcPr>
            <w:tcW w:w="12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Item 15</w:t>
            </w:r>
          </w:p>
        </w:tc>
        <w:tc>
          <w:tcPr>
            <w:tcW w:w="9480" w:type="dxa"/>
            <w:vAlign w:val="bottom"/>
            <w:gridSpan w:val="9"/>
          </w:tcPr>
          <w:p>
            <w:pPr>
              <w:spacing w:after="0"/>
              <w:rPr>
                <w:sz w:val="24"/>
                <w:szCs w:val="24"/>
                <w:color w:val="auto"/>
              </w:rPr>
            </w:pPr>
          </w:p>
        </w:tc>
        <w:tc>
          <w:tcPr>
            <w:tcW w:w="5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40" w:type="dxa"/>
            <w:vAlign w:val="bottom"/>
            <w:gridSpan w:val="5"/>
          </w:tcPr>
          <w:p>
            <w:pPr>
              <w:jc w:val="center"/>
              <w:ind w:right="3900"/>
              <w:spacing w:after="0"/>
              <w:rPr>
                <w:sz w:val="20"/>
                <w:szCs w:val="20"/>
                <w:color w:val="auto"/>
              </w:rPr>
            </w:pPr>
            <w:r>
              <w:rPr>
                <w:rFonts w:ascii="Times New Roman" w:cs="Times New Roman" w:eastAsia="Times New Roman" w:hAnsi="Times New Roman"/>
                <w:sz w:val="17"/>
                <w:szCs w:val="17"/>
                <w:b w:val="1"/>
                <w:bCs w:val="1"/>
                <w:color w:val="auto"/>
              </w:rPr>
              <w:t>LIFETIME BRANDS, INC.</w:t>
            </w:r>
          </w:p>
        </w:tc>
        <w:tc>
          <w:tcPr>
            <w:tcW w:w="5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80" w:type="dxa"/>
            <w:vAlign w:val="bottom"/>
            <w:gridSpan w:val="9"/>
          </w:tcPr>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LIST OF FINANCIAL STATEMENTS AND FINANCIAL STATEMENT SCHEDULE</w:t>
            </w:r>
          </w:p>
        </w:tc>
        <w:tc>
          <w:tcPr>
            <w:tcW w:w="540" w:type="dxa"/>
            <w:vAlign w:val="bottom"/>
          </w:tcPr>
          <w:p>
            <w:pPr>
              <w:spacing w:after="0"/>
              <w:rPr>
                <w:sz w:val="24"/>
                <w:szCs w:val="24"/>
                <w:color w:val="auto"/>
              </w:rPr>
            </w:pPr>
          </w:p>
        </w:tc>
      </w:tr>
      <w:tr>
        <w:trPr>
          <w:trHeight w:val="289"/>
        </w:trPr>
        <w:tc>
          <w:tcPr>
            <w:tcW w:w="107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 xml:space="preserve">The following consolidated financial statements of Lifetime Brands, Inc. are filed as part of this Annual Report under Item 8 – </w:t>
            </w:r>
            <w:r>
              <w:rPr>
                <w:rFonts w:ascii="Times New Roman" w:cs="Times New Roman" w:eastAsia="Times New Roman" w:hAnsi="Times New Roman"/>
                <w:sz w:val="17"/>
                <w:szCs w:val="17"/>
                <w:i w:val="1"/>
                <w:iCs w:val="1"/>
                <w:color w:val="auto"/>
              </w:rPr>
              <w:t>Financial Statements and</w:t>
            </w:r>
          </w:p>
        </w:tc>
        <w:tc>
          <w:tcPr>
            <w:tcW w:w="540" w:type="dxa"/>
            <w:vAlign w:val="bottom"/>
          </w:tcPr>
          <w:p>
            <w:pPr>
              <w:spacing w:after="0"/>
              <w:rPr>
                <w:sz w:val="24"/>
                <w:szCs w:val="24"/>
                <w:color w:val="auto"/>
              </w:rPr>
            </w:pPr>
          </w:p>
        </w:tc>
      </w:tr>
      <w:tr>
        <w:trPr>
          <w:trHeight w:val="227"/>
        </w:trPr>
        <w:tc>
          <w:tcPr>
            <w:tcW w:w="10700" w:type="dxa"/>
            <w:vAlign w:val="bottom"/>
            <w:gridSpan w:val="11"/>
          </w:tcPr>
          <w:p>
            <w:pPr>
              <w:spacing w:after="0"/>
              <w:rPr>
                <w:sz w:val="20"/>
                <w:szCs w:val="20"/>
                <w:color w:val="auto"/>
              </w:rPr>
            </w:pPr>
            <w:r>
              <w:rPr>
                <w:rFonts w:ascii="Times New Roman" w:cs="Times New Roman" w:eastAsia="Times New Roman" w:hAnsi="Times New Roman"/>
                <w:sz w:val="17"/>
                <w:szCs w:val="17"/>
                <w:i w:val="1"/>
                <w:iCs w:val="1"/>
                <w:color w:val="auto"/>
              </w:rPr>
              <w:t>Supplementary Data.</w:t>
            </w:r>
          </w:p>
        </w:tc>
        <w:tc>
          <w:tcPr>
            <w:tcW w:w="540" w:type="dxa"/>
            <w:vAlign w:val="bottom"/>
          </w:tcPr>
          <w:p>
            <w:pPr>
              <w:spacing w:after="0"/>
              <w:rPr>
                <w:sz w:val="19"/>
                <w:szCs w:val="19"/>
                <w:color w:val="auto"/>
              </w:rPr>
            </w:pPr>
          </w:p>
        </w:tc>
      </w:tr>
      <w:tr>
        <w:trPr>
          <w:trHeight w:val="464"/>
        </w:trPr>
        <w:tc>
          <w:tcPr>
            <w:tcW w:w="20" w:type="dxa"/>
            <w:vAlign w:val="bottom"/>
          </w:tcPr>
          <w:p>
            <w:pPr>
              <w:spacing w:after="0"/>
              <w:rPr>
                <w:sz w:val="24"/>
                <w:szCs w:val="24"/>
                <w:color w:val="auto"/>
              </w:rPr>
            </w:pPr>
          </w:p>
        </w:tc>
        <w:tc>
          <w:tcPr>
            <w:tcW w:w="10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42)</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F-2</w:t>
            </w:r>
          </w:p>
        </w:tc>
      </w:tr>
      <w:tr>
        <w:trPr>
          <w:trHeight w:val="20"/>
        </w:trPr>
        <w:tc>
          <w:tcPr>
            <w:tcW w:w="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2022 and 2021</w:t>
            </w:r>
          </w:p>
        </w:tc>
        <w:tc>
          <w:tcPr>
            <w:tcW w:w="6240" w:type="dxa"/>
            <w:vAlign w:val="bottom"/>
            <w:gridSpan w:val="5"/>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F-5</w:t>
            </w:r>
          </w:p>
        </w:tc>
      </w:tr>
      <w:tr>
        <w:trPr>
          <w:trHeight w:val="199"/>
        </w:trPr>
        <w:tc>
          <w:tcPr>
            <w:tcW w:w="20" w:type="dxa"/>
            <w:vAlign w:val="bottom"/>
          </w:tcPr>
          <w:p>
            <w:pPr>
              <w:spacing w:after="0"/>
              <w:rPr>
                <w:sz w:val="17"/>
                <w:szCs w:val="17"/>
                <w:color w:val="auto"/>
              </w:rPr>
            </w:pPr>
          </w:p>
        </w:tc>
        <w:tc>
          <w:tcPr>
            <w:tcW w:w="10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December 31, 2022, 2021, and 2020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F-6</w:t>
            </w:r>
          </w:p>
        </w:tc>
      </w:tr>
      <w:tr>
        <w:trPr>
          <w:trHeight w:val="20"/>
        </w:trPr>
        <w:tc>
          <w:tcPr>
            <w:tcW w:w="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(Loss) Income for the Years ended December 31, 2022, 2021 and 2020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F-7</w:t>
            </w:r>
          </w:p>
        </w:tc>
      </w:tr>
      <w:tr>
        <w:trPr>
          <w:trHeight w:val="199"/>
        </w:trPr>
        <w:tc>
          <w:tcPr>
            <w:tcW w:w="20" w:type="dxa"/>
            <w:vAlign w:val="bottom"/>
          </w:tcPr>
          <w:p>
            <w:pPr>
              <w:spacing w:after="0"/>
              <w:rPr>
                <w:sz w:val="17"/>
                <w:szCs w:val="17"/>
                <w:color w:val="auto"/>
              </w:rPr>
            </w:pPr>
          </w:p>
        </w:tc>
        <w:tc>
          <w:tcPr>
            <w:tcW w:w="79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31, 2022, 2021, and 2020</w:t>
            </w:r>
          </w:p>
        </w:tc>
        <w:tc>
          <w:tcPr>
            <w:tcW w:w="27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F-8</w:t>
            </w:r>
          </w:p>
        </w:tc>
      </w:tr>
      <w:tr>
        <w:trPr>
          <w:trHeight w:val="199"/>
        </w:trPr>
        <w:tc>
          <w:tcPr>
            <w:tcW w:w="2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2022, 2021, and 2020</w:t>
            </w:r>
          </w:p>
        </w:tc>
        <w:tc>
          <w:tcPr>
            <w:tcW w:w="640" w:type="dxa"/>
            <w:vAlign w:val="bottom"/>
            <w:tcBorders>
              <w:top w:val="single" w:sz="8" w:color="0000FF"/>
            </w:tcBorders>
          </w:tcPr>
          <w:p>
            <w:pPr>
              <w:spacing w:after="0"/>
              <w:rPr>
                <w:sz w:val="17"/>
                <w:szCs w:val="17"/>
                <w:color w:val="auto"/>
              </w:rPr>
            </w:pPr>
          </w:p>
        </w:tc>
        <w:tc>
          <w:tcPr>
            <w:tcW w:w="3380" w:type="dxa"/>
            <w:vAlign w:val="bottom"/>
            <w:gridSpan w:val="2"/>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F-9</w:t>
            </w:r>
          </w:p>
        </w:tc>
      </w:tr>
      <w:tr>
        <w:trPr>
          <w:trHeight w:val="199"/>
        </w:trPr>
        <w:tc>
          <w:tcPr>
            <w:tcW w:w="20" w:type="dxa"/>
            <w:vAlign w:val="bottom"/>
          </w:tcPr>
          <w:p>
            <w:pPr>
              <w:spacing w:after="0"/>
              <w:rPr>
                <w:sz w:val="17"/>
                <w:szCs w:val="17"/>
                <w:color w:val="auto"/>
              </w:rPr>
            </w:pPr>
          </w:p>
        </w:tc>
        <w:tc>
          <w:tcPr>
            <w:tcW w:w="10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F-10</w:t>
            </w:r>
          </w:p>
        </w:tc>
      </w:tr>
      <w:tr>
        <w:trPr>
          <w:trHeight w:val="20"/>
        </w:trPr>
        <w:tc>
          <w:tcPr>
            <w:tcW w:w="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22"/>
        </w:trPr>
        <w:tc>
          <w:tcPr>
            <w:tcW w:w="107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The following consolidated financial statement schedule of Lifetime Brands, Inc. required pursuant to Item 15(a) is submitted herewith:</w:t>
            </w:r>
          </w:p>
        </w:tc>
        <w:tc>
          <w:tcPr>
            <w:tcW w:w="540" w:type="dxa"/>
            <w:vAlign w:val="bottom"/>
          </w:tcPr>
          <w:p>
            <w:pPr>
              <w:spacing w:after="0"/>
              <w:rPr>
                <w:sz w:val="24"/>
                <w:szCs w:val="24"/>
                <w:color w:val="auto"/>
              </w:rPr>
            </w:pPr>
          </w:p>
        </w:tc>
      </w:tr>
      <w:tr>
        <w:trPr>
          <w:trHeight w:val="464"/>
        </w:trPr>
        <w:tc>
          <w:tcPr>
            <w:tcW w:w="20" w:type="dxa"/>
            <w:vAlign w:val="bottom"/>
          </w:tcPr>
          <w:p>
            <w:pPr>
              <w:spacing w:after="0"/>
              <w:rPr>
                <w:sz w:val="24"/>
                <w:szCs w:val="24"/>
                <w:color w:val="auto"/>
              </w:rPr>
            </w:pPr>
          </w:p>
        </w:tc>
        <w:tc>
          <w:tcPr>
            <w:tcW w:w="10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Schedule II – Valuation and Qualifying Accounts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S-1</w:t>
            </w:r>
          </w:p>
        </w:tc>
      </w:tr>
      <w:tr>
        <w:trPr>
          <w:trHeight w:val="20"/>
        </w:trPr>
        <w:tc>
          <w:tcPr>
            <w:tcW w:w="2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73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09"/>
        </w:trPr>
        <w:tc>
          <w:tcPr>
            <w:tcW w:w="107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All other financial schedules are not required under the related instructions or are inapplicable, and therefore have been omitted.</w:t>
            </w:r>
          </w:p>
        </w:tc>
        <w:tc>
          <w:tcPr>
            <w:tcW w:w="540" w:type="dxa"/>
            <w:vAlign w:val="bottom"/>
          </w:tcPr>
          <w:p>
            <w:pPr>
              <w:spacing w:after="0"/>
              <w:rPr>
                <w:sz w:val="24"/>
                <w:szCs w:val="24"/>
                <w:color w:val="auto"/>
              </w:rPr>
            </w:pPr>
          </w:p>
        </w:tc>
      </w:tr>
      <w:tr>
        <w:trPr>
          <w:trHeight w:val="105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40" w:type="dxa"/>
            <w:vAlign w:val="bottom"/>
            <w:gridSpan w:val="5"/>
          </w:tcPr>
          <w:p>
            <w:pPr>
              <w:jc w:val="center"/>
              <w:ind w:right="392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w:t>
            </w:r>
          </w:p>
        </w:tc>
        <w:tc>
          <w:tcPr>
            <w:tcW w:w="54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Lifetime Brands,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1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Lifetime Brands, Inc. (the Company) as of December 31, 2022 and 2021, the related consolidated statements of operations, comprehensive (loss) income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stockholders' equity and cash flows for each of the three years in the period ended December 31, 2022, and the related notes and financial statement schedule listed in the Index at Item 15(a) (collectively referred to as the “consolidated financial statements”). In our opinion, based on our audits and the report of other auditors,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73"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7"/>
          <w:szCs w:val="17"/>
          <w:color w:val="auto"/>
        </w:rPr>
        <w:t>We did not audit the financial statements of Grupo Vasconia, S.A.B. and Subsidiaries, a corporation in which the Company has a 24.7% interest. In the consolidated financial statements, the Company’s investment in Grupo Vasconia, S.A.B. and Subsidiaries is stated at $12.5 million and $22.3 million as of December 31, 2022 and 2021, respectively, and the Company’s equity in the net (loss) income of Grupo Vasconia, S.A.B. and Subsidiaries is stated at</w:t>
      </w:r>
    </w:p>
    <w:p>
      <w:pPr>
        <w:ind w:right="100"/>
        <w:spacing w:after="0" w:line="266" w:lineRule="auto"/>
        <w:rPr>
          <w:sz w:val="20"/>
          <w:szCs w:val="20"/>
          <w:color w:val="auto"/>
        </w:rPr>
      </w:pPr>
      <w:r>
        <w:rPr>
          <w:rFonts w:ascii="Times New Roman" w:cs="Times New Roman" w:eastAsia="Times New Roman" w:hAnsi="Times New Roman"/>
          <w:sz w:val="17"/>
          <w:szCs w:val="17"/>
          <w:color w:val="auto"/>
        </w:rPr>
        <w:t>$(3.3) million in 2022, $1.8 million in 2021 and $1.5 million in 2020. Those statements were audited by other auditors whose report has been furnished to us, and our opinion, insofar as it relates to the amounts included for Grupo Vasconia, S.A.B. and Subsidiaries, is based solely on the report of the other auditors.</w:t>
      </w:r>
    </w:p>
    <w:p>
      <w:pPr>
        <w:spacing w:after="0" w:line="169"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9, 2023 expressed an unqualified opinion thereon.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other auditors provide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w:t>
      </w:r>
      <w:r>
        <w:rPr>
          <w:sz w:val="1"/>
          <w:szCs w:val="1"/>
          <w:color w:val="auto"/>
        </w:rPr>
        <w:drawing>
          <wp:inline distT="0" distB="0" distL="0" distR="0">
            <wp:extent cx="24765" cy="9017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4">
                      <a:extLst>
                        <a:ext uri="{28A0092B-C50C-407E-A947-70E740481C1C}"/>
                      </a:extLst>
                    </a:blip>
                    <a:srcRect/>
                    <a:stretch>
                      <a:fillRect/>
                    </a:stretch>
                  </pic:blipFill>
                  <pic:spPr bwMode="auto">
                    <a:xfrm>
                      <a:off x="0" y="0"/>
                      <a:ext cx="24765" cy="90170"/>
                    </a:xfrm>
                    <a:prstGeom prst="rect">
                      <a:avLst/>
                    </a:prstGeom>
                    <a:noFill/>
                    <a:ln>
                      <a:noFill/>
                    </a:ln>
                  </pic:spPr>
                </pic:pic>
              </a:graphicData>
            </a:graphic>
          </wp:inline>
        </w:drawing>
      </w:r>
      <w:r>
        <w:rPr>
          <w:rFonts w:ascii="Times New Roman" w:cs="Times New Roman" w:eastAsia="Times New Roman" w:hAnsi="Times New Roman"/>
          <w:sz w:val="17"/>
          <w:szCs w:val="17"/>
          <w:color w:val="auto"/>
        </w:rPr>
        <w:t>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Estimation of Variable Consideration</w:t>
      </w:r>
    </w:p>
    <w:p>
      <w:pPr>
        <w:spacing w:after="0" w:line="79" w:lineRule="exact"/>
        <w:rPr>
          <w:sz w:val="20"/>
          <w:szCs w:val="20"/>
          <w:color w:val="auto"/>
        </w:rPr>
      </w:pPr>
    </w:p>
    <w:p>
      <w:pPr>
        <w:jc w:val="right"/>
        <w:ind w:left="20"/>
        <w:spacing w:after="0"/>
        <w:rPr>
          <w:sz w:val="20"/>
          <w:szCs w:val="20"/>
          <w:color w:val="auto"/>
        </w:rPr>
      </w:pPr>
      <w:r>
        <w:rPr>
          <w:rFonts w:ascii="Times New Roman" w:cs="Times New Roman" w:eastAsia="Times New Roman" w:hAnsi="Times New Roman"/>
          <w:sz w:val="17"/>
          <w:szCs w:val="17"/>
          <w:i w:val="1"/>
          <w:iCs w:val="1"/>
          <w:color w:val="auto"/>
        </w:rPr>
        <w:t xml:space="preserve">Description of the Matter      </w:t>
      </w:r>
      <w:r>
        <w:rPr>
          <w:rFonts w:ascii="Times New Roman" w:cs="Times New Roman" w:eastAsia="Times New Roman" w:hAnsi="Times New Roman"/>
          <w:sz w:val="17"/>
          <w:szCs w:val="17"/>
          <w:color w:val="auto"/>
        </w:rPr>
        <w:t>For the year ended December 31, 2022, the Company reported net sales of $727.7 million. As described in Note 2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financial statements, the Company offers various sales incentives and promotional programs to its customers in the</w:t>
      </w:r>
    </w:p>
    <w:p>
      <w:pPr>
        <w:spacing w:after="0" w:line="1" w:lineRule="exact"/>
        <w:rPr>
          <w:sz w:val="20"/>
          <w:szCs w:val="20"/>
          <w:color w:val="auto"/>
        </w:rPr>
      </w:pPr>
    </w:p>
    <w:p>
      <w:pPr>
        <w:jc w:val="both"/>
        <w:ind w:left="2260"/>
        <w:spacing w:after="0" w:line="230" w:lineRule="auto"/>
        <w:rPr>
          <w:sz w:val="20"/>
          <w:szCs w:val="20"/>
          <w:color w:val="auto"/>
        </w:rPr>
      </w:pPr>
      <w:r>
        <w:rPr>
          <w:rFonts w:ascii="Times New Roman" w:cs="Times New Roman" w:eastAsia="Times New Roman" w:hAnsi="Times New Roman"/>
          <w:sz w:val="17"/>
          <w:szCs w:val="17"/>
          <w:color w:val="auto"/>
        </w:rPr>
        <w:t>normal course of business. These sales incentives and promotions represent variable consideration and are reflected as reductions in net sales in the Company’s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line="276"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Auditing the Company’s measurement of the variable consideration associated with the non-contractual sales incentives and promotions is challenging because the method of calculation involves subjective management assumptions about estimates of the expected discounts. For example, in addition to historical experience, the Company considers specific known events and industry trends to estimate the expected discounts. Changes in these assumptions can have a material effect on the amount of net sales recognized.</w:t>
      </w:r>
    </w:p>
    <w:p>
      <w:pPr>
        <w:spacing w:after="0" w:line="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the Company’s controls over the estimation of variable consideration. Among others, we tested management’s review controls over the determination of significant assumptions used in estimating the variable consideration. We also tested controls over management’s review of the completeness and accuracy of the underlying data used in the analysis.</w:t>
      </w:r>
    </w:p>
    <w:p>
      <w:pPr>
        <w:spacing w:after="0" w:line="7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To test the Company’s measurement of variable consideration related to the non-contractual sales incentives and promotions, our audit procedures included, among others, evaluating the Company’s methodologies, evaluating the significant assumptions described above and testing the completeness and accuracy of the underlying data used in management's analyses. We inspected a selection of communications between the sales and finance departments that were used to support the estimation of the variable consideration. For a sample of transactions, we performed detailed transactional testing of customer deductions to validate the timing and amount of the sales allowances recorded. We performed corroborative inquiries of sales division executives to evaluate the ongoing sales promotions and spending needs at year end. Additionally, we performed retrospective analyses over management’s historical estimates in order to assess the reasonableness of how the Company measures certain variable consideration discounts.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2100" w:space="160"/>
            <w:col w:w="8960"/>
          </w:cols>
          <w:pgMar w:left="320" w:top="123" w:right="3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line="276"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Valuation of Goodwill and Trade Names</w:t>
      </w:r>
    </w:p>
    <w:p>
      <w:pPr>
        <w:spacing w:after="0" w:line="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At December 31, 2022, the Company’s intangible assets include goodwill in the U.S. reporting unit with a carrying value of $33.2 million and two indefinite-lived trade names in the U.S. reportable segment with an aggregated carrying value of $49.6 million. As discussed in Note 7 of the audited consolidated financial statements, the Company tests goodwill and indefinite-lived trade names for impairment at least annually, or more frequently when events or changes in circumstances indicate that the carrying value of these assets may not be recoverable. An impairment loss is recognized when the fair value of goodwill or the indefinite-lived trade names is less than its carrying amount.</w:t>
      </w:r>
    </w:p>
    <w:p>
      <w:pPr>
        <w:spacing w:after="0" w:line="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Auditing management’s annual goodwill and indefinite-lived trade names impairment tests was complex as valuation of the reporting unit and indefinite-lived trade names involves considerable management judgment and estimation. For goodwill, the Company estimated the fair value of the reporting unit using a combination of the discounted cash flow method, a form of the income approach, and the guideline public company method, a form of the market approach. The discounted cash flow method is largely dependent upon estimates made by management with respect to significant assumptions, including projected net sales, projected earnings before interest, tax, depreciation and amortization (“EBITDA”), terminal growth rates, and the cost of capital. For the guideline public company method, the significant assumptions related to the selection of the appropriate guideline companies and related valuation multiples used in the analysis. For indefinite-lived trade names, significant assumptions used in management’s fair value analysis included future net sales for the related brands, royalty rates, and the cost of capital. These assumptions are forward-looking. Changes in market, industry and company-specific conditions could materially impact the determination of the fair value of these assets and the measurement of the impairments.</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valuation of goodwill and indefinite-lived trade names. This included testing management’s review controls relating to the Company’s valuation models and significant assumptions, described above.</w:t>
      </w:r>
    </w:p>
    <w:p>
      <w:pPr>
        <w:spacing w:after="0" w:line="6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7"/>
          <w:szCs w:val="17"/>
          <w:color w:val="auto"/>
        </w:rPr>
        <w:t>As part of our audit, we assessed the methodologies and significant assumptions used for the purposes of performing the impairment tests, among other procedures. We evaluated our historical experience with management’s effort in producing accurate projections of revenue growth and profitability by comparing its historical projections to the Company’s actual performance. We tested the significant assumptions discussed above, as well as the completeness and accuracy of the underlying data used in the valuations. We assessed the appropriateness of the Company’s projections by comparing them to general and sector-specific market expectations. We engaged our valuation specialists to assess the reasonableness of the cost of capital, the valuation models and significant assumptions used in the valuation of the U.S. reporting unit as well as the indefinite-lived trade names. In order to reflect the uncertainty inherent in the projections, we inspected the sensitivity analyses performed by the Company and performed our own sensitivity analyses by increasing or decreasing the significant assumptions and evaluated the potential outcome for the U.S. reporting unit and the indefinite-lived trade names in the U.S. reportable segment. For the guideline public company method, we evaluated the reasonableness of the selected guideline public companies and the resulting market multiples calculation. In addition, we tested the reconciliation of the fair value of the reporting units developed by management to the stock market capitalization of the Company as of the valuation date and evaluated the implied control premium for reasonableness.</w:t>
      </w:r>
    </w:p>
    <w:p>
      <w:pPr>
        <w:spacing w:after="0" w:line="200" w:lineRule="exact"/>
        <w:rPr>
          <w:sz w:val="20"/>
          <w:szCs w:val="20"/>
          <w:color w:val="auto"/>
        </w:rPr>
      </w:pPr>
    </w:p>
    <w:p>
      <w:pPr>
        <w:sectPr>
          <w:pgSz w:w="11900" w:h="16838" w:orient="portrait"/>
          <w:cols w:equalWidth="0" w:num="2">
            <w:col w:w="2100" w:space="160"/>
            <w:col w:w="8960"/>
          </w:cols>
          <w:pgMar w:left="320" w:top="123" w:right="359" w:bottom="144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1984.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Jericho, New York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9, 2023</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27,982</w:t>
            </w: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 less allowances of $14,606 at December 31, 2022 and $16,544 at December 31, 2021</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175,076</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222,209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270,516</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11,499</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400,256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485,073</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20,748</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86,487</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22,295</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212,678</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1,793</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725,888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829,074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Current maturity of term loan</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82,573</w:t>
            </w: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112,741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taxes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14,028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12,612</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214,301</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12,116</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PAYABLE, LONG-TERM</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90,824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12,842</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241,873</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64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7"/>
                <w:szCs w:val="17"/>
                <w:color w:val="auto"/>
              </w:rPr>
              <w:t>Preferred stock, $1.00 par value, shares authorized: 100 shares of Series A and 2,000,000 shares of Series B; none</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issued and outstanding</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 $0.01 par value, shares authorized: 50,000,000 at December 31, 2022 and 2021; shares issued and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outstanding: 21,779,799 at December 31, 2022 and 22,018,016 at December 31, 2021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Paid-in capital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271,556</w:t>
            </w:r>
          </w:p>
        </w:tc>
        <w:tc>
          <w:tcPr>
            <w:tcW w:w="0" w:type="dxa"/>
            <w:vAlign w:val="bottom"/>
          </w:tcPr>
          <w:p>
            <w:pPr>
              <w:spacing w:after="0"/>
              <w:rPr>
                <w:sz w:val="1"/>
                <w:szCs w:val="1"/>
                <w:color w:val="auto"/>
              </w:rPr>
            </w:pPr>
          </w:p>
        </w:tc>
      </w:tr>
      <w:tr>
        <w:trPr>
          <w:trHeight w:val="219"/>
        </w:trPr>
        <w:tc>
          <w:tcPr>
            <w:tcW w:w="8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17,419</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(33,549)</w:t>
            </w:r>
          </w:p>
        </w:tc>
        <w:tc>
          <w:tcPr>
            <w:tcW w:w="0" w:type="dxa"/>
            <w:vAlign w:val="bottom"/>
          </w:tcPr>
          <w:p>
            <w:pPr>
              <w:spacing w:after="0"/>
              <w:rPr>
                <w:sz w:val="1"/>
                <w:szCs w:val="1"/>
                <w:color w:val="auto"/>
              </w:rPr>
            </w:pPr>
          </w:p>
        </w:tc>
      </w:tr>
      <w:tr>
        <w:trPr>
          <w:trHeight w:val="212"/>
        </w:trPr>
        <w:tc>
          <w:tcPr>
            <w:tcW w:w="86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240,088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255,646</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725,888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829,074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 except per share data)</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6"/>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727,662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862,924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769,169</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467,346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559,605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495,171</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260,316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273,998</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expenses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72,845</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155,872</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and other intangible asset impairments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20,100</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Wallace facility remediation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expenses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0" w:type="dxa"/>
            <w:vAlign w:val="bottom"/>
          </w:tcPr>
          <w:p>
            <w:pPr>
              <w:spacing w:after="0"/>
              <w:rPr>
                <w:sz w:val="1"/>
                <w:szCs w:val="1"/>
                <w:color w:val="auto"/>
              </w:rPr>
            </w:pPr>
          </w:p>
        </w:tc>
      </w:tr>
      <w:tr>
        <w:trPr>
          <w:trHeight w:val="21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50,842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24,970</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(17,277)</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to market gain (loss) on interest rate derivatives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w:t>
            </w:r>
          </w:p>
        </w:tc>
        <w:tc>
          <w:tcPr>
            <w:tcW w:w="0" w:type="dxa"/>
            <w:vAlign w:val="bottom"/>
          </w:tcPr>
          <w:p>
            <w:pPr>
              <w:spacing w:after="0"/>
              <w:rPr>
                <w:sz w:val="1"/>
                <w:szCs w:val="1"/>
                <w:color w:val="auto"/>
              </w:rPr>
            </w:pP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 and equity in (losses) earnings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5,549</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(9,866)</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Equity in (losses) earnings, net of taxes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1,310</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(3,007)</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BASIC (LOSS) INCOME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26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(0.29)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0.97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(0.14)</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(LOSS) INCOME PER COMMON SHARE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7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(3,007)</w:t>
            </w: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Translation adjustment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w:t>
            </w:r>
          </w:p>
        </w:tc>
      </w:tr>
      <w:tr>
        <w:trPr>
          <w:trHeight w:val="219"/>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change in cash flow hedges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(2,289)</w:t>
            </w:r>
          </w:p>
        </w:tc>
      </w:tr>
      <w:tr>
        <w:trPr>
          <w:trHeight w:val="219"/>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Effect of retirement benefit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r>
      <w:tr>
        <w:trPr>
          <w:trHeight w:val="212"/>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(4,717)</w:t>
            </w: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26,424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(in thousands)</w:t>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4440" w:type="dxa"/>
            <w:vAlign w:val="bottom"/>
          </w:tcPr>
          <w:p>
            <w:pPr>
              <w:spacing w:after="0"/>
              <w:rPr>
                <w:sz w:val="15"/>
                <w:szCs w:val="15"/>
                <w:color w:val="auto"/>
              </w:rPr>
            </w:pPr>
          </w:p>
        </w:tc>
        <w:tc>
          <w:tcPr>
            <w:tcW w:w="18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9"/>
        </w:trPr>
        <w:tc>
          <w:tcPr>
            <w:tcW w:w="4440" w:type="dxa"/>
            <w:vAlign w:val="bottom"/>
          </w:tcPr>
          <w:p>
            <w:pPr>
              <w:spacing w:after="0"/>
              <w:rPr>
                <w:sz w:val="24"/>
                <w:szCs w:val="24"/>
                <w:color w:val="auto"/>
              </w:rPr>
            </w:pP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4"/>
                <w:szCs w:val="24"/>
                <w:color w:val="auto"/>
              </w:rPr>
            </w:pPr>
          </w:p>
        </w:tc>
        <w:tc>
          <w:tcPr>
            <w:tcW w:w="7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263,386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(34,455)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236,317</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(4,717)</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Performance shares issued to employees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Net issuance of restricted shares granted to employees and</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5,916</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exercise of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168"/>
        </w:trPr>
        <w:tc>
          <w:tcPr>
            <w:tcW w:w="444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Shares effectively repurchased for required employee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withholding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7"/>
                <w:szCs w:val="17"/>
                <w:color w:val="auto"/>
              </w:rPr>
              <w:t xml:space="preserve">Dividends </w:t>
            </w:r>
            <w:r>
              <w:rPr>
                <w:rFonts w:ascii="Times New Roman" w:cs="Times New Roman" w:eastAsia="Times New Roman" w:hAnsi="Times New Roman"/>
                <w:sz w:val="22"/>
                <w:szCs w:val="22"/>
                <w:color w:val="auto"/>
                <w:vertAlign w:val="superscript"/>
              </w:rPr>
              <w:t>(1)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0" w:type="dxa"/>
            <w:vAlign w:val="bottom"/>
          </w:tcPr>
          <w:p>
            <w:pPr>
              <w:spacing w:after="0"/>
              <w:rPr>
                <w:sz w:val="1"/>
                <w:szCs w:val="1"/>
                <w:color w:val="auto"/>
              </w:rPr>
            </w:pPr>
          </w:p>
        </w:tc>
      </w:tr>
      <w:tr>
        <w:trPr>
          <w:trHeight w:val="186"/>
        </w:trPr>
        <w:tc>
          <w:tcPr>
            <w:tcW w:w="4440" w:type="dxa"/>
            <w:vAlign w:val="bottom"/>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BALANCE AT DECEMBER 31, 2020</w:t>
            </w:r>
          </w:p>
        </w:tc>
        <w:tc>
          <w:tcPr>
            <w:tcW w:w="8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21,755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268,666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424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(39,172)</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230,136</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20,801</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5,623</w:t>
            </w:r>
          </w:p>
        </w:tc>
        <w:tc>
          <w:tcPr>
            <w:tcW w:w="0" w:type="dxa"/>
            <w:vAlign w:val="bottom"/>
          </w:tcPr>
          <w:p>
            <w:pPr>
              <w:spacing w:after="0"/>
              <w:rPr>
                <w:sz w:val="1"/>
                <w:szCs w:val="1"/>
                <w:color w:val="auto"/>
              </w:rPr>
            </w:pPr>
          </w:p>
        </w:tc>
      </w:tr>
      <w:tr>
        <w:trPr>
          <w:trHeight w:val="24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Performance shares issued to employees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44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Net issuance of restricted shares granted to employees and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directors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5,204</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Net 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0" w:type="dxa"/>
            <w:vAlign w:val="bottom"/>
          </w:tcPr>
          <w:p>
            <w:pPr>
              <w:spacing w:after="0"/>
              <w:rPr>
                <w:sz w:val="1"/>
                <w:szCs w:val="1"/>
                <w:color w:val="auto"/>
              </w:rPr>
            </w:pPr>
          </w:p>
        </w:tc>
      </w:tr>
      <w:tr>
        <w:trPr>
          <w:trHeight w:val="168"/>
        </w:trPr>
        <w:tc>
          <w:tcPr>
            <w:tcW w:w="4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Shares effectively repurchased for required employee</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withholding taxes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w:t>
            </w:r>
          </w:p>
        </w:tc>
        <w:tc>
          <w:tcPr>
            <w:tcW w:w="0" w:type="dxa"/>
            <w:vAlign w:val="bottom"/>
          </w:tcPr>
          <w:p>
            <w:pPr>
              <w:spacing w:after="0"/>
              <w:rPr>
                <w:sz w:val="1"/>
                <w:szCs w:val="1"/>
                <w:color w:val="auto"/>
              </w:rPr>
            </w:pPr>
          </w:p>
        </w:tc>
      </w:tr>
      <w:tr>
        <w:trPr>
          <w:trHeight w:val="219"/>
        </w:trPr>
        <w:tc>
          <w:tcPr>
            <w:tcW w:w="4440" w:type="dxa"/>
            <w:vAlign w:val="bottom"/>
          </w:tcPr>
          <w:p>
            <w:pPr>
              <w:spacing w:after="0" w:line="219" w:lineRule="exact"/>
              <w:rPr>
                <w:sz w:val="20"/>
                <w:szCs w:val="20"/>
                <w:color w:val="auto"/>
              </w:rPr>
            </w:pPr>
            <w:r>
              <w:rPr>
                <w:rFonts w:ascii="Times New Roman" w:cs="Times New Roman" w:eastAsia="Times New Roman" w:hAnsi="Times New Roman"/>
                <w:sz w:val="17"/>
                <w:szCs w:val="17"/>
                <w:color w:val="auto"/>
              </w:rPr>
              <w:t xml:space="preserve">Dividends </w:t>
            </w:r>
            <w:r>
              <w:rPr>
                <w:rFonts w:ascii="Times New Roman" w:cs="Times New Roman" w:eastAsia="Times New Roman" w:hAnsi="Times New Roman"/>
                <w:sz w:val="22"/>
                <w:szCs w:val="22"/>
                <w:color w:val="auto"/>
                <w:vertAlign w:val="superscript"/>
              </w:rPr>
              <w:t>(1)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(3,806)</w:t>
            </w:r>
          </w:p>
        </w:tc>
        <w:tc>
          <w:tcPr>
            <w:tcW w:w="0" w:type="dxa"/>
            <w:vAlign w:val="bottom"/>
          </w:tcPr>
          <w:p>
            <w:pPr>
              <w:spacing w:after="0"/>
              <w:rPr>
                <w:sz w:val="1"/>
                <w:szCs w:val="1"/>
                <w:color w:val="auto"/>
              </w:rPr>
            </w:pPr>
          </w:p>
        </w:tc>
      </w:tr>
      <w:tr>
        <w:trPr>
          <w:trHeight w:val="211"/>
        </w:trPr>
        <w:tc>
          <w:tcPr>
            <w:tcW w:w="4440" w:type="dxa"/>
            <w:vAlign w:val="bottom"/>
            <w:tcBorders>
              <w:top w:val="single" w:sz="8" w:color="CCEEFF"/>
              <w:bottom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BALANCE AT DECEMBER 31, 2021</w:t>
            </w:r>
          </w:p>
        </w:tc>
        <w:tc>
          <w:tcPr>
            <w:tcW w:w="8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22,018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271,556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17,419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(33,549)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255,646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40" w:type="dxa"/>
            <w:vAlign w:val="bottom"/>
            <w:tcBorders>
              <w:top w:val="single" w:sz="8" w:color="CCEEFF"/>
            </w:tcBorders>
            <w:vMerge w:val="continue"/>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(6,166)</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(6,166)</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Performance shares issued to employees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Net issuance of restricted shares granted to employees and</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exercise of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168"/>
        </w:trPr>
        <w:tc>
          <w:tcPr>
            <w:tcW w:w="444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Shares effectively repurchased for required employee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withholding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repurchase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w:t>
            </w:r>
          </w:p>
        </w:tc>
        <w:tc>
          <w:tcPr>
            <w:tcW w:w="0" w:type="dxa"/>
            <w:vAlign w:val="bottom"/>
          </w:tcPr>
          <w:p>
            <w:pPr>
              <w:spacing w:after="0"/>
              <w:rPr>
                <w:sz w:val="1"/>
                <w:szCs w:val="1"/>
                <w:color w:val="auto"/>
              </w:rPr>
            </w:pPr>
          </w:p>
        </w:tc>
      </w:tr>
      <w:tr>
        <w:trPr>
          <w:trHeight w:val="219"/>
        </w:trPr>
        <w:tc>
          <w:tcPr>
            <w:tcW w:w="4440" w:type="dxa"/>
            <w:vAlign w:val="bottom"/>
          </w:tcPr>
          <w:p>
            <w:pPr>
              <w:spacing w:after="0" w:line="219" w:lineRule="exact"/>
              <w:rPr>
                <w:sz w:val="20"/>
                <w:szCs w:val="20"/>
                <w:color w:val="auto"/>
              </w:rPr>
            </w:pPr>
            <w:r>
              <w:rPr>
                <w:rFonts w:ascii="Times New Roman" w:cs="Times New Roman" w:eastAsia="Times New Roman" w:hAnsi="Times New Roman"/>
                <w:sz w:val="17"/>
                <w:szCs w:val="17"/>
                <w:color w:val="auto"/>
              </w:rPr>
              <w:t xml:space="preserve">Dividends </w:t>
            </w:r>
            <w:r>
              <w:rPr>
                <w:rFonts w:ascii="Times New Roman" w:cs="Times New Roman" w:eastAsia="Times New Roman" w:hAnsi="Times New Roman"/>
                <w:sz w:val="22"/>
                <w:szCs w:val="22"/>
                <w:color w:val="auto"/>
                <w:vertAlign w:val="superscript"/>
              </w:rPr>
              <w:t>(1)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(3,794)</w:t>
            </w:r>
          </w:p>
        </w:tc>
        <w:tc>
          <w:tcPr>
            <w:tcW w:w="0" w:type="dxa"/>
            <w:vAlign w:val="bottom"/>
          </w:tcPr>
          <w:p>
            <w:pPr>
              <w:spacing w:after="0"/>
              <w:rPr>
                <w:sz w:val="1"/>
                <w:szCs w:val="1"/>
                <w:color w:val="auto"/>
              </w:rPr>
            </w:pPr>
          </w:p>
        </w:tc>
      </w:tr>
      <w:tr>
        <w:trPr>
          <w:trHeight w:val="237"/>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240,088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460" w:hanging="457"/>
        <w:spacing w:after="0"/>
        <w:tabs>
          <w:tab w:leader="none" w:pos="46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Cash dividend declared per share of common stock, were $0.17, $0.17 and $0.17 in 2020, 2021 and 2022, respectively.</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jc w:val="center"/>
        <w:ind w:right="-9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58420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r>
      <w:tr>
        <w:trPr>
          <w:trHeight w:val="201"/>
        </w:trPr>
        <w:tc>
          <w:tcPr>
            <w:tcW w:w="7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18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Net (loss) income</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(6,166)</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20,801</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(3,007)</w:t>
            </w:r>
          </w:p>
        </w:tc>
      </w:tr>
      <w:tr>
        <w:trPr>
          <w:trHeight w:val="20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Adjustments to reconcile net (loss) income to net cash provided by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24,664</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Goodwill and other intangible asset impairments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20,100</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Amortization of financing costs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1,774</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Mark to market (gain) loss on interest rate derivatives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2,144</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Non-cash lease expense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2,379</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Provision (recovery) for doubtful accounts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3,291</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(1,861)</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Stock compensation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5,951</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Undistributed losses (earnings) from equity investment, net of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(1,258)</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Wallace facility remediation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(43,760)</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Inventory</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(28,979)</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Prepaid expenses, other current assets and other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1,088</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55,721</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Income taxes receivable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1,577</w:t>
            </w:r>
          </w:p>
        </w:tc>
      </w:tr>
      <w:tr>
        <w:trPr>
          <w:trHeight w:val="203"/>
        </w:trPr>
        <w:tc>
          <w:tcPr>
            <w:tcW w:w="72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Income taxes payable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(4,270)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4,989</w:t>
            </w:r>
          </w:p>
        </w:tc>
      </w:tr>
      <w:tr>
        <w:trPr>
          <w:trHeight w:val="202"/>
        </w:trPr>
        <w:tc>
          <w:tcPr>
            <w:tcW w:w="7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24,319</w:t>
            </w: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36,988</w:t>
            </w: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44,813</w:t>
            </w:r>
          </w:p>
        </w:tc>
      </w:tr>
      <w:tr>
        <w:trPr>
          <w:trHeight w:val="185"/>
        </w:trPr>
        <w:tc>
          <w:tcPr>
            <w:tcW w:w="7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7"/>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(2,082)</w:t>
            </w:r>
          </w:p>
        </w:tc>
      </w:tr>
      <w:tr>
        <w:trPr>
          <w:trHeight w:val="245"/>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Proceeds from sale of shares of equity method investment</w:t>
            </w: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9"/>
                <w:szCs w:val="19"/>
                <w:color w:val="auto"/>
              </w:rPr>
              <w:t>—</w:t>
            </w:r>
          </w:p>
        </w:tc>
      </w:tr>
      <w:tr>
        <w:trPr>
          <w:trHeight w:val="207"/>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Acquisitions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(17,956)</w:t>
            </w: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726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(20,931)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(1,103)</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(2,082)</w:t>
            </w:r>
          </w:p>
        </w:tc>
      </w:tr>
      <w:tr>
        <w:trPr>
          <w:trHeight w:val="18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Proceeds from revolving credit facility</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276,288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103,385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129,244</w:t>
            </w:r>
          </w:p>
        </w:tc>
      </w:tr>
      <w:tr>
        <w:trPr>
          <w:trHeight w:val="20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Repayments of revolving credit facility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(265,662)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(130,662)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(135,463)</w:t>
            </w: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Repayments of Term Loan</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(7,583)</w:t>
            </w:r>
          </w:p>
        </w:tc>
      </w:tr>
      <w:tr>
        <w:trPr>
          <w:trHeight w:val="20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Payment of financing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Payments for finance lease obligations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w:t>
            </w:r>
          </w:p>
        </w:tc>
      </w:tr>
      <w:tr>
        <w:trPr>
          <w:trHeight w:val="20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Payments of tax withholding for stock based compensation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w:t>
            </w: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Proceeds from the exercise of stock options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27</w:t>
            </w:r>
          </w:p>
        </w:tc>
      </w:tr>
      <w:tr>
        <w:trPr>
          <w:trHeight w:val="20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Payments for stock repurchase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Cash dividends paid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(3,651)</w:t>
            </w:r>
          </w:p>
        </w:tc>
      </w:tr>
      <w:tr>
        <w:trPr>
          <w:trHeight w:val="202"/>
        </w:trPr>
        <w:tc>
          <w:tcPr>
            <w:tcW w:w="7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(44,027)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(18,236)</w:t>
            </w:r>
          </w:p>
        </w:tc>
      </w:tr>
      <w:tr>
        <w:trPr>
          <w:trHeight w:val="19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foreign exchange on cash</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98</w:t>
            </w:r>
          </w:p>
        </w:tc>
      </w:tr>
      <w:tr>
        <w:trPr>
          <w:trHeight w:val="20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(DECREASE) INCREASE IN CASH AND CASH EQUIVALENTS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24,593</w:t>
            </w:r>
          </w:p>
        </w:tc>
      </w:tr>
      <w:tr>
        <w:trPr>
          <w:trHeight w:val="203"/>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beginning of year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27,982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35,963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11,370</w:t>
            </w:r>
          </w:p>
        </w:tc>
      </w:tr>
      <w:tr>
        <w:trPr>
          <w:trHeight w:val="224"/>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AT END OF YEAR</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27,982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35,963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See Notes to consolidated</w:t>
      </w: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auto"/>
        </w:rPr>
        <w:t>-9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 and business</w:t>
      </w:r>
    </w:p>
    <w:p>
      <w:pPr>
        <w:spacing w:after="0" w:line="11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8"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generally accepted accounting principles (“U.S. GAAP”) for financial information and with the instructions to Form 10-K.</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estimates and assumptions relating to the reporting of assets and liabilities and the disclosure of contingent assets and liabilities to prepare these financial statements in conformity with U.S. GAAP. The most significant of these estimates and assumptions relate to revenue recognition, allowances for doubtful accounts, reserves for sales returns and allowances and customer chargebacks, inventory mark-down provisions, impairment of goodwill, tangible and intangible assets, stock-based compensation expense, estimates for unpaid healthcare claims, derivative valuations, accruals related to the Company’s tax positions and tax valuation allowances. Although these and other estimates and assumptions are based on the best available information, actual results could be materially different from these estimates.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11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the Company and its subsidiaries. All intercompany accounts and transactions have been eliminated in consolidation.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and uncertainties</w:t>
      </w:r>
    </w:p>
    <w:p>
      <w:pPr>
        <w:spacing w:after="0" w:line="118"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The Company’s current estimates contemplate current and expected future conditions, as applicable, it is reasonably possible that actual conditions could differ from expectations, which could materially affect the Company’s results of operations and financial position.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w:t>
      </w:r>
    </w:p>
    <w:p>
      <w:pPr>
        <w:spacing w:after="0" w:line="118"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Foreign currency denominated assets and liabilities are translated into U.S. dollars at exchange rates prevailing at the balance sheet dates. Revenues, costs and expenses are translated into U.S. dollars at average exchange rates for the relevant period. Income and losses resulting from translation are recorded as a component of accumulated other comprehensive income (loss).</w:t>
      </w:r>
    </w:p>
    <w:p>
      <w:pPr>
        <w:spacing w:after="0" w:line="16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The Company may enter into foreign exchange derivative contracts to hedge the volatility of exchange rates related to a portion of its international inventory purchases. Realized gains and losses from designated foreign currency derivative contracts are recognized in cost of sales as the hedged inventory purchases are sold. Unrealized gains and losses from foreign currency transactions on the fair value of foreign exchange contracts designated as hedges are recorded as a component of accumulated other comprehensive income (loss).</w:t>
      </w:r>
    </w:p>
    <w:p>
      <w:pPr>
        <w:spacing w:after="0" w:line="171"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Realized and unrealized gains and losses from non-designated foreign currency hedges are recognized in selling, general and administrative expenses in the consolidated statements of operations.</w:t>
      </w:r>
    </w:p>
    <w:p>
      <w:pPr>
        <w:spacing w:after="0" w:line="15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Foreign currency gains and losses included within selling, general and administrative expenses were a $1.5 million loss in 2022, a $1.3 million loss in 2021, and a $0.5 million gain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1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165" w:lineRule="exact"/>
        <w:rPr>
          <w:sz w:val="20"/>
          <w:szCs w:val="20"/>
          <w:color w:val="auto"/>
        </w:rPr>
      </w:pPr>
    </w:p>
    <w:p>
      <w:pPr>
        <w:jc w:val="both"/>
        <w:ind w:right="520"/>
        <w:spacing w:after="0" w:line="270" w:lineRule="auto"/>
        <w:rPr>
          <w:sz w:val="20"/>
          <w:szCs w:val="20"/>
          <w:color w:val="auto"/>
        </w:rPr>
      </w:pPr>
      <w:r>
        <w:rPr>
          <w:rFonts w:ascii="Times New Roman" w:cs="Times New Roman" w:eastAsia="Times New Roman" w:hAnsi="Times New Roman"/>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 REVENUE for additional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Cost of sales consist primarily of costs associated with the production and procurement of product, inbound freight costs, purchasing costs, royalties and other product procurement related charges.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 expenses</w:t>
      </w:r>
    </w:p>
    <w:p>
      <w:pPr>
        <w:spacing w:after="0" w:line="118"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Distribution expenses consist primarily of warehousing expenses and freight-out expenses. Freight-out expenses were $17.4 million, $19.2 million and $15.4 million for the years ended December 31, 2022, 2021 and 2020, respectively. Handling costs of products sold are included in cost of sales.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 expenses</w:t>
      </w:r>
    </w:p>
    <w:p>
      <w:pPr>
        <w:spacing w:after="0" w:line="118"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Advertising expenses are expensed as incurred and are included in selling, general and administrative expenses. Advertising expenses were $6.8 million, $4.4 million and $3.4 million for the years ended December 31, 2022, 2021 and 2020,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11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 of the COVID-19 pandemic. A considerable amount of judgment is required to assess the ultimate realization of these receivables including assessing the initial and on-going creditworthiness of the Company’s customers.</w:t>
      </w:r>
    </w:p>
    <w:p>
      <w:pPr>
        <w:spacing w:after="0" w:line="17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65"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The sales of accounts receivable, under the Company’s Receivable Purchase Agreement with HSBC, are reflected as a reduction of accounts receivable in the Company’s consolidated balance sheet at the time of sale and any related expense is included in selling, general and administrative expenses in the Company’s consolidated statements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1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Property and equipment is stated at cost. Equipment under finance leases is recorded at the present value of the total minimum lease payments. Property and equipment, other than leasehold improvements and equipment under finance leases, are depreciated using the straight-line method over the estimated useful lives of the assets. Buildings are depreciated over 30 years, machinery and equipment and computer hardware and software are depreciated over periods ranging from 3 years to 10 years. Leasehold improvements are amortized over the term of the lease or the estimated useful lives of the improvements, whichever is shorter. Equipment under finance</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31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leases are amortized over the shorter of the lease term or the assets' useful lives. Advances paid towards the acquisition of property and equipment and the cost of property and equipment not ready for use before the end of the period are classified as construction in progress.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considers all highly liquid instruments with a maturity of three months or less when purchased to be cash equivalents.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1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Company’s cash and cash equivalents are potentially subject to concentration of credit risk. The Company maintains cash with several financial institutions that, in some cases, is in excess of Federal Deposit Insurance Corporation insurance limits.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Concentrations of credit risk with respect to trade accounts receivable are limited due to the large number of entities comprising the Company’s customer base.</w:t>
      </w:r>
    </w:p>
    <w:p>
      <w:pPr>
        <w:spacing w:after="0" w:line="2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During the years ended December 31, 2022, 2021 and 2020, Wal-Mart Stores, Inc., including Sam’s Club and, in the U.K., Asda Superstore, (“Walmart”), accounted for 19%, 18% and 20% of consolidated net sales, respectively. During the years ended December 31, 2022, 2021 and 2020, sales to Costco Wholesale Corporation (“Costco”) accounted for 13%, 12%, and 11% of consolidated net sales. During the year ended December 31, 2022, 2021 and 2020, Amazon.com Inc., (“Amazon”), accounted for 11%, 12% and 10% of consolidated net sales. Sales to Walmart, Costco and Amazon are included in the Company's U.S. and International segments. No other customers accounted for 10% or more of the Company’s sales during these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Financial Accounting Standards Board (“FASB”) Accounting Standards Codification (“ASC”) Topic 820, Fair Value Measurements and Disclosures, provides enhanced guidance for using fair value to measure assets and liabilities and establishes a common definition of fair value, provides a framework for measuring fair value under U.S. GAAP and expands disclosure requirements about fair value measurements. Fair value measurements included in the Company’s consolidated financial statements relate to the Company’s annual goodwill and other intangible asset impairment tests and derivatives, described in NOTE 7 — GOODWILL AND INTANGIBLE ASSETS and NOTE 9 — DERIVATIVES,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11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approximate fair value since such borrowings bear interest at variable market rates.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Derivatives</w:t>
      </w:r>
    </w:p>
    <w:p>
      <w:pPr>
        <w:spacing w:after="0" w:line="11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 accounts for derivative instruments in accordance with ASC Topic 815, Derivatives and Hedging. ASC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is included in accumulated other comprehensive loss and is subsequently recognized in the Company’s consolidated statements of operations to mirror the location of the hedged items impacting earnings. Changes in fair value of derivatives that do not qualify as hedging instruments for accounting purposes are recorded in the consolidated statements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intangible assets and long-lived assets</w:t>
      </w:r>
    </w:p>
    <w:p>
      <w:pPr>
        <w:spacing w:after="0" w:line="118"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1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not considered to be</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See NOTE 7 — GOODWILL AND INTANGIBLE ASSETS for further discussion regarding goodwill impairment.</w:t>
      </w:r>
    </w:p>
    <w:p>
      <w:pPr>
        <w:spacing w:after="0" w:line="16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 also evaluates qualitative factors to determine whether impairment indicators exist for its indefinite lived intangibles and performs quantitative tests if required. These tests can include the relief from royalty model or other valuation models. See NOTE 7 — GOODWILL AND INTANGIBLE ASSETS for further discussion regarding impairment of indefinite lived intangibles.</w:t>
      </w:r>
    </w:p>
    <w:p>
      <w:pPr>
        <w:spacing w:after="0" w:line="1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See NOTE 7 — GOODWILL AND INTANGIBLE ASSETS for further discussion regarding impairment of long-lived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Company accounts for income taxes using the asset and liability method.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 The Company accounts for foreign income taxes based upon anticipated reinvestment of profits into respective foreign tax jurisdictions.</w:t>
      </w:r>
    </w:p>
    <w:p>
      <w:pPr>
        <w:spacing w:after="0" w:line="17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applies the authoritative guidance for the financial statement recognition, measurement and disclosure of uncertain tax positions recognized in the Company’s financial statements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accordance with this guidance, tax positions must meet a more-likely-than-not recognition threshold and measurement attribute for the financial statement recognition and measurement of a tax position. A valuation allowance is required to be established or maintained when it is “more likely than not” that all or a portion of deferred tax assets will not be realized.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11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 accounts for its share-based compensation arrangements in accordance with ASC Topic 718, Compensation: Stock-based Compensation, which requires the measurement of compensation expense for all share-based compensation granted to employees and non-employee directors at fair value on the date of grant and recognition of compensation expense over the related service period. Forfeitures are accounted for as they occur.</w:t>
      </w:r>
    </w:p>
    <w:p>
      <w:pPr>
        <w:spacing w:after="0" w:line="16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 uses the Black-Scholes option valuation model to estimate the fair value of its stock options. The Black-Scholes option valuation model requires the input of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1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as determined by the Compensation Committee of the Board of Directors, by the end of the performance period. Compensation expense for performance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performance share awards vest at the end of a three year period, as determined by the Compensation Committee.</w:t>
      </w:r>
    </w:p>
    <w:p>
      <w:pPr>
        <w:spacing w:after="0" w:line="17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 bases the estimated fair value of restricted stock awards on the date of grant. The estimated fair value is determined based on the closing price of the Company’s common stock on the date of grant multiplied by the number of shares awarded. Compensation expense is recognized on a straight-line basis over the vesting period.</w:t>
      </w:r>
    </w:p>
    <w:p>
      <w:pPr>
        <w:spacing w:after="0" w:line="16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Cash-settled performance-based award represents the right to receive up to 150% of the target number of deferred stock units with payment in cash equivalent to the value of one share of the Company's common stock. The number of deferred stock units earned will</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be determined based on the attainment of specified performance goals at the end of the performance period, as determined by the Compensation Committee of the Board of Directors. The cash-settled performance-based awards are subject to the terms and conditions of the Company’s Plan. Compensation expense for cash-settled performance-based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cash</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settled performance-based awards are liability-classified awards and are recorded within accrued expenses and other long-term liabilities in the Company's consolidated balance sheet. These awards are remeasured to fair value at the end of each reporting period until settlement. The cash-settled performance-based awards vest at the end of a three year period, as determined by the Compensation Committee.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1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 determines if an arrangement is a lease at the inception of a contract. Operating lease right-of-use (“ROU”) assets are included in operating lease right-of-use assets on the consolidated balance sheets. The current and long-term components of operating lease liabilities are included in the current portion of operating lease liability and operating lease liabilities, respectively, on the consolidated balance sheets. Finance leases are included in property and equipment, net, accrued expenses and other long-term liabilities. The Company's finance leases are not material to the Company’s consolidated balance sheets.</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7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For certain equipment leases, the Company applies a portfolio approach to effectively account for any ROU assets and lease liabilities. Leases with an initial term of 12 months or less are not recorded on the balance sheet.</w:t>
      </w:r>
    </w:p>
    <w:p>
      <w:pPr>
        <w:spacing w:after="0" w:line="15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healthcare</w:t>
      </w:r>
    </w:p>
    <w:p>
      <w:pPr>
        <w:spacing w:after="0" w:line="1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Restructuring expenses</w:t>
      </w:r>
    </w:p>
    <w:p>
      <w:pPr>
        <w:spacing w:after="0" w:line="11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Costs associated with restructuring activities are recorded at fair value when a liability has been incurred. A liability has been incurred at the communication date for severance. Charges associated with lease terminations, related to restructuring activities, are recognized at the effective date of the lease modification.</w:t>
      </w:r>
    </w:p>
    <w:p>
      <w:pPr>
        <w:spacing w:after="0" w:line="1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2022, the Company's international segment incurred $0.4 million of restructuring expenses related to severance associated with the reorganization of the International segment's workforce. The reorganization was the result of the Company’s efforts to realign the management and operating structure of the European business in response to changing market conditions. The Company expects annual savings of $2.3 million associated with the reorganization.</w:t>
      </w:r>
    </w:p>
    <w:p>
      <w:pPr>
        <w:spacing w:after="0" w:line="1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In 2022, the Company’s U.S. segment accrued $0.4 million related to severance associated with the reorganization of the U.S. segment’s sales management structure. The Company accrued $0.6 million of unallocated expense related to the termination payment with its Executive Chairman, Jeffrey Siegel. On November 1, 2022, the Company entered into a transition agreement with Jeffrey Siegel, which provides for termination of his employment with the Company, effective March 31, 2023. The transition agreement amends Mr. Siegel’s employment agreement which was to expire on December 31, 2022. The employment agreement provides for a one-time payment which will be paid upon the expiration of the transition agreement. The Company estimates the one-time payment to be approximately $1.4 million, of which $0.6 million was accrued as a restructuring expense in 2022. The remaining $0.8 million is expected to be recorded over the remaining employment period. The Company expects annual savings of $1.3 million due to these actions.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2020, the Company's International segment incurred $0.2 million of restructuring expenses related to severance associated with the strategic reorganization of the International segment’s product development and sales workforce. The strategic reorganization was the result of the Company's efforts for product development efficiencies and an international sales approach tailored to countries.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1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The Company is subject to various claims and contingencies related to lawsuits, certain taxes and environmental matters, as well as commitments under contractual and other commercial obligations. The Company recognizes liabilities for contingencies and commitments when a loss is probable and estimable.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Adopted accounting pronouncements</w:t>
      </w:r>
    </w:p>
    <w:p>
      <w:pPr>
        <w:spacing w:after="0" w:line="11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Effective January 1, 2022, the Company adopted ASU No.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Accounting Standards Codification (ASC) Topic 606, Revenue from Contracts with Customers. The adoption did not have a material impact on the Company’s consolidated financial statements.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connection with the Amendment No.1 of the Term Loan, effective December 29, 2022, the Company adopted ASU 2020-04 and 2022-06, Reference Rate Reform (Topic 848): Facilitation of the Effects of Reference Rate Reform on Financial Reporting, which provides optional expedients and exceptions to account for contract modifications, hedging relationships and other transactions that reference the London Inter-Bank Offered Rate ("LIBOR") or another reference rate that is expected to be discontinued as a result of reference rate reform. The guidance may be applied to contract modifications and hedging relationships as of any date from March 12, 2020 but no later than December 31, 2024 and should be applied on a prospective basis. The Company applied available practical expedients under Topic 848 to account for modifications, changes in critical terms, and updates to the designated hedged risks as qualifying changes have been made to applicable debt modifications as if they were not substantial. Application of these practical expedients allowed us to maintain hedge accounting for our interest rate swap contracts. The adoption did not have a material impact on the Company's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11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Updates not listed below were assessed and either determined to not be applicable or are expected to have a minimal effect on the Company’s financial position, results of operations, and disclosures.</w:t>
      </w:r>
    </w:p>
    <w:p>
      <w:pPr>
        <w:spacing w:after="0" w:line="15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7"/>
          <w:szCs w:val="17"/>
          <w:color w:val="auto"/>
        </w:rPr>
        <w:t>In June 2016, the FASB issued ASU 2016-13, Measurement of Credit Losses on Financial Instruments. This guidance introduces a new model for recognizing credit losses on financial instruments based on an estimate of current expected credit losses. ASU 2016-13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The Company met the definition of a Smaller Reporting Company as of the one-time determination date of November 15, 2019. Early adoption is permitted. Management expects the adoption of ASU 2016-13 will not have a material impact on the Company's consolidated financial statements.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REVENUE</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$4.6 million, $3.9 million and $3.9 million for the years ended December 31, 2022, 2021 and 2020, respectively. Net sales exclude taxes that are collected from customers and remitted to the taxing authorities.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terms vary by customer, but generally range from 30 to 90 days or at the point of sale for the Company’s retail direct sales.</w:t>
      </w:r>
    </w:p>
    <w:p>
      <w:pPr>
        <w:spacing w:after="0" w:line="21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16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The following tables present the Company’s net sales disaggregated by segment, product category and geographic region for the years ended December 31, 2022, 2021 and 2020 (in thousands).</w:t>
      </w: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4"/>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color w:val="auto"/>
                <w:w w:val="97"/>
              </w:rPr>
              <w:t>(in thousands)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U.S. segment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6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Kitchenware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487,797</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426,883</w:t>
            </w:r>
          </w:p>
        </w:tc>
      </w:tr>
      <w:tr>
        <w:trPr>
          <w:trHeight w:val="21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Tableware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141,113</w:t>
            </w:r>
          </w:p>
        </w:tc>
      </w:tr>
      <w:tr>
        <w:trPr>
          <w:trHeight w:val="219"/>
        </w:trPr>
        <w:tc>
          <w:tcPr>
            <w:tcW w:w="6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Home Solutions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115,655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115,543</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U.S. segment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669,179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770,633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683,539</w:t>
            </w:r>
          </w:p>
        </w:tc>
      </w:tr>
      <w:tr>
        <w:trPr>
          <w:trHeight w:val="186"/>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International segment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85,630</w:t>
            </w:r>
          </w:p>
        </w:tc>
      </w:tr>
      <w:tr>
        <w:trPr>
          <w:trHeight w:val="212"/>
        </w:trPr>
        <w:tc>
          <w:tcPr>
            <w:tcW w:w="69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Total net sales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727,662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862,924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769,169</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9"/>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4"/>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color w:val="auto"/>
                <w:w w:val="97"/>
              </w:rPr>
              <w:t>(in thousands)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743,319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658,285</w:t>
            </w: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54,364</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56,520</w:t>
            </w:r>
          </w:p>
        </w:tc>
      </w:tr>
      <w:tr>
        <w:trPr>
          <w:trHeight w:val="212"/>
        </w:trPr>
        <w:tc>
          <w:tcPr>
            <w:tcW w:w="69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Total net sales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727,662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862,924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769,169</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—ACQUISITION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S'well</w:t>
      </w:r>
    </w:p>
    <w:p>
      <w:pPr>
        <w:spacing w:after="0" w:line="118" w:lineRule="exact"/>
        <w:rPr>
          <w:sz w:val="20"/>
          <w:szCs w:val="20"/>
          <w:color w:val="auto"/>
        </w:rPr>
      </w:pPr>
    </w:p>
    <w:p>
      <w:pPr>
        <w:jc w:val="both"/>
        <w:ind w:right="420"/>
        <w:spacing w:after="0" w:line="270" w:lineRule="auto"/>
        <w:rPr>
          <w:sz w:val="20"/>
          <w:szCs w:val="20"/>
          <w:color w:val="auto"/>
        </w:rPr>
      </w:pPr>
      <w:r>
        <w:rPr>
          <w:rFonts w:ascii="Times New Roman" w:cs="Times New Roman" w:eastAsia="Times New Roman" w:hAnsi="Times New Roman"/>
          <w:sz w:val="17"/>
          <w:szCs w:val="17"/>
          <w:color w:val="auto"/>
        </w:rPr>
        <w:t>On March 2, 2022, the Company acquired certain assets of Can't Live Without It, LLC. (dba S'well Bottle and which the Company refers to as “S'well”). The Company paid cash consideration of $18.0 million. The transaction also includes up to $5.0 million in contingent consideration, subject to the acquired brand reaching certain milestones.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purchase price was comprised of the following (in thousands):</w:t>
            </w:r>
          </w:p>
        </w:tc>
        <w:tc>
          <w:tcPr>
            <w:tcW w:w="1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28"/>
        </w:trPr>
        <w:tc>
          <w:tcPr>
            <w:tcW w:w="23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219"/>
        </w:trPr>
        <w:tc>
          <w:tcPr>
            <w:tcW w:w="236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17,956</w:t>
            </w:r>
          </w:p>
        </w:tc>
      </w:tr>
      <w:tr>
        <w:trPr>
          <w:trHeight w:val="219"/>
        </w:trPr>
        <w:tc>
          <w:tcPr>
            <w:tcW w:w="2360" w:type="dxa"/>
            <w:vAlign w:val="bottom"/>
          </w:tcPr>
          <w:p>
            <w:pPr>
              <w:spacing w:after="0"/>
              <w:rPr>
                <w:sz w:val="19"/>
                <w:szCs w:val="19"/>
                <w:color w:val="auto"/>
              </w:rPr>
            </w:pPr>
          </w:p>
        </w:tc>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Value of contingent consideration</w:t>
            </w:r>
          </w:p>
        </w:tc>
        <w:tc>
          <w:tcPr>
            <w:tcW w:w="1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37"/>
        </w:trPr>
        <w:tc>
          <w:tcPr>
            <w:tcW w:w="236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Total purchase price</w:t>
            </w: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18,606</w:t>
            </w:r>
          </w:p>
        </w:tc>
      </w:tr>
      <w:tr>
        <w:trPr>
          <w:trHeight w:val="20"/>
        </w:trPr>
        <w:tc>
          <w:tcPr>
            <w:tcW w:w="236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value of contingent consideration represents the present value of estimated contingent payments of $0.7 million, related to the attainment of certain net sales contribution targets for the year 2024. Acquisition related costs of $0.9 million were recorded within selling, general and administrative expenses in the consolidated statements of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The purchase price was allocated based on the Company’s final estimate of the fair values of the assets acquired and liabilities assumed at the acquisition date,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Purchase Price Allocation</w:t>
            </w:r>
          </w:p>
        </w:tc>
      </w:tr>
      <w:tr>
        <w:trPr>
          <w:trHeight w:val="21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w:t>
            </w:r>
          </w:p>
        </w:tc>
      </w:tr>
      <w:tr>
        <w:trPr>
          <w:trHeight w:val="219"/>
        </w:trPr>
        <w:tc>
          <w:tcPr>
            <w:tcW w:w="8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4,005</w:t>
            </w: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8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13,000</w:t>
            </w: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2,966</w:t>
            </w:r>
          </w:p>
        </w:tc>
      </w:tr>
      <w:tr>
        <w:trPr>
          <w:trHeight w:val="21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(3,685)</w:t>
            </w:r>
          </w:p>
        </w:tc>
      </w:tr>
      <w:tr>
        <w:trPr>
          <w:trHeight w:val="21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allocated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18,606</w:t>
            </w:r>
          </w:p>
        </w:tc>
      </w:tr>
    </w:tbl>
    <w:p>
      <w:pPr>
        <w:spacing w:after="0" w:line="28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 acquisition is being accounted for as a business combination using the acquisition method of accounting in accordance with FASB ASC Topic 805, Business Combinations (“ASC Topic 805”), which established a new basis of accounting for all identifiable assets acquired and liabilities assumed at fair value.</w:t>
      </w:r>
    </w:p>
    <w:p>
      <w:pPr>
        <w:spacing w:after="0" w:line="15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 goodwill and intangible assets are included in the U.S. segment. The trade name intangible asset is amortized on a straight-line basis over its estimated useful life of 12 years (see NOTE 7 — GOODWILL AND INTANGIBLE ASSETS). The goodwill recognized results from such factors as assembled workforce and the value of other synergies expected from combining operations with the Company. The associated goodwill is deductible for tax purposes over 15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consolidated statement of operations includes $16.9 million of net sales attributable to the S'well brand for the twelve months ended December 31, 2022.</w:t>
      </w:r>
    </w:p>
    <w:p>
      <w:pPr>
        <w:spacing w:after="0" w:line="2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On February 26, 2021, the Company acquired the business and certain assets of Year &amp; Day, a designer and distributor of ceramic dinnerware, stainless steel flatware and Italian glassware, for cash in the amount of $0.2 million. The assets and operating results of the Year &amp; Day brand are reflected in the Company’s consolidated financial statements in accordance with ASC Topic No. 805, Business Combinations, commencing from the acquisition date. The purchase price was allocated based on the fair values of the assets acquired which consistent of inventory $0.3 million and liabilities assumed of $0.1 million. The Year &amp; Day acquisition did not have a material impact on the Company's consolidated statement of operations for the year ended December 31, 2021.</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LEASES</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 has operating leases for corporate offices, distribution facilities, manufacturing plants, and certain vehicles. Leases with an initial term of 12 months or less are not recorded on the condensed consolidated balance sheets. The Company has elected the practical expedient to account for each separate lease component of a contract and its associated non-lease components as a single lease component, thus causing all fixed payments to be capitalized. Variable lease payment amounts that cannot be determined at the commencement of the lease, such as increases in lease payments that do not depend on changes in index rates or payments based on usage, are not included in the ROU assets or liabilities. These are expensed as incurred and recorded as variable lease expense.</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ROU assets represent the Company’s right to use an underlying asset during the lease term and lease liabilities represent the Company’s obligation to make lease payments arising from the lease. ROU assets and liabilities are recognized at the commencement date based on the net present value of fixed lease payments over the lease term. The Company’s lease term includes options to extend or terminate the lease when it is reasonably certain that the Company will exercise that option. ROU assets also include any advance lease payments. As most of the Company’s operating leases do not provide an implicit rate, the Company uses its incremental borrowing rate based on the information available at commencement date in determining the present value of lease payments.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costs for the year ended December 31, 2022, 2021 and 2020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2"/>
        </w:trPr>
        <w:tc>
          <w:tcPr>
            <w:tcW w:w="5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2"/>
        </w:trPr>
        <w:tc>
          <w:tcPr>
            <w:tcW w:w="55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554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7"/>
                <w:szCs w:val="17"/>
                <w:color w:val="auto"/>
              </w:rPr>
              <w:t xml:space="preserve">Operating lease costs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9"/>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lease expense</w:t>
            </w:r>
          </w:p>
        </w:tc>
        <w:tc>
          <w:tcPr>
            <w:tcW w:w="1220" w:type="dxa"/>
            <w:vAlign w:val="bottom"/>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17,860</w:t>
            </w:r>
          </w:p>
        </w:tc>
        <w:tc>
          <w:tcPr>
            <w:tcW w:w="4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18,181</w:t>
            </w: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1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5,833</w:t>
            </w:r>
          </w:p>
        </w:tc>
        <w:tc>
          <w:tcPr>
            <w:tcW w:w="4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3,798</w:t>
            </w:r>
          </w:p>
        </w:tc>
      </w:tr>
      <w:tr>
        <w:trPr>
          <w:trHeight w:val="21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2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22,553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23,693</w:t>
            </w:r>
          </w:p>
        </w:tc>
        <w:tc>
          <w:tcPr>
            <w:tcW w:w="4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21,979</w:t>
            </w:r>
          </w:p>
        </w:tc>
      </w:tr>
      <w:tr>
        <w:trPr>
          <w:trHeight w:val="20"/>
        </w:trPr>
        <w:tc>
          <w:tcPr>
            <w:tcW w:w="5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20" w:hanging="117"/>
        <w:spacing w:after="0"/>
        <w:tabs>
          <w:tab w:leader="none" w:pos="120" w:val="left"/>
        </w:tabs>
        <w:numPr>
          <w:ilvl w:val="0"/>
          <w:numId w:val="3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Expenses are recorded within distribution expenses and selling, general and administrative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for the year ended December 31, 2022, 2021 and 2020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
        </w:trPr>
        <w:tc>
          <w:tcPr>
            <w:tcW w:w="5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2"/>
        </w:trPr>
        <w:tc>
          <w:tcPr>
            <w:tcW w:w="54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4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19,154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15,802</w:t>
            </w: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15,802</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65"/>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2"/>
        </w:trPr>
        <w:tc>
          <w:tcPr>
            <w:tcW w:w="54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44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Included in machinery, furniture and equipment as of December 31, 2022 and 2021 is $0.3 million, related to assets recorded under finance leases. Included in accumulated depreciation and amortization at December 31, 2022 and December 31, 2021 is $0.2 million related to assets recorded under finance leases.</w:t>
      </w:r>
    </w:p>
    <w:p>
      <w:pPr>
        <w:spacing w:after="0" w:line="151"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7"/>
          <w:szCs w:val="17"/>
          <w:color w:val="auto"/>
        </w:rPr>
        <w:t>On January 20, 2023, the Company entered into the third amendment to the existing Medford operating lease. The amendment modified certain terms and conditions of the existing lease agreement, including, but not limited to, reduction in leased square footage, reduction in rent payment, and an extension of the lease term of 7 lease years.</w:t>
      </w:r>
    </w:p>
    <w:p>
      <w:pPr>
        <w:spacing w:after="0" w:line="16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During the period ended December 31, 2020, in response to the COVID-19 pandemic, the Company negotiated COVID-19-related rent concessions for several of its leased properties. The majority of these rent concessions were in the form of deferred rent payments for one or more months. The Company applied the guidance issued in the FASB staff Q&amp;A - Topic 842 and Topic 840: Accounting For Lease Concessions Related to the Effects of the COVID-19 Pandemic, and elected to account for these rent concessions as if no changes to the lease were made and continued to recognize the straight-line lease expense. The COVID-19 related deferred rent payments as of December 31, 2020 were $1.0 million were deferred into fiscal year 2021. As of December 31, 2021, all deferred payments have been paid.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aggregate future lease payments for operating leases as of December 31, 2022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22"/>
        </w:trPr>
        <w:tc>
          <w:tcPr>
            <w:tcW w:w="74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19,094</w:t>
            </w:r>
          </w:p>
        </w:tc>
        <w:tc>
          <w:tcPr>
            <w:tcW w:w="0" w:type="dxa"/>
            <w:vAlign w:val="bottom"/>
          </w:tcPr>
          <w:p>
            <w:pPr>
              <w:spacing w:after="0"/>
              <w:rPr>
                <w:sz w:val="1"/>
                <w:szCs w:val="1"/>
                <w:color w:val="auto"/>
              </w:rPr>
            </w:pPr>
          </w:p>
        </w:tc>
      </w:tr>
      <w:tr>
        <w:trPr>
          <w:trHeight w:val="219"/>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18,571</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17,975</w:t>
            </w:r>
          </w:p>
        </w:tc>
        <w:tc>
          <w:tcPr>
            <w:tcW w:w="0" w:type="dxa"/>
            <w:vAlign w:val="bottom"/>
          </w:tcPr>
          <w:p>
            <w:pPr>
              <w:spacing w:after="0"/>
              <w:rPr>
                <w:sz w:val="1"/>
                <w:szCs w:val="1"/>
                <w:color w:val="auto"/>
              </w:rPr>
            </w:pPr>
          </w:p>
        </w:tc>
      </w:tr>
      <w:tr>
        <w:trPr>
          <w:trHeight w:val="219"/>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17,265</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13,146</w:t>
            </w:r>
          </w:p>
        </w:tc>
        <w:tc>
          <w:tcPr>
            <w:tcW w:w="0" w:type="dxa"/>
            <w:vAlign w:val="bottom"/>
          </w:tcPr>
          <w:p>
            <w:pPr>
              <w:spacing w:after="0"/>
              <w:rPr>
                <w:sz w:val="1"/>
                <w:szCs w:val="1"/>
                <w:color w:val="auto"/>
              </w:rPr>
            </w:pPr>
          </w:p>
        </w:tc>
      </w:tr>
      <w:tr>
        <w:trPr>
          <w:trHeight w:val="219"/>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23,657</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109,708</w:t>
            </w:r>
          </w:p>
        </w:tc>
        <w:tc>
          <w:tcPr>
            <w:tcW w:w="0" w:type="dxa"/>
            <w:vAlign w:val="bottom"/>
          </w:tcPr>
          <w:p>
            <w:pPr>
              <w:spacing w:after="0"/>
              <w:rPr>
                <w:sz w:val="1"/>
                <w:szCs w:val="1"/>
                <w:color w:val="auto"/>
              </w:rPr>
            </w:pPr>
          </w:p>
        </w:tc>
      </w:tr>
      <w:tr>
        <w:trPr>
          <w:trHeight w:val="219"/>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1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(19,260)</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1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90,448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Average lease terms and discount rates were as follows:</w:t>
            </w:r>
          </w:p>
        </w:tc>
        <w:tc>
          <w:tcPr>
            <w:tcW w:w="1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742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20" w:type="dxa"/>
            <w:vAlign w:val="bottom"/>
          </w:tcPr>
          <w:p>
            <w:pPr>
              <w:spacing w:after="0"/>
              <w:rPr>
                <w:sz w:val="17"/>
                <w:szCs w:val="17"/>
                <w:color w:val="auto"/>
              </w:rPr>
            </w:pPr>
          </w:p>
        </w:tc>
        <w:tc>
          <w:tcPr>
            <w:tcW w:w="19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7"/>
                <w:szCs w:val="17"/>
                <w:color w:val="auto"/>
              </w:rPr>
            </w:pPr>
          </w:p>
        </w:tc>
        <w:tc>
          <w:tcPr>
            <w:tcW w:w="16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
        </w:trPr>
        <w:tc>
          <w:tcPr>
            <w:tcW w:w="74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0" w:type="dxa"/>
            <w:vAlign w:val="bottom"/>
          </w:tcPr>
          <w:p>
            <w:pPr>
              <w:spacing w:after="0"/>
              <w:rPr>
                <w:sz w:val="1"/>
                <w:szCs w:val="1"/>
                <w:color w:val="auto"/>
              </w:rPr>
            </w:pPr>
          </w:p>
        </w:tc>
      </w:tr>
    </w:tbl>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SALE OF ACCOUNTS RECEIVABLE</w:t>
      </w:r>
    </w:p>
    <w:p>
      <w:pPr>
        <w:spacing w:after="0" w:line="11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To improve its liquidity during seasonally high working capital periods, the Company has an uncommitted Receivables Purchase Agreement with HSBC Bank USA, as Purchaser (the “Receivables Purchase Agreement”). Under the Receivables Purchase Agreement, the Company may offer to sell certain eligible accounts receivables (the “Receivables”) to HSBC Bank USA, which may accept such offer, and purchase the offered Receivables. Under the Receivables Purchase Agreement, following each purchase of Receivables, the outstanding aggregate purchased Receivables shall not exceed $30.0 million. HSBC Bank USA will assume the credit risk of the Receivables purchased; and, the Company will continue to be responsible for all non-credit risk matters. The Company will service the Receivables, and as such servicer, collect and otherwise enforce the Receivables on behalf of HSBC Bank USA. The term of the agreement is for 364 days and automatically extends for annual successive terms unless terminated. Either party may terminate the agreement at any time upon 60 days prior written notice to the other party. Pursuant to this agreement, the Company sold $141.3 million and $150.7 million of Receivables during the years ended December 31, 2022 and 2021, respectively. At December 31, 2022 and 2021, $20.2 million and $28.8 million, respectively, of receivables sold are outstanding and are due to HSBC Bank USA from customers. A charge of $0.8 million and $0.4 million, respectively, related to the sale of the Receivables is included in selling, general and administrative expenses in the consolidated statements of operations for the years ended December 31, 2022 and 2021.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EQUITY INVESTMENTS</w:t>
      </w:r>
    </w:p>
    <w:p>
      <w:pPr>
        <w:spacing w:after="0" w:line="11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Company owns 24.7% of the outstanding capital stock of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statement of operations. Accordingly, the Company has recorded its proportionate share of Vasconia’s net income (reduced for amortization expense related to the customer relationships acquired) for the years ended December 31, 2022, 2021 and 2020 in the accompanying consolidated statements of operations.</w:t>
      </w:r>
    </w:p>
    <w:p>
      <w:pPr>
        <w:spacing w:after="0" w:line="17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On June 30, 2021, Vasconia issued additional shares of its stock, which diluted the Company’s investment ownership from approximately 30% to approximately 27%. The Company recorded a non-cash gain of $1.7 million, increasing the Company’s investment balance. Additionally, a loss of $2.0 million was recognized for the proportionate share of the diluted ownership for amounts previously recognized in accumulated other comprehensive loss. The net loss of $0.3 million was included in equity in earnings, net of taxes, in the accompanying consolidated statements of operations for the year ended December 31, 2021.</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On July 29, 2021, the Company sold 2.2 million shares further reducing its ownership from approximately 27% to 24.7% in Vasconia for net cash proceeds of approximately $3.1 million, as a result the Company recorded a gain of $1.0 million, after decreasing the Company’s investment balance. The gain on the sale resulted in a tax expense of $0.1 million. Additionally, a loss of $1.4 million was recognized for the proportionate share of the reduced ownership for amounts previously recognized in accumulated other comprehensive loss. The net loss, including taxes, of $0.5 million was included in equity in earnings, net of taxes, in the accompanying consolidated statements of operations for the year ended December 31, 2021. The Company continues to apply the equity method of accounting.</w:t>
      </w:r>
    </w:p>
    <w:p>
      <w:pPr>
        <w:spacing w:after="0" w:line="17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value of the Company’s investment balance has been translated from Mexican pesos (“MXN”) to U.S. dollars (“USD”) using the spot rate of MXN 19.47 and MXN 20.46 at December 31, 2022 and 2021,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proportionate share of Vasconia's net income (loss) has been translated from MXN to USD using the following exchange rates: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6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540" w:type="dxa"/>
            <w:vAlign w:val="bottom"/>
            <w:tcBorders>
              <w:bottom w:val="single" w:sz="8" w:color="auto"/>
            </w:tcBorders>
          </w:tcPr>
          <w:p>
            <w:pPr>
              <w:jc w:val="right"/>
              <w:ind w:right="118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8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exchange rate (MXN to USD)</w:t>
            </w:r>
          </w:p>
        </w:tc>
        <w:tc>
          <w:tcPr>
            <w:tcW w:w="2000" w:type="dxa"/>
            <w:vAlign w:val="bottom"/>
            <w:vMerge w:val="restart"/>
            <w:shd w:val="clear" w:color="auto" w:fill="CCEEFF"/>
          </w:tcPr>
          <w:p>
            <w:pPr>
              <w:jc w:val="right"/>
              <w:ind w:right="463"/>
              <w:spacing w:after="0"/>
              <w:rPr>
                <w:sz w:val="20"/>
                <w:szCs w:val="20"/>
                <w:color w:val="auto"/>
              </w:rPr>
            </w:pPr>
            <w:r>
              <w:rPr>
                <w:rFonts w:ascii="Times New Roman" w:cs="Times New Roman" w:eastAsia="Times New Roman" w:hAnsi="Times New Roman"/>
                <w:sz w:val="17"/>
                <w:szCs w:val="17"/>
                <w:color w:val="auto"/>
              </w:rPr>
              <w:t>19.67 - 20.50</w:t>
            </w:r>
          </w:p>
        </w:tc>
        <w:tc>
          <w:tcPr>
            <w:tcW w:w="2540" w:type="dxa"/>
            <w:vAlign w:val="bottom"/>
            <w:vMerge w:val="restart"/>
            <w:shd w:val="clear" w:color="auto" w:fill="CCEEFF"/>
          </w:tcPr>
          <w:p>
            <w:pPr>
              <w:jc w:val="right"/>
              <w:ind w:right="866"/>
              <w:spacing w:after="0"/>
              <w:rPr>
                <w:sz w:val="20"/>
                <w:szCs w:val="20"/>
                <w:color w:val="auto"/>
              </w:rPr>
            </w:pPr>
            <w:r>
              <w:rPr>
                <w:rFonts w:ascii="Times New Roman" w:cs="Times New Roman" w:eastAsia="Times New Roman" w:hAnsi="Times New Roman"/>
                <w:sz w:val="17"/>
                <w:szCs w:val="17"/>
                <w:color w:val="auto"/>
              </w:rPr>
              <w:t>20.01 - 20.74</w:t>
            </w:r>
          </w:p>
        </w:tc>
        <w:tc>
          <w:tcPr>
            <w:tcW w:w="2080" w:type="dxa"/>
            <w:vAlign w:val="bottom"/>
            <w:vMerge w:val="restart"/>
            <w:shd w:val="clear" w:color="auto" w:fill="CCEEFF"/>
          </w:tcPr>
          <w:p>
            <w:pPr>
              <w:jc w:val="right"/>
              <w:ind w:right="603"/>
              <w:spacing w:after="0"/>
              <w:rPr>
                <w:sz w:val="20"/>
                <w:szCs w:val="20"/>
                <w:color w:val="auto"/>
              </w:rPr>
            </w:pPr>
            <w:r>
              <w:rPr>
                <w:rFonts w:ascii="Times New Roman" w:cs="Times New Roman" w:eastAsia="Times New Roman" w:hAnsi="Times New Roman"/>
                <w:sz w:val="17"/>
                <w:szCs w:val="17"/>
                <w:color w:val="auto"/>
              </w:rPr>
              <w:t>19.91 - 23.31</w:t>
            </w:r>
          </w:p>
        </w:tc>
        <w:tc>
          <w:tcPr>
            <w:tcW w:w="0" w:type="dxa"/>
            <w:vAlign w:val="bottom"/>
          </w:tcPr>
          <w:p>
            <w:pPr>
              <w:spacing w:after="0"/>
              <w:rPr>
                <w:sz w:val="1"/>
                <w:szCs w:val="1"/>
                <w:color w:val="auto"/>
              </w:rPr>
            </w:pPr>
          </w:p>
        </w:tc>
      </w:tr>
      <w:tr>
        <w:trPr>
          <w:trHeight w:val="125"/>
        </w:trPr>
        <w:tc>
          <w:tcPr>
            <w:tcW w:w="3860" w:type="dxa"/>
            <w:vAlign w:val="bottom"/>
            <w:shd w:val="clear" w:color="auto" w:fill="CCEEFF"/>
          </w:tcPr>
          <w:p>
            <w:pPr>
              <w:spacing w:after="0"/>
              <w:rPr>
                <w:sz w:val="10"/>
                <w:szCs w:val="10"/>
                <w:color w:val="auto"/>
              </w:rPr>
            </w:pPr>
          </w:p>
        </w:tc>
        <w:tc>
          <w:tcPr>
            <w:tcW w:w="2000" w:type="dxa"/>
            <w:vAlign w:val="bottom"/>
            <w:vMerge w:val="continue"/>
            <w:shd w:val="clear" w:color="auto" w:fill="CCEEFF"/>
          </w:tcPr>
          <w:p>
            <w:pPr>
              <w:spacing w:after="0"/>
              <w:rPr>
                <w:sz w:val="10"/>
                <w:szCs w:val="10"/>
                <w:color w:val="auto"/>
              </w:rPr>
            </w:pPr>
          </w:p>
        </w:tc>
        <w:tc>
          <w:tcPr>
            <w:tcW w:w="2540" w:type="dxa"/>
            <w:vAlign w:val="bottom"/>
            <w:vMerge w:val="continue"/>
            <w:shd w:val="clear" w:color="auto" w:fill="CCEEFF"/>
          </w:tcPr>
          <w:p>
            <w:pPr>
              <w:spacing w:after="0"/>
              <w:rPr>
                <w:sz w:val="10"/>
                <w:szCs w:val="10"/>
                <w:color w:val="auto"/>
              </w:rPr>
            </w:pPr>
          </w:p>
        </w:tc>
        <w:tc>
          <w:tcPr>
            <w:tcW w:w="20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8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7"/>
          <w:szCs w:val="17"/>
          <w:color w:val="auto"/>
        </w:rPr>
        <w:t>The effect of the translation of the Company’s investment, as well as the translation of Vasconia’s balance sheet, resulted in a decrease of the investment of $0.3 million during the year ended December 31, 2022 and an increase of the investment of $1.0 million during the year ended December 31, 2021. These translation effects are recorded in accumulated other comprehensive loss. The Company received cash dividends of $0.2 million and $0.1 million, from Vasconia during the years ended December 31, 2021 and 2020, respectively. There was no cash dividend received during the year ended December 31,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amounts due to and due from Vasconia as of December 31, 2022 and 2021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Vasconia due to and due from balances</w:t>
            </w:r>
          </w:p>
        </w:tc>
        <w:tc>
          <w:tcPr>
            <w:tcW w:w="4420" w:type="dxa"/>
            <w:vAlign w:val="bottom"/>
            <w:gridSpan w:val="2"/>
          </w:tcPr>
          <w:p>
            <w:pPr>
              <w:ind w:left="19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5"/>
                <w:szCs w:val="15"/>
                <w:color w:val="auto"/>
              </w:rPr>
            </w:pPr>
          </w:p>
        </w:tc>
        <w:tc>
          <w:tcPr>
            <w:tcW w:w="148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
        </w:trPr>
        <w:tc>
          <w:tcPr>
            <w:tcW w:w="332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Amounts due from Vasconia</w:t>
            </w:r>
          </w:p>
        </w:tc>
        <w:tc>
          <w:tcPr>
            <w:tcW w:w="4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1"/>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Amounts due to Vasconia</w:t>
            </w:r>
          </w:p>
        </w:tc>
        <w:tc>
          <w:tcPr>
            <w:tcW w:w="4420" w:type="dxa"/>
            <w:vAlign w:val="bottom"/>
            <w:gridSpan w:val="2"/>
          </w:tcPr>
          <w:p>
            <w:pPr>
              <w:ind w:left="1040"/>
              <w:spacing w:after="0"/>
              <w:rPr>
                <w:sz w:val="20"/>
                <w:szCs w:val="20"/>
                <w:color w:val="auto"/>
              </w:rPr>
            </w:pPr>
            <w:r>
              <w:rPr>
                <w:rFonts w:ascii="Times New Roman" w:cs="Times New Roman" w:eastAsia="Times New Roman" w:hAnsi="Times New Roman"/>
                <w:sz w:val="15"/>
                <w:szCs w:val="15"/>
                <w:color w:val="auto"/>
              </w:rPr>
              <w:t>Accrued expenses and Accounts payable</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Summarized income statement information for the years ended December 31, 2022, 2021 and 2020, as well as summarized balance sheet information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2022 and 2021, for Vasconia, calculated in accordance with U.S. GAAP, in USD and MXN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
        </w:trPr>
        <w:tc>
          <w:tcPr>
            <w:tcW w:w="3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3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5"/>
                <w:szCs w:val="15"/>
                <w:color w:val="auto"/>
              </w:rPr>
            </w:pPr>
          </w:p>
        </w:tc>
      </w:tr>
      <w:tr>
        <w:trPr>
          <w:trHeight w:val="184"/>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center"/>
              <w:ind w:left="503"/>
              <w:spacing w:after="0"/>
              <w:rPr>
                <w:sz w:val="20"/>
                <w:szCs w:val="20"/>
                <w:color w:val="auto"/>
              </w:rPr>
            </w:pPr>
            <w:r>
              <w:rPr>
                <w:rFonts w:ascii="Times New Roman" w:cs="Times New Roman" w:eastAsia="Times New Roman" w:hAnsi="Times New Roman"/>
                <w:sz w:val="14"/>
                <w:szCs w:val="14"/>
                <w:color w:val="auto"/>
                <w:w w:val="97"/>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1"/>
        </w:trPr>
        <w:tc>
          <w:tcPr>
            <w:tcW w:w="3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USD</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MXN</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USD</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MXN</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USD</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4"/>
                <w:szCs w:val="14"/>
                <w:color w:val="auto"/>
              </w:rPr>
              <w:t>MXN</w:t>
            </w:r>
          </w:p>
        </w:tc>
      </w:tr>
      <w:tr>
        <w:trPr>
          <w:trHeight w:val="199"/>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Statement</w:t>
            </w: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240,910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4,846,328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240,186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4,871,845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3,330,855</w:t>
            </w:r>
          </w:p>
        </w:tc>
      </w:tr>
      <w:tr>
        <w:trPr>
          <w:trHeight w:val="219"/>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52,574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1,064,557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540,244</w:t>
            </w: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from operations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15,536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6,674</w:t>
            </w: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(262,251)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7,017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108,678</w:t>
            </w: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5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5"/>
                <w:szCs w:val="15"/>
                <w:color w:val="auto"/>
              </w:rPr>
            </w:pPr>
          </w:p>
        </w:tc>
      </w:tr>
      <w:tr>
        <w:trPr>
          <w:trHeight w:val="184"/>
        </w:trPr>
        <w:tc>
          <w:tcPr>
            <w:tcW w:w="5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1"/>
        </w:trPr>
        <w:tc>
          <w:tcPr>
            <w:tcW w:w="5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USD</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MXN</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USD</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MXN</w:t>
            </w:r>
          </w:p>
        </w:tc>
      </w:tr>
      <w:tr>
        <w:trPr>
          <w:trHeight w:val="199"/>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Sheet</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2,519,905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2,609,038</w:t>
            </w:r>
          </w:p>
        </w:tc>
      </w:tr>
      <w:tr>
        <w:trPr>
          <w:trHeight w:val="219"/>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2,810,082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2,535,273</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1,812,546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1,909,870</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1,850,568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1,181,398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The Company recorded equity in (losses) earnings of Vasconia, net of taxes, of $(3.3) million, $1.8 million and $1.5 million for the years ended December 31, 2022, 2021 and 2020, respectively.</w:t>
      </w:r>
    </w:p>
    <w:p>
      <w:pPr>
        <w:spacing w:after="0" w:line="1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fair value (based on Level 1 inputs using the quoted stock price) of the Company’s investment in Vasconia declined during the third quarter of 2022. As a result of the decline in the quoted stock price and the quarterly decline in the operating results of Vasconia, the Company determined the decline in fair value was other than temporary. The Company reduced its investment by $6.2 million as of September 30, 2022 to its fair value, and recognized the non-cash impairment charge within Equity in (losses) earnings, net of taxes, in the consolidated statement of operations. As of December 31, 2022, the fair value of the Company's investment in Vasconia was $15.0 million. The carrying value of the Company’s investment in Vasconia, after the recorded impairment, was $12.5 million.</w:t>
      </w:r>
    </w:p>
    <w:p>
      <w:pPr>
        <w:spacing w:after="0" w:line="17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Lifetime Brands Do Brasil Participacoes Ltda., a 100% owned subsidiary of Lifetime Brands, Inc., was dissolved on May 5, 2020. The subsidiary held a note receivable relating to the 2016 sale of its 40% equity interest in GS International S/A (“GSI”), a wholesale distributor of branded housewares products in Brazil, which was accounted for as an equity method investment. The final installment due on the note receivable was received prior to dissolution of the subsidiary. Foreign currency translation losses of $0.2 million, which were previously recorded as a component of stockholder’s equity within accumulated other comprehensive loss, were recognized in earnings upon dissolution of this subsidiary during the year ended December 31, 2020. The Company included this loss within equity in earnings, net of taxes.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GOODWILL AND 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intangible assets consist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6"/>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0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1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14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line="186" w:lineRule="exact"/>
              <w:rPr>
                <w:sz w:val="20"/>
                <w:szCs w:val="20"/>
                <w:color w:val="auto"/>
              </w:rPr>
            </w:pPr>
            <w:r>
              <w:rPr>
                <w:rFonts w:ascii="Times New Roman" w:cs="Times New Roman" w:eastAsia="Times New Roman" w:hAnsi="Times New Roman"/>
                <w:sz w:val="14"/>
                <w:szCs w:val="14"/>
                <w:b w:val="1"/>
                <w:bCs w:val="1"/>
                <w:color w:val="auto"/>
              </w:rPr>
              <w:t>Goodwill</w:t>
            </w:r>
            <w:r>
              <w:rPr>
                <w:rFonts w:ascii="Times New Roman" w:cs="Times New Roman" w:eastAsia="Times New Roman" w:hAnsi="Times New Roman"/>
                <w:sz w:val="17"/>
                <w:szCs w:val="17"/>
                <w:b w:val="1"/>
                <w:bCs w:val="1"/>
                <w:color w:val="auto"/>
                <w:vertAlign w:val="superscript"/>
              </w:rPr>
              <w:t>(1)</w:t>
            </w:r>
          </w:p>
        </w:tc>
        <w:tc>
          <w:tcPr>
            <w:tcW w:w="2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33,237</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30,271</w:t>
            </w:r>
          </w:p>
        </w:tc>
        <w:tc>
          <w:tcPr>
            <w:tcW w:w="100" w:type="dxa"/>
            <w:vAlign w:val="bottom"/>
          </w:tcPr>
          <w:p>
            <w:pPr>
              <w:spacing w:after="0"/>
              <w:rPr>
                <w:sz w:val="16"/>
                <w:szCs w:val="16"/>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30,271</w:t>
            </w:r>
          </w:p>
        </w:tc>
        <w:tc>
          <w:tcPr>
            <w:tcW w:w="0" w:type="dxa"/>
            <w:vAlign w:val="bottom"/>
          </w:tcPr>
          <w:p>
            <w:pPr>
              <w:spacing w:after="0"/>
              <w:rPr>
                <w:sz w:val="1"/>
                <w:szCs w:val="1"/>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Indefinite -lived intangible assets: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320"/>
              <w:spacing w:after="0" w:line="194" w:lineRule="exact"/>
              <w:rPr>
                <w:sz w:val="20"/>
                <w:szCs w:val="20"/>
                <w:color w:val="auto"/>
              </w:rPr>
            </w:pPr>
            <w:r>
              <w:rPr>
                <w:rFonts w:ascii="Times New Roman" w:cs="Times New Roman" w:eastAsia="Times New Roman" w:hAnsi="Times New Roman"/>
                <w:sz w:val="14"/>
                <w:szCs w:val="14"/>
                <w:color w:val="auto"/>
              </w:rPr>
              <w:t>Trade names</w:t>
            </w:r>
            <w:r>
              <w:rPr>
                <w:rFonts w:ascii="Times New Roman" w:cs="Times New Roman" w:eastAsia="Times New Roman" w:hAnsi="Times New Roman"/>
                <w:sz w:val="17"/>
                <w:szCs w:val="17"/>
                <w:color w:val="auto"/>
                <w:vertAlign w:val="superscript"/>
              </w:rPr>
              <w:t>(1)</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49,600</w:t>
            </w:r>
          </w:p>
        </w:tc>
        <w:tc>
          <w:tcPr>
            <w:tcW w:w="0" w:type="dxa"/>
            <w:vAlign w:val="bottom"/>
          </w:tcPr>
          <w:p>
            <w:pPr>
              <w:spacing w:after="0"/>
              <w:rPr>
                <w:sz w:val="1"/>
                <w:szCs w:val="1"/>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Finite -lived intangible assets: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Licenses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xml:space="preserve">Trade names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25,481</w:t>
            </w:r>
          </w:p>
        </w:tc>
        <w:tc>
          <w:tcPr>
            <w:tcW w:w="0" w:type="dxa"/>
            <w:vAlign w:val="bottom"/>
          </w:tcPr>
          <w:p>
            <w:pPr>
              <w:spacing w:after="0"/>
              <w:rPr>
                <w:sz w:val="1"/>
                <w:szCs w:val="1"/>
                <w:color w:val="auto"/>
              </w:rPr>
            </w:pPr>
          </w:p>
        </w:tc>
      </w:tr>
      <w:tr>
        <w:trPr>
          <w:trHeight w:val="193"/>
        </w:trPr>
        <w:tc>
          <w:tcPr>
            <w:tcW w:w="3040" w:type="dxa"/>
            <w:vAlign w:val="bottom"/>
          </w:tcPr>
          <w:p>
            <w:pPr>
              <w:ind w:left="320"/>
              <w:spacing w:after="0" w:line="194" w:lineRule="exact"/>
              <w:rPr>
                <w:sz w:val="20"/>
                <w:szCs w:val="20"/>
                <w:color w:val="auto"/>
              </w:rPr>
            </w:pPr>
            <w:r>
              <w:rPr>
                <w:rFonts w:ascii="Times New Roman" w:cs="Times New Roman" w:eastAsia="Times New Roman" w:hAnsi="Times New Roman"/>
                <w:sz w:val="14"/>
                <w:szCs w:val="14"/>
                <w:color w:val="auto"/>
              </w:rPr>
              <w:t xml:space="preserve">Customer relationships </w:t>
            </w:r>
            <w:r>
              <w:rPr>
                <w:rFonts w:ascii="Times New Roman" w:cs="Times New Roman" w:eastAsia="Times New Roman" w:hAnsi="Times New Roman"/>
                <w:sz w:val="17"/>
                <w:szCs w:val="17"/>
                <w:color w:val="auto"/>
                <w:vertAlign w:val="superscript"/>
              </w:rPr>
              <w:t>(2)</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99,616</w:t>
            </w:r>
          </w:p>
        </w:tc>
        <w:tc>
          <w:tcPr>
            <w:tcW w:w="0" w:type="dxa"/>
            <w:vAlign w:val="bottom"/>
          </w:tcPr>
          <w:p>
            <w:pPr>
              <w:spacing w:after="0"/>
              <w:rPr>
                <w:sz w:val="1"/>
                <w:szCs w:val="1"/>
                <w:color w:val="auto"/>
              </w:rPr>
            </w:pPr>
          </w:p>
        </w:tc>
      </w:tr>
      <w:tr>
        <w:trPr>
          <w:trHeight w:val="193"/>
        </w:trPr>
        <w:tc>
          <w:tcPr>
            <w:tcW w:w="3040" w:type="dxa"/>
            <w:vAlign w:val="bottom"/>
            <w:shd w:val="clear" w:color="auto" w:fill="CCEEFF"/>
          </w:tcPr>
          <w:p>
            <w:pPr>
              <w:ind w:left="320"/>
              <w:spacing w:after="0" w:line="194"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7"/>
                <w:szCs w:val="17"/>
                <w:color w:val="auto"/>
                <w:vertAlign w:val="superscript"/>
              </w:rPr>
              <w:t>(2)</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0" w:type="dxa"/>
            <w:vAlign w:val="bottom"/>
          </w:tcPr>
          <w:p>
            <w:pPr>
              <w:spacing w:after="0"/>
              <w:rPr>
                <w:sz w:val="1"/>
                <w:szCs w:val="1"/>
                <w:color w:val="auto"/>
              </w:rPr>
            </w:pPr>
          </w:p>
        </w:tc>
      </w:tr>
      <w:tr>
        <w:trPr>
          <w:trHeight w:val="179"/>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302,482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(88,595)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213,887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331,385</w:t>
            </w:r>
          </w:p>
        </w:tc>
        <w:tc>
          <w:tcPr>
            <w:tcW w:w="100" w:type="dxa"/>
            <w:vAlign w:val="bottom"/>
          </w:tcPr>
          <w:p>
            <w:pPr>
              <w:spacing w:after="0"/>
              <w:rPr>
                <w:sz w:val="15"/>
                <w:szCs w:val="15"/>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(103,947)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212,678</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40" w:hanging="137"/>
        <w:spacing w:after="0"/>
        <w:tabs>
          <w:tab w:leader="none" w:pos="140"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gross and net value at December 31, 2022 and 2021 reflect a reduction of $91.7 million impairment charges on goodwill and $1.0 million charges on indefinite-lived intangible assets.</w:t>
      </w:r>
    </w:p>
    <w:p>
      <w:pPr>
        <w:spacing w:after="0" w:line="13"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4"/>
          <w:szCs w:val="14"/>
          <w:color w:val="auto"/>
        </w:rPr>
        <w:t>The gross value and accumulated amortization at December 31, 2022 reflect a reduction of $44.1 million and $(29.3) million, respectively, for the net $14.8 million impairment charge on finite-lived intangible assets within the international segment during the period ended December 31, 2021 and a $6.5 million reduction in gross value for previous impairment charges on finite-lived intangible assets within the U.S. segment.</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7"/>
          <w:szCs w:val="17"/>
          <w:color w:val="auto"/>
        </w:rPr>
        <w:t>A summary of the activities related to the Company’s intangible assets for the years ended December 31, 2022, 2021 and 2020 consists of the following (in thousands):</w:t>
      </w:r>
    </w:p>
    <w:tbl>
      <w:tblPr>
        <w:tblLayout w:type="fixed"/>
        <w:tblInd w:w="0" w:type="dxa"/>
        <w:tblCellMar>
          <w:top w:w="0" w:type="dxa"/>
          <w:left w:w="0" w:type="dxa"/>
          <w:bottom w:w="0" w:type="dxa"/>
          <w:right w:w="0" w:type="dxa"/>
        </w:tblCellMar>
      </w:tblPr>
      <w:tr>
        <w:trPr>
          <w:trHeight w:val="142"/>
        </w:trPr>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Intangible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40"/>
        </w:trPr>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Assets and</w:t>
            </w:r>
          </w:p>
        </w:tc>
        <w:tc>
          <w:tcPr>
            <w:tcW w:w="0" w:type="dxa"/>
            <w:vAlign w:val="bottom"/>
          </w:tcPr>
          <w:p>
            <w:pPr>
              <w:spacing w:after="0"/>
              <w:rPr>
                <w:sz w:val="1"/>
                <w:szCs w:val="1"/>
                <w:color w:val="auto"/>
              </w:rPr>
            </w:pPr>
          </w:p>
        </w:tc>
      </w:tr>
      <w:tr>
        <w:trPr>
          <w:trHeight w:val="189"/>
        </w:trPr>
        <w:tc>
          <w:tcPr>
            <w:tcW w:w="7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Goodwill</w:t>
            </w:r>
          </w:p>
        </w:tc>
        <w:tc>
          <w:tcPr>
            <w:tcW w:w="0" w:type="dxa"/>
            <w:vAlign w:val="bottom"/>
          </w:tcPr>
          <w:p>
            <w:pPr>
              <w:spacing w:after="0"/>
              <w:rPr>
                <w:sz w:val="1"/>
                <w:szCs w:val="1"/>
                <w:color w:val="auto"/>
              </w:rPr>
            </w:pPr>
          </w:p>
        </w:tc>
      </w:tr>
      <w:tr>
        <w:trPr>
          <w:trHeight w:val="217"/>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 December 31, 2019</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49,371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ind w:right="291"/>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of indefinite - lived intangible assets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of goodwill</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 December 31, 2020</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213,754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30,271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of finite - lived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 December 31, 2021</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182,407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30,271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of goodwill</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of trade name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 December 31, 2022</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gridSpan w:val="3"/>
            <w:shd w:val="clear" w:color="auto" w:fill="CCEEFF"/>
          </w:tcPr>
          <w:p>
            <w:pPr>
              <w:jc w:val="right"/>
              <w:ind w:right="291"/>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99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The weighted-average amortization periods for the Company’s finite-lived intangible assets as of December 31, 2022 are as follows: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0" w:type="dxa"/>
            <w:vAlign w:val="bottom"/>
          </w:tcPr>
          <w:p>
            <w:pPr>
              <w:spacing w:after="0"/>
              <w:rPr>
                <w:sz w:val="1"/>
                <w:szCs w:val="1"/>
                <w:color w:val="auto"/>
              </w:rPr>
            </w:pPr>
          </w:p>
        </w:tc>
      </w:tr>
      <w:tr>
        <w:trPr>
          <w:trHeight w:val="22"/>
        </w:trPr>
        <w:tc>
          <w:tcPr>
            <w:tcW w:w="7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486"/>
        </w:trPr>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Estimated amortization expense for each of the five succeeding fiscal years is as follows (in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jc w:val="center"/>
              <w:ind w:right="20"/>
              <w:spacing w:after="0" w:line="156" w:lineRule="exact"/>
              <w:rPr>
                <w:sz w:val="20"/>
                <w:szCs w:val="20"/>
                <w:color w:val="auto"/>
              </w:rPr>
            </w:pPr>
            <w:r>
              <w:rPr>
                <w:rFonts w:ascii="Times New Roman" w:cs="Times New Roman" w:eastAsia="Times New Roman" w:hAnsi="Times New Roman"/>
                <w:sz w:val="14"/>
                <w:szCs w:val="14"/>
                <w:b w:val="1"/>
                <w:bCs w:val="1"/>
                <w:color w:val="auto"/>
                <w:w w:val="95"/>
              </w:rPr>
              <w:t>Year ending</w:t>
            </w:r>
          </w:p>
        </w:tc>
        <w:tc>
          <w:tcPr>
            <w:tcW w:w="0" w:type="dxa"/>
            <w:vAlign w:val="bottom"/>
          </w:tcPr>
          <w:p>
            <w:pPr>
              <w:spacing w:after="0"/>
              <w:rPr>
                <w:sz w:val="1"/>
                <w:szCs w:val="1"/>
                <w:color w:val="auto"/>
              </w:rPr>
            </w:pPr>
          </w:p>
        </w:tc>
      </w:tr>
      <w:tr>
        <w:trPr>
          <w:trHeight w:val="187"/>
        </w:trPr>
        <w:tc>
          <w:tcPr>
            <w:tcW w:w="72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91"/>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impairment test</w:t>
      </w:r>
    </w:p>
    <w:p>
      <w:pPr>
        <w:spacing w:after="0" w:line="11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Company reviews goodwill and other intangibles that have indefinite lives for impairment annually as of October 1st or when events or changes in circumstances indicate the carrying value of these assets might exceed their current fair values. For goodwill, impairment testing is based upon the best information available using a combination of the discounted cash flow method, a form of the income approach, and the guideline public company method, a form of the market approach.</w:t>
      </w:r>
    </w:p>
    <w:p>
      <w:pPr>
        <w:spacing w:after="0" w:line="17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 The significant assumptions used in the relief from royalty model are future net sales for the related brands, royalty rates and the cost of capital to determine the fair value of the indefinite lived intangibles.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International Reporting Unit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carrying value of the goodwill for the International reporting unit was zero as of December 31, 2022 and 2021.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Reporting Unit</w:t>
      </w:r>
    </w:p>
    <w:p>
      <w:pPr>
        <w:spacing w:after="0" w:line="11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Company performed its annual impairment assessment of its U.S. reporting unit as of October 1, 2022 by comparing the fair value of the reporting unit with its carrying value. The Company performed the analysis using a discounted cash flow and market multiple method. As of October 1, 2022, the fair value of the U.S. reporting unit exceeded the carrying value of goodwill by 10%.</w:t>
      </w:r>
    </w:p>
    <w:p>
      <w:pPr>
        <w:spacing w:after="0" w:line="16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Management’s projections used to estimate the cash flows included organic net sales growth and net sales growth through new customer channels as well as continued operating efficiencies in future periods. Changes in any of the significant assumptions used in the valuation of the reporting unit could materially affect the expected cash flows, and such impacts could potentially result in a material non-cash impairment charge.</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of December 31, 2022, the Company assessed the carrying value of goodwill and determined, based on qualitative factors, that no impairment indicators existed for goodwill.</w:t>
      </w:r>
    </w:p>
    <w:p>
      <w:pPr>
        <w:spacing w:after="0" w:line="15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 the first quarter of 2020, as a result of the economic downturn caused by the COVID-19 pandemic, the Company performed an interim assessment of the goodwill for the U.S. reporting unit as of March 31, 2020, by comparing the fair value of the reporting unit with its carrying value. The Company performed the analysis using a discounted cash flow and market multiple method. Based upon the analysis performed, the Company recognized a non-cash goodwill impairment charge of $19.1 million during the first quarter of 2020. The goodwill impairment charge resulted from, among other factors, the uncertain market conditions arising from the COVID-19 pandemic, which impacted the Company's market capitalization, as well as a reduction of forecasted future cash flows associated with the effects of the COVID-19 pandemic. The fair value of the U.S. reporting unit was approximately 3.9% below its carrying value as of March 31, 2020.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indefinite-lived trade name impairment test</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values its indefinite-lived trade names using a relief-from-royalty approach, which assumes the value of the trade name is the discounted cash flows of the amount that would be paid by a hypothetical market participant had they not owned the trade name and instead licensed the trade name from another company.</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bypassed the optional qualitative impairment analysis for its indefinite-lived trade name assets annual October 1, 2022 impairment test. The Company completed the quantitative impairment analysis by comparing the fair value of the indefinite-lived trade names to their respective carrying value using a relief from royalty method. As of October 1, 2022, the fair value of the Company’s indefinite-lived trade names exceeded their respective carrying values by 12%. While the indefinite-lived trade names were not determined to be impaired, the indefinite-lived trade names are at risk of future impairment in the event the trade names do not perform as projected or if market factors utilized in the impairment analysis deteriorate, including an unfavorable change in long-term growth rates or the weighted average cost of capital.</w:t>
      </w:r>
    </w:p>
    <w:p>
      <w:pPr>
        <w:spacing w:after="0" w:line="173"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7"/>
          <w:szCs w:val="17"/>
          <w:color w:val="auto"/>
        </w:rPr>
        <w:t>As of December 31, 2022, the Company assessed the carrying value of its indefinite-lived trade names and determined based on qualitative factors that no impairment existed.</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first quarter of 2020, as a result of the economic decline caused by the COVID-19 pandemic, the Company determined its indefinite-lived trade names had indicators for impairment. As a result, the Company bypassed the optional qualitative impairment analysis for its indefinite-lived trade names and performed an interim quantitative impairment analysis as of March 31, 2020, by comparing the fair value of the indefinite-lived trade names to their respective carrying values. As a result of the impairment testing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performed in connection with the COVID-19 pandemic triggering event, the Company determined that certain of its indefinite-lived intangible assets in the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were impaired. As a result, the Company recorded a $1.0 million non-cash impairment charge during the first quarter of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Long-lived assets impairment test</w:t>
      </w:r>
    </w:p>
    <w:p>
      <w:pPr>
        <w:spacing w:after="0" w:line="118"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Due to the current operating results for the International segment as a result of low consumer confidence in the region, impairment indicators were identified for the International asset group. The Company tested the recoverability of the asset group, concluding it was not recoverable and performed an analysis of the fair value of the international long-lived assets. The Company tested the International segment's long-lived assets for impairment and concluded that the fair value exceeded the carrying value of the long-lived assets, concluding no impairment as of December 31, 2022.</w:t>
      </w:r>
    </w:p>
    <w:p>
      <w:pPr>
        <w:spacing w:after="0" w:line="17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the fourth quarter of 2021, due to lower than expected operating results for the International segment caused by continuing impacts of COVID-19 and the exit of the U.K. from the European Union, impairment indicators were identified for the International asset group. The Company tested the recoverability of the asset group, concluding it was not recoverable and performed an analysis of the fair value of the international long-lived assets. For the finite-lived intangible assets, the Company performed discounted cash flow analysis and recorded an impairment of $14.8 million within the International segment.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DEBT</w:t>
      </w:r>
    </w:p>
    <w:p>
      <w:pPr>
        <w:spacing w:after="0" w:line="11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On August 26, 2022, the Company entered into Amendment No. 2 (the “Amendment”) to the ABL Agreement among the Company, as a Borrower, certain subsidiaries of the Company, as Borrowers and/or Loan Parties, JPMorgan Chase Bank, N.A., as Administrative Agent and a Lender, HSBC Bank USA, National Association and Wells Fargo Bank, National Association, as Co-Documentation Agents and Lenders, and Manufacturers and Traders Trust Company. The ABL Agreement provides for a senior secured asset-based revolving credit facility in the maximum aggregate principal amount of $200.0 million, which facility will mature on August 26, 2027 (subject to an earlier springing maturity date that is 90 days prior to the Term Loan maturity date of February 28, 2025 if the Company’s Term Loan has not been repaid or refinanced by such date).</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Term Loan provides for a senior secured term loan credit facility in the original principal amount of $275.0 million, which matures on February 28, 2025. On December 29, 2022, the Company entered into Amendment No. 1 to the Term Loan, which replaces the LIBOR-based interest rates with SOFR-based interest rates and modifies the provisions for determining the alternative rate of interest upon the occurrence of certain events relating to the availability of interest rate benchmarks. The Term Loan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An estimate of the amount of the Excess Cash Flow payment is recorded in current maturity of term loan on the consolidated balance sheets. Additionally, the Term Loan requires quarterly payments, which commenced on June 30, 2018, of principal equal to 0.25%, of the original aggregate principal amount of the Term Loan facility, which payments are to be adjusted from time to time to account for prepayments made. Per the Term Loan, when the Company makes an Excess Cash Flow payment, the payment is first applied to satisfy the next eight scheduled future quarterly required payments of the Term Loan in order of maturity and then to the remaining scheduled installments on a pro rata basis. The quarterly principal payments have been satisfied through maturity of the Term Loan by the annual Excess Cash Flow payments made to date.</w:t>
      </w:r>
    </w:p>
    <w:p>
      <w:pPr>
        <w:spacing w:after="0" w:line="17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The maximum borrowing amount under the ABL Agreement may be increased to up to $250.0 million if certain conditions are met but limited to $220.0 million pursuant to the Term Loan.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3.75 to 1.00, subject to certain limitations and for the period defined pursuant to the Term Loan but not to mature earlier than the maturity date of the then existing term loans.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2022 and 2021, the total availability under the ABL Agreement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160" w:type="dxa"/>
            <w:vAlign w:val="bottom"/>
          </w:tcPr>
          <w:p>
            <w:pPr>
              <w:spacing w:after="0"/>
              <w:rPr>
                <w:sz w:val="17"/>
                <w:szCs w:val="17"/>
                <w:color w:val="auto"/>
              </w:rPr>
            </w:pPr>
          </w:p>
        </w:tc>
        <w:tc>
          <w:tcPr>
            <w:tcW w:w="152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189,411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r>
      <w:tr>
        <w:trPr>
          <w:trHeight w:val="219"/>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Outstanding borrowings under the ABL Agreement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(3,659)</w:t>
            </w: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176,222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146,341</w:t>
            </w: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mean that the Company may have greater borrowing availability during the third and fourth quarters of each year. Consequently, the $200.0 million commitment thereunder may not represent actual borrowing capacity.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current and non-current portions of the Company’s Term Loan facility included in the consolidated balance sheets are presented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300" w:type="dxa"/>
            <w:vAlign w:val="bottom"/>
          </w:tcPr>
          <w:p>
            <w:pPr>
              <w:spacing w:after="0"/>
              <w:rPr>
                <w:sz w:val="17"/>
                <w:szCs w:val="17"/>
                <w:color w:val="auto"/>
              </w:rPr>
            </w:pPr>
          </w:p>
        </w:tc>
        <w:tc>
          <w:tcPr>
            <w:tcW w:w="1960" w:type="dxa"/>
            <w:vAlign w:val="bottom"/>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8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Term Loan facility:</w:t>
            </w:r>
          </w:p>
        </w:tc>
        <w:tc>
          <w:tcPr>
            <w:tcW w:w="32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r>
      <w:tr>
        <w:trPr>
          <w:trHeight w:val="219"/>
        </w:trPr>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Estimated Excess Cash Flow principal payment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7,200</w:t>
            </w:r>
          </w:p>
        </w:tc>
      </w:tr>
      <w:tr>
        <w:trPr>
          <w:trHeight w:val="21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Estimated unamortized debt issuance costs</w:t>
            </w:r>
          </w:p>
        </w:tc>
        <w:tc>
          <w:tcPr>
            <w:tcW w:w="3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w:t>
            </w:r>
          </w:p>
        </w:tc>
      </w:tr>
      <w:tr>
        <w:trPr>
          <w:trHeight w:val="212"/>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portion of Term Loan facility</w:t>
            </w:r>
          </w:p>
        </w:tc>
        <w:tc>
          <w:tcPr>
            <w:tcW w:w="32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5,771</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72"/>
        </w:trPr>
        <w:tc>
          <w:tcPr>
            <w:tcW w:w="6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Non-current portion of Term Loan facility:</w:t>
            </w: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2"/>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Term Loan facility, net of current portion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244,927</w:t>
            </w:r>
          </w:p>
        </w:tc>
      </w:tr>
      <w:tr>
        <w:trPr>
          <w:trHeight w:val="219"/>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Estimated unamortized debt issuance costs</w:t>
            </w: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(3,054)</w:t>
            </w:r>
          </w:p>
        </w:tc>
      </w:tr>
      <w:tr>
        <w:trPr>
          <w:trHeight w:val="237"/>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Non-current portion of Term Loan facility</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241,873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As of December 31, 2022, there is no Excess Cash Flow Payment due for 2023. The 2022 Excess Cash Flow payment, paid on March 30, 2022, totaled $6.2 million. The Excess Cash Flow payment differs from the estimated amount at December 31, 2021 of $7.2 million as certain lenders opted to decline their payments per the terms of the Term Loan.</w:t>
      </w:r>
    </w:p>
    <w:p>
      <w:pPr>
        <w:spacing w:after="0" w:line="1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consists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spacing w:after="0" w:line="38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SOFR plus 1.0% as of a specified date in advance of the determination, but in each case not less than 1.0%, plus a margin of 0.25% to 0.5%,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 The respective margins are based upon average quarterly availability, as defined in and computed pursuant to the ABL</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Agreement. In addition, the Company pays a commitment fee of 0.20% to 0.25% per annum based on the average daily unused portion of the aggregate commitment under the ABL Agreement. The interest rate on outstanding borrowings under the ABL Agreement at December 31, 2022 was 3.43%. In addition, the Company paid a commitment fee of 0.25% to 0.375% on the unused portion of the ABL Agreement during the year ended December 31, 2022.</w:t>
      </w:r>
    </w:p>
    <w:p>
      <w:pPr>
        <w:spacing w:after="0" w:line="16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Term Loan facility bears interest, at the Company’s option, at one of the following rates: (i) alternate base rate, defined, for any day, as the greater of (x) the prime rate, (y) a federal funds and overnight bank funding based rate plus 0.50% or (z) one-month Adjusted Term SOFR, but not less than 1.0%, plus 1.0%, plus a margin of 2.5% or (ii) SOFR for the applicable interest period, multiplied by any statutory reserve rate, but not less than 1.0%, plus a margin of 3.5%. The interest rate on outstanding borrowings under the Term Loan at December 31, 2022 was 7.9%.</w:t>
      </w:r>
    </w:p>
    <w:p>
      <w:pPr>
        <w:spacing w:after="0" w:line="17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Debt Agreements provide for customary restrictions and events of default. Restrictions include limitations on additional indebtedness, liens,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was in compliance with the covenants of the Debt Agreements at December 31, 2022.</w:t>
      </w:r>
    </w:p>
    <w:p>
      <w:pPr>
        <w:spacing w:after="0" w:line="21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Prior to the amendment of the credit agreement, the Company’s ABL provided for an aggregate principal amount of $150.0 million. Upon entering into the Amendment to the ABL Agreement the Company repaid its outstanding ABL borrowing in the amount of $32.0 million and re-borrowed such amounts under the ABL Agreement, as amended. Unamortized debt issuance costs that were written off were immaterial.</w:t>
      </w:r>
    </w:p>
    <w:p>
      <w:pPr>
        <w:spacing w:after="0" w:line="165"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The Company expects that it will continue to borrow, subject to availability, and repay funds under the ABL Agreement based on working capital and other corporate needs.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Credit Agreements</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 subsidiary of the Company holds a credit facility (“HSBC Facility”) with HSBC Bank (China) Company Limited, Shanghai Branch (“HSBC”) for up to $10.0 million Chinese renminbi ($1.5 million). The HSBC Facility is subject to annual renewal and may be used to fund general working capital needs of the Company’s subsidiary, which is a trading company in China. Borrowings under the HSBC Facility were guaranteed by the Company and were granted at the sole discretion of HSBC. No borrowings were outstanding under the HSBC Facility at December 31, 2022 and 2021.</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DERIVATIVES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Swap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net total outstanding notional value of interest rate swaps was $50 million at December 31, 2022.</w:t>
      </w:r>
    </w:p>
    <w:p>
      <w:pPr>
        <w:spacing w:after="0" w:line="21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was $25.0 million at December 31, 2022.</w:t>
      </w:r>
    </w:p>
    <w:p>
      <w:pPr>
        <w:spacing w:after="0" w:line="16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In June 2019, the Company entered into additional interest rate swap agreements, with an aggregate notional value of $25.0 million at December 31, 2022. These non-designated interest rate swaps serve as cash flow hedges of the Company’s exposure to the variability of the payment of interest on a portion of its Term Loan borrowings and expire in February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Contracts</w:t>
      </w:r>
    </w:p>
    <w:p>
      <w:pPr>
        <w:spacing w:after="0" w:line="11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December 31, 2022 and 2021 was $6.3 million and $22.6 million, respectively.</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Company is exposed to market risks, as well as changes in foreign currency exchange rates, as measured against the USD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December 31, 2022, the Company does not have any foreign currency forward contract derivatives that are not designated as hedges. These foreign exchange contracts have been designated as hedges in to order to apply hedge accounting.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values of the Company’s derivative financial instruments included in the consolidated balance sheets are presented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5"/>
                <w:szCs w:val="15"/>
                <w:color w:val="auto"/>
              </w:rPr>
            </w:pPr>
          </w:p>
        </w:tc>
      </w:tr>
      <w:tr>
        <w:trPr>
          <w:trHeight w:val="19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4580" w:type="dxa"/>
            <w:vAlign w:val="bottom"/>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Pr>
          <w:p>
            <w:pPr>
              <w:spacing w:after="0"/>
              <w:rPr>
                <w:sz w:val="16"/>
                <w:szCs w:val="16"/>
                <w:color w:val="auto"/>
              </w:rPr>
            </w:pP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374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2"/>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rate swaps</w:t>
            </w:r>
          </w:p>
        </w:tc>
        <w:tc>
          <w:tcPr>
            <w:tcW w:w="44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rate swaps</w:t>
            </w:r>
          </w:p>
        </w:tc>
        <w:tc>
          <w:tcPr>
            <w:tcW w:w="45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19"/>
        </w:trPr>
        <w:tc>
          <w:tcPr>
            <w:tcW w:w="374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19"/>
        </w:trPr>
        <w:tc>
          <w:tcPr>
            <w:tcW w:w="3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45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19"/>
        </w:trPr>
        <w:tc>
          <w:tcPr>
            <w:tcW w:w="374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87"/>
        </w:trPr>
        <w:tc>
          <w:tcPr>
            <w:tcW w:w="37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24"/>
                <w:szCs w:val="24"/>
                <w:color w:val="auto"/>
              </w:rPr>
            </w:pPr>
          </w:p>
        </w:tc>
      </w:tr>
      <w:tr>
        <w:trPr>
          <w:trHeight w:val="19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4580" w:type="dxa"/>
            <w:vAlign w:val="bottom"/>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Pr>
          <w:p>
            <w:pPr>
              <w:spacing w:after="0"/>
              <w:rPr>
                <w:sz w:val="16"/>
                <w:szCs w:val="16"/>
                <w:color w:val="auto"/>
              </w:rPr>
            </w:pP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374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2"/>
        </w:trPr>
        <w:tc>
          <w:tcPr>
            <w:tcW w:w="37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rate swaps</w:t>
            </w:r>
          </w:p>
        </w:tc>
        <w:tc>
          <w:tcPr>
            <w:tcW w:w="44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rate swaps</w:t>
            </w:r>
          </w:p>
        </w:tc>
        <w:tc>
          <w:tcPr>
            <w:tcW w:w="45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w:t>
            </w:r>
          </w:p>
        </w:tc>
      </w:tr>
    </w:tbl>
    <w:p>
      <w:pPr>
        <w:spacing w:after="0" w:line="263"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The fair value of the interest rate swaps have been obtained from the counterparties to the agreements and were based on Level 2 observable inputs using proprietary models and estimates about relevant future market conditions. The fair value of the foreign exchange contracts were based on Level 2 observable inputs using quoted market prices for similar assets in an active market.</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151"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7"/>
          <w:szCs w:val="17"/>
          <w:color w:val="auto"/>
        </w:rPr>
        <w:t>The amounts of the gains and (losses), realized and unrealized, net of taxes, related to the Company’s derivative financial instruments designated as hedging instruments are recognized in other comprehensive (loss) income as follows (in thousands):</w:t>
      </w:r>
    </w:p>
    <w:tbl>
      <w:tblPr>
        <w:tblLayout w:type="fixed"/>
        <w:tblInd w:w="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3"/>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00" w:type="dxa"/>
            <w:vAlign w:val="bottom"/>
          </w:tcPr>
          <w:p>
            <w:pPr>
              <w:spacing w:after="0"/>
              <w:rPr>
                <w:sz w:val="16"/>
                <w:szCs w:val="16"/>
                <w:color w:val="auto"/>
              </w:rPr>
            </w:pPr>
          </w:p>
        </w:tc>
        <w:tc>
          <w:tcPr>
            <w:tcW w:w="90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7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rate swaps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w:t>
            </w:r>
          </w:p>
        </w:tc>
      </w:tr>
      <w:tr>
        <w:trPr>
          <w:trHeight w:val="219"/>
        </w:trPr>
        <w:tc>
          <w:tcPr>
            <w:tcW w:w="7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37"/>
        </w:trPr>
        <w:tc>
          <w:tcPr>
            <w:tcW w:w="7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Realized gains and losses on the interest rate swaps that are reported in other comprehensive (loss) income are reclassified into earnings as the interest expense on the debt is recognized. The Company had no terminated or matured interest rate swaps during the year ended December 31, 2022.</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Realized gains and losses on foreign exchange contracts that are reported in other comprehensive (loss) income are reclassified into cost of sales as the underlying inventory purchased is sold.</w:t>
      </w:r>
    </w:p>
    <w:p>
      <w:pPr>
        <w:spacing w:after="0" w:line="15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2022, the Company reclassified $1.3 million of cash flow hedges in accumulated other comprehensive losses to earnings. This comprised of a charge of $0.3 million related to interest rate swaps recognized in interest expense and a gain of $1.6 million related to foreign exchange contracts recognized in cost of sales. At December 31, 2022, the estimated amount of existing net gains expected to be reclassified into earnings within the next 12 months was $0.8 million.</w:t>
      </w:r>
    </w:p>
    <w:p>
      <w:pPr>
        <w:spacing w:after="0" w:line="171"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2021, the Company reclassified $1.5 million of cash flow hedges in accumulated other comprehensive losses to earnings. This comprised of a charge of $0.9 million related to interest rate swaps recognized in interest expense and a loss of $0.6 million related to foreign exchange contracts recognized in cost of sales.</w:t>
      </w:r>
    </w:p>
    <w:p>
      <w:pPr>
        <w:spacing w:after="0" w:line="16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The amounts of the gains and losses related to the Company’s derivative financial instruments not designated as hedging instruments are recognized in earnings as follows (in thousands):</w:t>
      </w:r>
    </w:p>
    <w:tbl>
      <w:tblPr>
        <w:tblLayout w:type="fixed"/>
        <w:tblInd w:w="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6"/>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472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Location of Gain or (Loss)</w:t>
            </w:r>
          </w:p>
        </w:tc>
        <w:tc>
          <w:tcPr>
            <w:tcW w:w="240" w:type="dxa"/>
            <w:vAlign w:val="bottom"/>
          </w:tcPr>
          <w:p>
            <w:pPr>
              <w:spacing w:after="0"/>
              <w:rPr>
                <w:sz w:val="16"/>
                <w:szCs w:val="16"/>
                <w:color w:val="auto"/>
              </w:rPr>
            </w:pPr>
          </w:p>
        </w:tc>
        <w:tc>
          <w:tcPr>
            <w:tcW w:w="8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rate swaps</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Mark to market gain (loss) on interest rate derivatives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1,971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w:t>
            </w:r>
          </w:p>
        </w:tc>
        <w:tc>
          <w:tcPr>
            <w:tcW w:w="0" w:type="dxa"/>
            <w:vAlign w:val="bottom"/>
          </w:tcPr>
          <w:p>
            <w:pPr>
              <w:spacing w:after="0"/>
              <w:rPr>
                <w:sz w:val="1"/>
                <w:szCs w:val="1"/>
                <w:color w:val="auto"/>
              </w:rPr>
            </w:pPr>
          </w:p>
        </w:tc>
      </w:tr>
      <w:tr>
        <w:trPr>
          <w:trHeight w:val="219"/>
        </w:trPr>
        <w:tc>
          <w:tcPr>
            <w:tcW w:w="318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1,916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gridSpan w:val="2"/>
            <w:vMerge w:val="restart"/>
          </w:tcPr>
          <w:p>
            <w:pPr>
              <w:ind w:left="228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-28</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7"/>
        </w:trPr>
        <w:tc>
          <w:tcPr>
            <w:tcW w:w="3180" w:type="dxa"/>
            <w:vAlign w:val="bottom"/>
          </w:tcPr>
          <w:p>
            <w:pPr>
              <w:spacing w:after="0"/>
              <w:rPr>
                <w:sz w:val="24"/>
                <w:szCs w:val="24"/>
                <w:color w:val="auto"/>
              </w:rPr>
            </w:pPr>
          </w:p>
        </w:tc>
        <w:tc>
          <w:tcPr>
            <w:tcW w:w="47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180" w:type="dxa"/>
            <w:vAlign w:val="bottom"/>
            <w:tcBorders>
              <w:bottom w:val="single" w:sz="8" w:color="9A9A9A"/>
            </w:tcBorders>
          </w:tcPr>
          <w:p>
            <w:pPr>
              <w:spacing w:after="0"/>
              <w:rPr>
                <w:sz w:val="9"/>
                <w:szCs w:val="9"/>
                <w:color w:val="auto"/>
              </w:rPr>
            </w:pPr>
          </w:p>
        </w:tc>
        <w:tc>
          <w:tcPr>
            <w:tcW w:w="4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CAPITAL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Dividends were declared in 2022 and 2021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29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90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Date of record</w:t>
            </w:r>
          </w:p>
        </w:tc>
        <w:tc>
          <w:tcPr>
            <w:tcW w:w="25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Payment date</w:t>
            </w:r>
          </w:p>
        </w:tc>
      </w:tr>
      <w:tr>
        <w:trPr>
          <w:trHeight w:val="22"/>
        </w:trPr>
        <w:tc>
          <w:tcPr>
            <w:tcW w:w="2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9, 2021</w:t>
            </w:r>
          </w:p>
        </w:tc>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3, 2021</w:t>
            </w:r>
          </w:p>
        </w:tc>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17, 2021</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24, 2021</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2, 2021</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16, 2021</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August 3, 2021</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 2021</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15, 2021</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2, 2021</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January 31, 2022</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14, 2022</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8, 2022</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2, 2022</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16, 2022</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23, 2022</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2022</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15, 2022</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August 2, 2022</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 2022</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23"/>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1, 2022</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1, 2023</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15, 2023</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8, 2023, the Board of Directors declared a quarterly dividend of $0.0425 per share payable on May 15, 2023 to shareholders of record on May 1,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repurchase program</w:t>
      </w:r>
    </w:p>
    <w:p>
      <w:pPr>
        <w:spacing w:after="0" w:line="11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7"/>
          <w:szCs w:val="17"/>
          <w:color w:val="auto"/>
        </w:rPr>
        <w:t>On March 14, 2022, the Company announced that its Board of Directors of the Company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During the year ended December 31, 2022, the Company repurchased 597,195 shares for a total costs of $6.3 million, and thereafter retired the shares. No shares were repurchased during the years ended December 31, 2021 and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Company is authorized to issue 100 shares of Series A Preferred Stock and 2,000,000 shares of Series B Preferred Stock, none of which has been issued or is outstanding at December 31,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incentive plan</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Company’s Amended and Restated 2000 Long-Term Incentive Plan (the “Plan”) provides for the granting of awards of up to 8,217,500 shares of common stock. These shares of the Company’s common stock are available for grants to directors, officers, employees, consultants and service providers and affiliates in the form of stock options or other equity-based awards. The Plan authorizes the Board of Directors of the Company, or a duly appointed committee thereof, to issue incentive stock options, non-qualified options, restricted stock, performance-based awards and other stock-based awards. Options that have been granted under the Plan expire over a range of 5 years to 10 years from the date of grant and vest over a range of up to 4 years from the date of grant. Shares of restricted stock that have been granted under the Plan vest over a range of up to 4 years from the date of grant. Performance-based awards that have been granted under the Plan vest after 3 years based upon the attainment of specified performance goals. On June 23, 2022, the shareholders of the Company approved an amendment and restatement of the Company’s Amended and Restated 2000 Long Term Incentive Plan (the “Plan”). The amendment and restatement of the Plan revised the terms and conditions of the Plan to, among other things, increase the shares available for grant under the Plan by 1,180,000 shares. As of December 31, 2022, there were 1,133,958 shares available for the grant of awards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stock option activity and related information for the three years ended December 31, 2022,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60" w:type="dxa"/>
            <w:vAlign w:val="bottom"/>
          </w:tcPr>
          <w:p>
            <w:pPr>
              <w:spacing w:after="0"/>
              <w:rPr>
                <w:sz w:val="13"/>
                <w:szCs w:val="13"/>
                <w:color w:val="auto"/>
              </w:rPr>
            </w:pPr>
          </w:p>
        </w:tc>
        <w:tc>
          <w:tcPr>
            <w:tcW w:w="1100" w:type="dxa"/>
            <w:vAlign w:val="bottom"/>
            <w:vMerge w:val="restart"/>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0"/>
        </w:trPr>
        <w:tc>
          <w:tcPr>
            <w:tcW w:w="5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average</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3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60" w:type="dxa"/>
            <w:vAlign w:val="bottom"/>
          </w:tcPr>
          <w:p>
            <w:pPr>
              <w:spacing w:after="0"/>
              <w:rPr>
                <w:sz w:val="11"/>
                <w:szCs w:val="11"/>
                <w:color w:val="auto"/>
              </w:rPr>
            </w:pPr>
          </w:p>
        </w:tc>
        <w:tc>
          <w:tcPr>
            <w:tcW w:w="1100" w:type="dxa"/>
            <w:vAlign w:val="bottom"/>
          </w:tcPr>
          <w:p>
            <w:pPr>
              <w:jc w:val="center"/>
              <w:ind w:right="86"/>
              <w:spacing w:after="0" w:line="12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26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13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60" w:type="dxa"/>
            <w:vAlign w:val="bottom"/>
          </w:tcPr>
          <w:p>
            <w:pPr>
              <w:spacing w:after="0"/>
              <w:rPr>
                <w:sz w:val="12"/>
                <w:szCs w:val="12"/>
                <w:color w:val="auto"/>
              </w:rPr>
            </w:pPr>
          </w:p>
        </w:tc>
        <w:tc>
          <w:tcPr>
            <w:tcW w:w="1100" w:type="dxa"/>
            <w:vAlign w:val="bottom"/>
          </w:tcPr>
          <w:p>
            <w:pPr>
              <w:jc w:val="center"/>
              <w:ind w:right="66"/>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6"/>
                <w:szCs w:val="16"/>
                <w:color w:val="auto"/>
              </w:rPr>
            </w:pPr>
          </w:p>
        </w:tc>
        <w:tc>
          <w:tcPr>
            <w:tcW w:w="110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17"/>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December 31,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1,508,325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Exercises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Expirations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December 31, 2020</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1,286,900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tcPr>
          <w:p>
            <w:pPr>
              <w:ind w:left="320"/>
              <w:spacing w:after="0" w:line="219" w:lineRule="exact"/>
              <w:rPr>
                <w:sz w:val="20"/>
                <w:szCs w:val="20"/>
                <w:color w:val="auto"/>
              </w:rPr>
            </w:pPr>
            <w:r>
              <w:rPr>
                <w:rFonts w:ascii="Times New Roman" w:cs="Times New Roman" w:eastAsia="Times New Roman" w:hAnsi="Times New Roman"/>
                <w:sz w:val="17"/>
                <w:szCs w:val="17"/>
                <w:color w:val="auto"/>
              </w:rPr>
              <w:t>Exercises</w:t>
            </w:r>
            <w:r>
              <w:rPr>
                <w:rFonts w:ascii="Times New Roman" w:cs="Times New Roman" w:eastAsia="Times New Roman" w:hAnsi="Times New Roman"/>
                <w:sz w:val="22"/>
                <w:szCs w:val="22"/>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(236,325)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Expirations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December 31, 2021</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1,094,575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Exercises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Expirations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December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1,065,750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Options exercisable at December 31, 2022</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00" w:type="dxa"/>
            <w:vAlign w:val="bottom"/>
            <w:vMerge w:val="continue"/>
          </w:tcPr>
          <w:p>
            <w:pPr>
              <w:spacing w:after="0"/>
              <w:rPr>
                <w:sz w:val="16"/>
                <w:szCs w:val="16"/>
                <w:color w:val="auto"/>
              </w:rPr>
            </w:pPr>
          </w:p>
        </w:tc>
        <w:tc>
          <w:tcPr>
            <w:tcW w:w="12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957,125</w:t>
            </w:r>
          </w:p>
        </w:tc>
        <w:tc>
          <w:tcPr>
            <w:tcW w:w="320" w:type="dxa"/>
            <w:vAlign w:val="bottom"/>
            <w:gridSpan w:val="2"/>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13.92</w:t>
            </w:r>
          </w:p>
        </w:tc>
        <w:tc>
          <w:tcPr>
            <w:tcW w:w="1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140" w:hanging="137"/>
        <w:spacing w:after="0"/>
        <w:tabs>
          <w:tab w:leader="none" w:pos="14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the exercise of 2,000 options settled in cash in accordance with the Company’s Amended and Restated 2000 Long-Term Incentive Plan ("the Plan").</w:t>
      </w:r>
    </w:p>
    <w:p>
      <w:pPr>
        <w:spacing w:after="0" w:line="18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The aggregate intrinsic value in the table above represents the total pre-tax intrinsic value that would have been received by the option holders had all option holders exercised their exercisable in-the-money stock options on December 31, 2022. The intrinsic value is calculated for each in-the-money stock option as the difference between the closing price of the Company’s common stock on December 31, 2022 and the exercise price.</w:t>
      </w:r>
    </w:p>
    <w:p>
      <w:pPr>
        <w:spacing w:after="0" w:line="16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total intrinsic value of those stock options that were exercised in the year ended December 31, 2022 was $0.1 million. The total intrinsic values of those stock options that were exercised in the year ended December 31, 2021 was $0.8 million and in the year ended December 31, 2020 was less than $0.1 million. The intrinsic value of a stock option that is exercised is calculated at the date of exercise.</w:t>
      </w:r>
    </w:p>
    <w:p>
      <w:pPr>
        <w:spacing w:after="0" w:line="16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Total unrecognized stock option compensation expense at December 31, 2022, before the effect of income taxes, was $0.5 million and is expected to be recognized over a weighted-average period of 1.9 years.</w:t>
      </w:r>
    </w:p>
    <w:p>
      <w:pPr>
        <w:spacing w:after="0" w:line="15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 values stock options using the Black-Scholes option valuation model. The Black-Scholes option valuation model, as well as other available models, was developed for use in estimating the fair value of traded options, which have no vesting restrictions and are fully transferable. The Black-Scholes option valuation model requires the input of highly subjective assumptions including the expected stock price volatility and risk-free interest rate. Because the Company’s stock options have characteristics significantly different from those of traded options, changes in the subjective input assumptions can materially affect the fair value estimates of the Company’s stock options. The weighted-average per share grant date fair value of stock options granted during the years ended December 31, 2022, 2021 and 2020, was $5.44, $6.31 and $2.26,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values for these stock options were estimated at the dates of grant using the following weighted-average assumptions: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gridSpan w:val="2"/>
          </w:tcPr>
          <w:p>
            <w:pPr>
              <w:ind w:left="750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r>
      <w:tr>
        <w:trPr>
          <w:trHeight w:val="22"/>
        </w:trPr>
        <w:tc>
          <w:tcPr>
            <w:tcW w:w="6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Historical volatility</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20" w:type="dxa"/>
            <w:vAlign w:val="bottom"/>
          </w:tcPr>
          <w:p>
            <w:pPr>
              <w:spacing w:after="0"/>
              <w:rPr>
                <w:sz w:val="18"/>
                <w:szCs w:val="18"/>
                <w:color w:val="auto"/>
              </w:rPr>
            </w:pPr>
          </w:p>
        </w:tc>
      </w:tr>
      <w:tr>
        <w:trPr>
          <w:trHeight w:val="21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19"/>
                <w:szCs w:val="19"/>
                <w:color w:val="auto"/>
              </w:rPr>
            </w:pPr>
          </w:p>
        </w:tc>
      </w:tr>
      <w:tr>
        <w:trPr>
          <w:trHeight w:val="21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3.15 %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0.45 %</w:t>
            </w:r>
          </w:p>
        </w:tc>
        <w:tc>
          <w:tcPr>
            <w:tcW w:w="20" w:type="dxa"/>
            <w:vAlign w:val="bottom"/>
          </w:tcPr>
          <w:p>
            <w:pPr>
              <w:spacing w:after="0"/>
              <w:rPr>
                <w:sz w:val="19"/>
                <w:szCs w:val="19"/>
                <w:color w:val="auto"/>
              </w:rPr>
            </w:pP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1.48 %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1.20 %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2.67 %</w:t>
            </w:r>
          </w:p>
        </w:tc>
        <w:tc>
          <w:tcPr>
            <w:tcW w:w="20" w:type="dxa"/>
            <w:vAlign w:val="bottom"/>
          </w:tcPr>
          <w:p>
            <w:pPr>
              <w:spacing w:after="0"/>
              <w:rPr>
                <w:sz w:val="19"/>
                <w:szCs w:val="19"/>
                <w:color w:val="auto"/>
              </w:rPr>
            </w:pPr>
          </w:p>
        </w:tc>
      </w:tr>
      <w:tr>
        <w:trPr>
          <w:trHeight w:val="706"/>
        </w:trPr>
        <w:tc>
          <w:tcPr>
            <w:tcW w:w="7780" w:type="dxa"/>
            <w:vAlign w:val="bottom"/>
            <w:gridSpan w:val="2"/>
          </w:tcPr>
          <w:p>
            <w:pPr>
              <w:ind w:left="546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69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restricted stock activity and related information for the three years ended December 31, 2022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0"/>
        </w:trPr>
        <w:tc>
          <w:tcPr>
            <w:tcW w:w="8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9"/>
              <w:spacing w:after="0" w:line="141" w:lineRule="exact"/>
              <w:rPr>
                <w:sz w:val="20"/>
                <w:szCs w:val="20"/>
                <w:color w:val="auto"/>
              </w:rPr>
            </w:pPr>
            <w:r>
              <w:rPr>
                <w:rFonts w:ascii="Times New Roman" w:cs="Times New Roman" w:eastAsia="Times New Roman" w:hAnsi="Times New Roman"/>
                <w:sz w:val="14"/>
                <w:szCs w:val="14"/>
                <w:b w:val="1"/>
                <w:bCs w:val="1"/>
                <w:color w:val="auto"/>
                <w:w w:val="94"/>
              </w:rPr>
              <w:t>average</w:t>
            </w:r>
          </w:p>
        </w:tc>
        <w:tc>
          <w:tcPr>
            <w:tcW w:w="0" w:type="dxa"/>
            <w:vAlign w:val="bottom"/>
          </w:tcPr>
          <w:p>
            <w:pPr>
              <w:spacing w:after="0"/>
              <w:rPr>
                <w:sz w:val="1"/>
                <w:szCs w:val="1"/>
                <w:color w:val="auto"/>
              </w:rPr>
            </w:pPr>
          </w:p>
        </w:tc>
      </w:tr>
      <w:tr>
        <w:trPr>
          <w:trHeight w:val="130"/>
        </w:trPr>
        <w:tc>
          <w:tcPr>
            <w:tcW w:w="8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w w:val="97"/>
              </w:rPr>
              <w:t>grant</w:t>
            </w:r>
          </w:p>
        </w:tc>
        <w:tc>
          <w:tcPr>
            <w:tcW w:w="0" w:type="dxa"/>
            <w:vAlign w:val="bottom"/>
          </w:tcPr>
          <w:p>
            <w:pPr>
              <w:spacing w:after="0"/>
              <w:rPr>
                <w:sz w:val="1"/>
                <w:szCs w:val="1"/>
                <w:color w:val="auto"/>
              </w:rPr>
            </w:pPr>
          </w:p>
        </w:tc>
      </w:tr>
      <w:tr>
        <w:trPr>
          <w:trHeight w:val="142"/>
        </w:trPr>
        <w:tc>
          <w:tcPr>
            <w:tcW w:w="8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9"/>
              <w:spacing w:after="0" w:line="142" w:lineRule="exact"/>
              <w:rPr>
                <w:sz w:val="20"/>
                <w:szCs w:val="20"/>
                <w:color w:val="auto"/>
              </w:rPr>
            </w:pPr>
            <w:r>
              <w:rPr>
                <w:rFonts w:ascii="Times New Roman" w:cs="Times New Roman" w:eastAsia="Times New Roman" w:hAnsi="Times New Roman"/>
                <w:sz w:val="14"/>
                <w:szCs w:val="14"/>
                <w:b w:val="1"/>
                <w:bCs w:val="1"/>
                <w:color w:val="auto"/>
                <w:w w:val="93"/>
              </w:rPr>
              <w:t>date</w:t>
            </w:r>
          </w:p>
        </w:tc>
        <w:tc>
          <w:tcPr>
            <w:tcW w:w="0" w:type="dxa"/>
            <w:vAlign w:val="bottom"/>
          </w:tcPr>
          <w:p>
            <w:pPr>
              <w:spacing w:after="0"/>
              <w:rPr>
                <w:sz w:val="1"/>
                <w:szCs w:val="1"/>
                <w:color w:val="auto"/>
              </w:rPr>
            </w:pPr>
          </w:p>
        </w:tc>
      </w:tr>
      <w:tr>
        <w:trPr>
          <w:trHeight w:val="187"/>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restricted shares, December 31, 2019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593,341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534,940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restricted shares, December 31, 2020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795,587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restricted shares, December 31, 2021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restricted shares, December 31, 2022</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484,143</w:t>
            </w:r>
          </w:p>
        </w:tc>
        <w:tc>
          <w:tcPr>
            <w:tcW w:w="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unrecognized compensation expense remaining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40" w:type="dxa"/>
            <w:vAlign w:val="bottom"/>
            <w:vMerge w:val="continue"/>
          </w:tcPr>
          <w:p>
            <w:pPr>
              <w:spacing w:after="0"/>
              <w:rPr>
                <w:sz w:val="16"/>
                <w:szCs w:val="16"/>
                <w:color w:val="auto"/>
              </w:rPr>
            </w:pPr>
          </w:p>
        </w:tc>
        <w:tc>
          <w:tcPr>
            <w:tcW w:w="2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4,089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years expected to be recognized over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fair value of restricted stock that vested during the year ended December 31, 2022 was $2.4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shares</w:t>
      </w:r>
    </w:p>
    <w:p>
      <w:pPr>
        <w:spacing w:after="0" w:line="118" w:lineRule="exact"/>
        <w:rPr>
          <w:sz w:val="20"/>
          <w:szCs w:val="20"/>
          <w:color w:val="auto"/>
        </w:rPr>
      </w:pPr>
    </w:p>
    <w:p>
      <w:pPr>
        <w:jc w:val="both"/>
        <w:ind w:right="460"/>
        <w:spacing w:after="0" w:line="270" w:lineRule="auto"/>
        <w:rPr>
          <w:sz w:val="20"/>
          <w:szCs w:val="20"/>
          <w:color w:val="auto"/>
        </w:rPr>
      </w:pPr>
      <w:r>
        <w:rPr>
          <w:rFonts w:ascii="Times New Roman" w:cs="Times New Roman" w:eastAsia="Times New Roman" w:hAnsi="Times New Roman"/>
          <w:sz w:val="17"/>
          <w:szCs w:val="17"/>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Plan.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performance-based award activity and related information for the three years ended December 31, 2022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0"/>
        </w:trPr>
        <w:tc>
          <w:tcPr>
            <w:tcW w:w="8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Performance -</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9"/>
              <w:spacing w:after="0" w:line="141"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30"/>
        </w:trPr>
        <w:tc>
          <w:tcPr>
            <w:tcW w:w="8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79"/>
              <w:spacing w:after="0" w:line="131" w:lineRule="exact"/>
              <w:rPr>
                <w:sz w:val="20"/>
                <w:szCs w:val="20"/>
                <w:color w:val="auto"/>
              </w:rPr>
            </w:pPr>
            <w:r>
              <w:rPr>
                <w:rFonts w:ascii="Times New Roman" w:cs="Times New Roman" w:eastAsia="Times New Roman" w:hAnsi="Times New Roman"/>
                <w:sz w:val="14"/>
                <w:szCs w:val="14"/>
                <w:b w:val="1"/>
                <w:bCs w:val="1"/>
                <w:color w:val="auto"/>
                <w:w w:val="97"/>
              </w:rPr>
              <w:t>grant</w:t>
            </w:r>
          </w:p>
        </w:tc>
        <w:tc>
          <w:tcPr>
            <w:tcW w:w="0" w:type="dxa"/>
            <w:vAlign w:val="bottom"/>
          </w:tcPr>
          <w:p>
            <w:pPr>
              <w:spacing w:after="0"/>
              <w:rPr>
                <w:sz w:val="1"/>
                <w:szCs w:val="1"/>
                <w:color w:val="auto"/>
              </w:rPr>
            </w:pPr>
          </w:p>
        </w:tc>
      </w:tr>
      <w:tr>
        <w:trPr>
          <w:trHeight w:val="140"/>
        </w:trPr>
        <w:tc>
          <w:tcPr>
            <w:tcW w:w="8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7"/>
              <w:spacing w:after="0" w:line="141" w:lineRule="exact"/>
              <w:rPr>
                <w:sz w:val="20"/>
                <w:szCs w:val="20"/>
                <w:color w:val="auto"/>
              </w:rPr>
            </w:pPr>
            <w:r>
              <w:rPr>
                <w:rFonts w:ascii="Times New Roman" w:cs="Times New Roman" w:eastAsia="Times New Roman" w:hAnsi="Times New Roman"/>
                <w:sz w:val="14"/>
                <w:szCs w:val="14"/>
                <w:b w:val="1"/>
                <w:bCs w:val="1"/>
                <w:color w:val="auto"/>
                <w:w w:val="99"/>
              </w:rPr>
              <w:t>based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9"/>
              <w:spacing w:after="0" w:line="141"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performance-based awards, December 31, 2019</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0" w:type="dxa"/>
            <w:vAlign w:val="bottom"/>
          </w:tcPr>
          <w:p>
            <w:pPr>
              <w:spacing w:after="0"/>
              <w:rPr>
                <w:sz w:val="1"/>
                <w:szCs w:val="1"/>
                <w:color w:val="auto"/>
              </w:rPr>
            </w:pPr>
          </w:p>
        </w:tc>
      </w:tr>
      <w:tr>
        <w:trPr>
          <w:trHeight w:val="219"/>
        </w:trPr>
        <w:tc>
          <w:tcPr>
            <w:tcW w:w="8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w:t>
            </w:r>
          </w:p>
        </w:tc>
        <w:tc>
          <w:tcPr>
            <w:tcW w:w="0" w:type="dxa"/>
            <w:vAlign w:val="bottom"/>
          </w:tcPr>
          <w:p>
            <w:pPr>
              <w:spacing w:after="0"/>
              <w:rPr>
                <w:sz w:val="1"/>
                <w:szCs w:val="1"/>
                <w:color w:val="auto"/>
              </w:rPr>
            </w:pPr>
          </w:p>
        </w:tc>
      </w:tr>
      <w:tr>
        <w:trPr>
          <w:trHeight w:val="219"/>
        </w:trPr>
        <w:tc>
          <w:tcPr>
            <w:tcW w:w="8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performance-based awards, December 31, 2020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431,046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0" w:type="dxa"/>
            <w:vAlign w:val="bottom"/>
          </w:tcPr>
          <w:p>
            <w:pPr>
              <w:spacing w:after="0"/>
              <w:rPr>
                <w:sz w:val="1"/>
                <w:szCs w:val="1"/>
                <w:color w:val="auto"/>
              </w:rPr>
            </w:pPr>
          </w:p>
        </w:tc>
      </w:tr>
      <w:tr>
        <w:trPr>
          <w:trHeight w:val="219"/>
        </w:trPr>
        <w:tc>
          <w:tcPr>
            <w:tcW w:w="8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Vested</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0" w:type="dxa"/>
            <w:vAlign w:val="bottom"/>
          </w:tcPr>
          <w:p>
            <w:pPr>
              <w:spacing w:after="0"/>
              <w:rPr>
                <w:sz w:val="1"/>
                <w:szCs w:val="1"/>
                <w:color w:val="auto"/>
              </w:rPr>
            </w:pPr>
          </w:p>
        </w:tc>
      </w:tr>
      <w:tr>
        <w:trPr>
          <w:trHeight w:val="219"/>
        </w:trPr>
        <w:tc>
          <w:tcPr>
            <w:tcW w:w="8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performance-based awards, December 31, 2021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0" w:type="dxa"/>
            <w:vAlign w:val="bottom"/>
          </w:tcPr>
          <w:p>
            <w:pPr>
              <w:spacing w:after="0"/>
              <w:rPr>
                <w:sz w:val="1"/>
                <w:szCs w:val="1"/>
                <w:color w:val="auto"/>
              </w:rPr>
            </w:pPr>
          </w:p>
        </w:tc>
      </w:tr>
      <w:tr>
        <w:trPr>
          <w:trHeight w:val="219"/>
        </w:trPr>
        <w:tc>
          <w:tcPr>
            <w:tcW w:w="8440" w:type="dxa"/>
            <w:vAlign w:val="bottom"/>
          </w:tcPr>
          <w:p>
            <w:pPr>
              <w:ind w:left="320"/>
              <w:spacing w:after="0" w:line="219" w:lineRule="exact"/>
              <w:rPr>
                <w:sz w:val="20"/>
                <w:szCs w:val="20"/>
                <w:color w:val="auto"/>
              </w:rPr>
            </w:pPr>
            <w:r>
              <w:rPr>
                <w:rFonts w:ascii="Times New Roman" w:cs="Times New Roman" w:eastAsia="Times New Roman" w:hAnsi="Times New Roman"/>
                <w:sz w:val="17"/>
                <w:szCs w:val="17"/>
                <w:color w:val="auto"/>
              </w:rPr>
              <w:t>Grants</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 xml:space="preserve">Achieved performance over target </w:t>
            </w:r>
            <w:r>
              <w:rPr>
                <w:rFonts w:ascii="Times New Roman" w:cs="Times New Roman" w:eastAsia="Times New Roman" w:hAnsi="Times New Roman"/>
                <w:sz w:val="22"/>
                <w:szCs w:val="22"/>
                <w:color w:val="auto"/>
                <w:vertAlign w:val="superscript"/>
              </w:rPr>
              <w:t>(3)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219"/>
        </w:trPr>
        <w:tc>
          <w:tcPr>
            <w:tcW w:w="8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performance-based awards, December 31, 2022</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400,302</w:t>
            </w:r>
          </w:p>
        </w:tc>
        <w:tc>
          <w:tcPr>
            <w:tcW w:w="3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unrecognized compensation expense remaining (in thousands)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years expected to be recognized over</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rPr>
          <w:sz w:val="20"/>
          <w:szCs w:val="20"/>
          <w:color w:val="auto"/>
        </w:rPr>
      </w:pPr>
      <w:r>
        <w:rPr>
          <w:rFonts w:ascii="Times New Roman" w:cs="Times New Roman" w:eastAsia="Times New Roman" w:hAnsi="Times New Roman"/>
          <w:sz w:val="9"/>
          <w:szCs w:val="9"/>
          <w:color w:val="auto"/>
        </w:rPr>
        <w:t>(1)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(2)</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31, 2022.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Represents the target number of shares to be issued for each performance-based award.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performance metric for the performance-based awards granted in 2022 is not probable of achievement. No compensation expense was recorded in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Represents the number of shares earned over target for performance-based awards granted in 2019 based on performance goals attained. These awards vested in the three months ended March</w:t>
      </w:r>
    </w:p>
    <w:p>
      <w:pPr>
        <w:spacing w:after="0" w:line="344" w:lineRule="exact"/>
        <w:rPr>
          <w:sz w:val="20"/>
          <w:szCs w:val="20"/>
          <w:color w:val="auto"/>
        </w:rPr>
      </w:pPr>
    </w:p>
    <w:p>
      <w:pPr>
        <w:sectPr>
          <w:pgSz w:w="11900" w:h="16838" w:orient="portrait"/>
          <w:cols w:equalWidth="0" w:num="2">
            <w:col w:w="520" w:space="80"/>
            <w:col w:w="10640"/>
          </w:cols>
          <w:pgMar w:left="320" w:top="1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total fair value of performance-based awards that vested during the year ended December 31, 2022 was $2.0 million.</w:t>
      </w:r>
    </w:p>
    <w:p>
      <w:pPr>
        <w:spacing w:after="0" w:line="11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On March 8, 2023, the Compensation Committee of the Board of Directors determined the performance goals set forth in the performance-based awards granted in 2020 were attained and 119,739 shares vested.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Cash-settled performance-based awards</w:t>
      </w:r>
    </w:p>
    <w:p>
      <w:pPr>
        <w:spacing w:after="0" w:line="6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of Directors. The cash-settled performance-based awards are subject to the terms and conditions of the Company’s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cash-settled performance-based awards activity and related information for the year ended December 31, 2022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Cash-settled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55"/>
        </w:trPr>
        <w:tc>
          <w:tcPr>
            <w:tcW w:w="7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performance-based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03"/>
              <w:spacing w:after="0" w:line="155" w:lineRule="exact"/>
              <w:rPr>
                <w:sz w:val="20"/>
                <w:szCs w:val="20"/>
                <w:color w:val="auto"/>
              </w:rPr>
            </w:pPr>
            <w:r>
              <w:rPr>
                <w:rFonts w:ascii="Times New Roman" w:cs="Times New Roman" w:eastAsia="Times New Roman" w:hAnsi="Times New Roman"/>
                <w:sz w:val="15"/>
                <w:szCs w:val="15"/>
                <w:b w:val="1"/>
                <w:bCs w:val="1"/>
                <w:color w:val="auto"/>
              </w:rPr>
              <w:t>average fair</w:t>
            </w:r>
          </w:p>
        </w:tc>
      </w:tr>
      <w:tr>
        <w:trPr>
          <w:trHeight w:val="206"/>
        </w:trPr>
        <w:tc>
          <w:tcPr>
            <w:tcW w:w="7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3"/>
              <w:spacing w:after="0" w:line="207" w:lineRule="exact"/>
              <w:rPr>
                <w:sz w:val="20"/>
                <w:szCs w:val="20"/>
                <w:color w:val="auto"/>
              </w:rPr>
            </w:pPr>
            <w:r>
              <w:rPr>
                <w:rFonts w:ascii="Times New Roman" w:cs="Times New Roman" w:eastAsia="Times New Roman" w:hAnsi="Times New Roman"/>
                <w:sz w:val="15"/>
                <w:szCs w:val="15"/>
                <w:b w:val="1"/>
                <w:bCs w:val="1"/>
                <w:color w:val="auto"/>
                <w:w w:val="96"/>
              </w:rPr>
              <w:t xml:space="preserve">awards </w:t>
            </w:r>
            <w:r>
              <w:rPr>
                <w:rFonts w:ascii="Times New Roman" w:cs="Times New Roman" w:eastAsia="Times New Roman" w:hAnsi="Times New Roman"/>
                <w:sz w:val="20"/>
                <w:szCs w:val="20"/>
                <w:b w:val="1"/>
                <w:bCs w:val="1"/>
                <w:color w:val="auto"/>
                <w:w w:val="96"/>
                <w:vertAlign w:val="superscript"/>
              </w:rPr>
              <w:t>(1)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value</w:t>
            </w:r>
          </w:p>
        </w:tc>
      </w:tr>
      <w:tr>
        <w:trPr>
          <w:trHeight w:val="19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Non-vested cash-settled performance-based awards, January 1, 2022</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7680" w:type="dxa"/>
            <w:vAlign w:val="bottom"/>
          </w:tcPr>
          <w:p>
            <w:pPr>
              <w:ind w:left="320"/>
              <w:spacing w:after="0" w:line="207" w:lineRule="exact"/>
              <w:rPr>
                <w:sz w:val="20"/>
                <w:szCs w:val="20"/>
                <w:color w:val="auto"/>
              </w:rPr>
            </w:pPr>
            <w:r>
              <w:rPr>
                <w:rFonts w:ascii="Times New Roman" w:cs="Times New Roman" w:eastAsia="Times New Roman" w:hAnsi="Times New Roman"/>
                <w:sz w:val="15"/>
                <w:szCs w:val="15"/>
                <w:color w:val="auto"/>
              </w:rPr>
              <w:t xml:space="preserve">Grants </w:t>
            </w:r>
            <w:r>
              <w:rPr>
                <w:rFonts w:ascii="Times New Roman" w:cs="Times New Roman" w:eastAsia="Times New Roman" w:hAnsi="Times New Roman"/>
                <w:sz w:val="20"/>
                <w:szCs w:val="20"/>
                <w:color w:val="auto"/>
                <w:vertAlign w:val="superscript"/>
              </w:rPr>
              <w:t>(2)</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87,825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w:t>
            </w:r>
          </w:p>
        </w:tc>
      </w:tr>
      <w:tr>
        <w:trPr>
          <w:trHeight w:val="203"/>
        </w:trPr>
        <w:tc>
          <w:tcPr>
            <w:tcW w:w="7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Cancellations</w:t>
            </w: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w:t>
            </w:r>
          </w:p>
        </w:tc>
      </w:tr>
      <w:tr>
        <w:trPr>
          <w:trHeight w:val="202"/>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Non-vested cash-settled performance-based awards, December 31, 2022</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85,776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7.59</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9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unrecognized compensation expense remaining (in thousands)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4"/>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years expected to be recognized over</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spacing w:after="0" w:line="107" w:lineRule="exact"/>
        <w:rPr>
          <w:sz w:val="20"/>
          <w:szCs w:val="20"/>
          <w:color w:val="auto"/>
        </w:rPr>
      </w:pPr>
    </w:p>
    <w:p>
      <w:pPr>
        <w:ind w:left="140" w:hanging="137"/>
        <w:spacing w:after="0"/>
        <w:tabs>
          <w:tab w:leader="none" w:pos="140"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target number of units to be settled in cash.</w:t>
      </w:r>
    </w:p>
    <w:p>
      <w:pPr>
        <w:spacing w:after="0" w:line="41" w:lineRule="exact"/>
        <w:rPr>
          <w:rFonts w:ascii="Times New Roman" w:cs="Times New Roman" w:eastAsia="Times New Roman" w:hAnsi="Times New Roman"/>
          <w:sz w:val="17"/>
          <w:szCs w:val="17"/>
          <w:color w:val="auto"/>
          <w:vertAlign w:val="superscript"/>
        </w:rPr>
      </w:pPr>
    </w:p>
    <w:p>
      <w:pPr>
        <w:ind w:left="160" w:hanging="157"/>
        <w:spacing w:after="0" w:line="180" w:lineRule="auto"/>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 performance metric for the cash-settled performance-based awards granted in 2022 is not probable of achievement. No compensation expense was recorded in 2022.</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recorded stock compensation expense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
        </w:trPr>
        <w:tc>
          <w:tcPr>
            <w:tcW w:w="46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 Compensation Expense Components</w:t>
            </w:r>
          </w:p>
        </w:tc>
        <w:tc>
          <w:tcPr>
            <w:tcW w:w="2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Pr>
          <w:p>
            <w:pPr>
              <w:spacing w:after="0"/>
              <w:rPr>
                <w:sz w:val="17"/>
                <w:szCs w:val="17"/>
                <w:color w:val="auto"/>
              </w:rPr>
            </w:pPr>
          </w:p>
        </w:tc>
      </w:tr>
      <w:tr>
        <w:trPr>
          <w:trHeight w:val="19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based stock option expense</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w:t>
            </w: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680" w:type="dxa"/>
            <w:vAlign w:val="bottom"/>
          </w:tcPr>
          <w:p>
            <w:pPr>
              <w:spacing w:after="0"/>
              <w:rPr>
                <w:sz w:val="17"/>
                <w:szCs w:val="17"/>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and performance-based stock awards expense</w:t>
            </w:r>
          </w:p>
        </w:tc>
        <w:tc>
          <w:tcPr>
            <w:tcW w:w="2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5,346</w:t>
            </w:r>
          </w:p>
        </w:tc>
        <w:tc>
          <w:tcPr>
            <w:tcW w:w="680" w:type="dxa"/>
            <w:vAlign w:val="bottom"/>
          </w:tcPr>
          <w:p>
            <w:pPr>
              <w:spacing w:after="0"/>
              <w:rPr>
                <w:sz w:val="19"/>
                <w:szCs w:val="19"/>
                <w:color w:val="auto"/>
              </w:rPr>
            </w:pPr>
          </w:p>
        </w:tc>
      </w:tr>
      <w:tr>
        <w:trPr>
          <w:trHeight w:val="19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 compensation expense for equity based awards</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5,204</w:t>
            </w: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5,916</w:t>
            </w:r>
          </w:p>
        </w:tc>
        <w:tc>
          <w:tcPr>
            <w:tcW w:w="680" w:type="dxa"/>
            <w:vAlign w:val="bottom"/>
          </w:tcPr>
          <w:p>
            <w:pPr>
              <w:spacing w:after="0"/>
              <w:rPr>
                <w:sz w:val="17"/>
                <w:szCs w:val="17"/>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based stock option expense</w:t>
            </w:r>
          </w:p>
        </w:tc>
        <w:tc>
          <w:tcPr>
            <w:tcW w:w="2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680" w:type="dxa"/>
            <w:vAlign w:val="bottom"/>
          </w:tcPr>
          <w:p>
            <w:pPr>
              <w:spacing w:after="0"/>
              <w:rPr>
                <w:sz w:val="19"/>
                <w:szCs w:val="19"/>
                <w:color w:val="auto"/>
              </w:rPr>
            </w:pPr>
          </w:p>
        </w:tc>
      </w:tr>
      <w:tr>
        <w:trPr>
          <w:trHeight w:val="19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 Compensation Expense</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3,846</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5,217</w:t>
            </w: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5,951</w:t>
            </w:r>
          </w:p>
        </w:tc>
        <w:tc>
          <w:tcPr>
            <w:tcW w:w="68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701"/>
        </w:trPr>
        <w:tc>
          <w:tcPr>
            <w:tcW w:w="4680" w:type="dxa"/>
            <w:vAlign w:val="bottom"/>
          </w:tcPr>
          <w:p>
            <w:pPr>
              <w:spacing w:after="0"/>
              <w:rPr>
                <w:sz w:val="24"/>
                <w:szCs w:val="24"/>
                <w:color w:val="auto"/>
              </w:rPr>
            </w:pPr>
          </w:p>
        </w:tc>
        <w:tc>
          <w:tcPr>
            <w:tcW w:w="2380" w:type="dxa"/>
            <w:vAlign w:val="bottom"/>
            <w:gridSpan w:val="2"/>
          </w:tcPr>
          <w:p>
            <w:pPr>
              <w:jc w:val="right"/>
              <w:ind w:right="128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-33</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8"/>
        </w:trPr>
        <w:tc>
          <w:tcPr>
            <w:tcW w:w="46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(LOSS) INCOME PER COMMON SHARE</w:t>
      </w:r>
    </w:p>
    <w:p>
      <w:pPr>
        <w:spacing w:after="0" w:line="11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Basic (loss) income per common share has been computed by dividing net (loss) income by the weighted-average number of shares of the Company’s common stock outstanding. Diluted (loss) income per common share adjusts net (loss) income and basic (loss) income per common share for the effect of all potentially dilutive shares of the Company’s common stock. Anti-dilutive securities are not included in the computation of diluted earnings per share under the treasury stock method.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calculations of basic and diluted (loss) income per common share for the years ended December 31, 2022, 2021 and 2020,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6"/>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(in thousands - except per share amounts)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 – Basic and Diluted</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(3,007)</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shares outstanding – Basic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20,860</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Effect of dilutive securities: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options and other stock awards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shares outstanding – Diluted</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20,860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Basic (loss) income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7260" w:type="dxa"/>
            <w:vAlign w:val="bottom"/>
            <w:vMerge w:val="continue"/>
          </w:tcPr>
          <w:p>
            <w:pPr>
              <w:spacing w:after="0"/>
              <w:rPr>
                <w:sz w:val="24"/>
                <w:szCs w:val="24"/>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0.97</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(loss) income per common share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Antidilutive shares </w:t>
            </w:r>
            <w:r>
              <w:rPr>
                <w:rFonts w:ascii="Times New Roman" w:cs="Times New Roman" w:eastAsia="Times New Roman" w:hAnsi="Times New Roman"/>
                <w:sz w:val="22"/>
                <w:szCs w:val="22"/>
                <w:b w:val="1"/>
                <w:bCs w:val="1"/>
                <w:color w:val="auto"/>
                <w:vertAlign w:val="superscript"/>
              </w:rPr>
              <w:t>(1)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2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20" w:hanging="117"/>
        <w:spacing w:after="0"/>
        <w:tabs>
          <w:tab w:leader="none" w:pos="120" w:val="left"/>
        </w:tabs>
        <w:numPr>
          <w:ilvl w:val="0"/>
          <w:numId w:val="3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Stock options and other stock awards that have been excluded from the denominator as their inclusion would have been anti-dilutive.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income before income taxes and equity in (losses) earnings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gridSpan w:val="6"/>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20,796</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18,012</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(11,767)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(12,463)</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before income taxes and equity in earnings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5,549</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The provision for income taxes (before equity in (losses) earnings) consists of:</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7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0" w:type="dxa"/>
            <w:vAlign w:val="bottom"/>
            <w:gridSpan w:val="6"/>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Federal</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10,361</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8,522</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State and local</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0" w:type="dxa"/>
            <w:vAlign w:val="bottom"/>
          </w:tcPr>
          <w:p>
            <w:pPr>
              <w:spacing w:after="0"/>
              <w:rPr>
                <w:sz w:val="1"/>
                <w:szCs w:val="1"/>
                <w:color w:val="auto"/>
              </w:rPr>
            </w:pPr>
          </w:p>
        </w:tc>
      </w:tr>
      <w:tr>
        <w:trPr>
          <w:trHeight w:val="219"/>
        </w:trPr>
        <w:tc>
          <w:tcPr>
            <w:tcW w:w="7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w:t>
            </w:r>
          </w:p>
        </w:tc>
        <w:tc>
          <w:tcPr>
            <w:tcW w:w="0" w:type="dxa"/>
            <w:vAlign w:val="bottom"/>
          </w:tcPr>
          <w:p>
            <w:pPr>
              <w:spacing w:after="0"/>
              <w:rPr>
                <w:sz w:val="1"/>
                <w:szCs w:val="1"/>
                <w:color w:val="auto"/>
              </w:rPr>
            </w:pP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16,541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9,866</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On March 27, 2020, H.R. 748, the Coronavirus Aid, Relief, and Economic Security Act (the “CARES Act”) was signed into legislation which includes business tax provisions that impact taxes related to 2018, 2019 and 2020. Some of the significant tax law changes in accordance with the CARES Act are to increase the limitation on deductible business interest expense for 2019 and 2020, allow for the five-year carryback of net operating losses for 2018-2020, suspend the 80% limitation of taxable income for net operating loss carryforwards for 2018-2020, and accelerate the ability to claim refunds of Alternative Minimum Tax (“AMT”) credit carryforwards.</w:t>
      </w:r>
    </w:p>
    <w:p>
      <w:pPr>
        <w:spacing w:after="0" w:line="17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CARES Act remedied certain aspects of the Tax Act such as accelerated depreciation recovery for assets defined as qualified improvement property and carryback of operating losses to fiscal tax years. The latter required carryback of Filament losses to pre-acquisition fiscal years ended March 31, 2017 and March 31, 2016, which resulted in a tax expense that exceeded the benefit received</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the various CARES Act provisions claimed by the Company. The Company received a tax refund of $2.3 million in the third quarter of 2020.</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Tax Cuts and Jobs Act of 2017, research and development costs are no longer fully deductible and are required to be capitalized and amortized for U.S.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 purposes effective January 1, 2022. The mandatory capitalization requirement increases our deferred tax assets and income tax payable.</w:t>
      </w:r>
    </w:p>
    <w:p>
      <w:pPr>
        <w:spacing w:after="0" w:line="217"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income tax assets and (liabilities) are as follows:</w:t>
      </w: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r>
      <w:tr>
        <w:trPr>
          <w:trHeight w:val="22"/>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22,814</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26,158</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 options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w:t>
            </w: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2,612</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loss carryforwards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15,684</w:t>
            </w: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 allowances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w:t>
            </w: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compensation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1,167</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Environmental remediation accrual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research and experimental expenditures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w:t>
            </w:r>
          </w:p>
        </w:tc>
      </w:tr>
      <w:tr>
        <w:trPr>
          <w:trHeight w:val="212"/>
        </w:trPr>
        <w:tc>
          <w:tcPr>
            <w:tcW w:w="86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Total deferred income tax assets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53,553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51,988</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86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Deferred income tax liabilities: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(18,872)</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(21,857)</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Fixed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w:t>
            </w: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Intangibles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(26,117)</w:t>
            </w:r>
          </w:p>
        </w:tc>
      </w:tr>
      <w:tr>
        <w:trPr>
          <w:trHeight w:val="212"/>
        </w:trPr>
        <w:tc>
          <w:tcPr>
            <w:tcW w:w="8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deferred income tax liabilities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(46,837)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(49,758)</w:t>
            </w: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income tax asset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2,230</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(15,072)</w:t>
            </w: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income tax liability</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(9,607)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(12,842)</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Company has capital loss carryforwards of $6.8 million in foreign jurisdictions and $0.9 million in the U.S. federal jurisdiction at December 31, 2022 that are offset entirely by a valuation allowance.</w:t>
      </w:r>
    </w:p>
    <w:p>
      <w:pPr>
        <w:spacing w:after="0" w:line="15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 Company has net operating losses in foreign jurisdictions of $61.3 million and $12.1 million in state jurisdictions at December 31, 2022 that are offset entirely by a valuation allowance. The foreign net operating losses can be carried forward indefinitely. The state net operating losses begin to expire in 2026.</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 for income taxes (before equity in (losses) earnings) differs from the amounts computed by applying the applicable federal statutory rates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69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income taxes at the statutory rate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Increases (decreases):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State and local income taxes, net of Federal income tax benefit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38.9</w:t>
            </w:r>
          </w:p>
        </w:tc>
      </w:tr>
      <w:tr>
        <w:trPr>
          <w:trHeight w:val="219"/>
        </w:trPr>
        <w:tc>
          <w:tcPr>
            <w:tcW w:w="6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Foreign rate differences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(49.8)</w:t>
            </w:r>
          </w:p>
        </w:tc>
      </w:tr>
      <w:tr>
        <w:trPr>
          <w:trHeight w:val="21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withholding tax</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6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Impairment of goodwill</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4"/>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65.5</w:t>
            </w:r>
          </w:p>
        </w:tc>
      </w:tr>
      <w:tr>
        <w:trPr>
          <w:trHeight w:val="21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Non-deductible expenses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16.4</w:t>
            </w:r>
          </w:p>
        </w:tc>
      </w:tr>
      <w:tr>
        <w:trPr>
          <w:trHeight w:val="219"/>
        </w:trPr>
        <w:tc>
          <w:tcPr>
            <w:tcW w:w="6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Uncertain tax positions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Research and development credit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6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Federal return to provision</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6.8</w:t>
            </w:r>
          </w:p>
        </w:tc>
      </w:tr>
      <w:tr>
        <w:trPr>
          <w:trHeight w:val="21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of Filament pre-acquisition attributes due to CARES Act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8.6</w:t>
            </w:r>
          </w:p>
        </w:tc>
      </w:tr>
      <w:tr>
        <w:trPr>
          <w:trHeight w:val="219"/>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Equity-based compensation</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19.4</w:t>
            </w:r>
          </w:p>
        </w:tc>
      </w:tr>
      <w:tr>
        <w:trPr>
          <w:trHeight w:val="21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48.3</w:t>
            </w:r>
          </w:p>
        </w:tc>
      </w:tr>
      <w:tr>
        <w:trPr>
          <w:trHeight w:val="212"/>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63.4 %</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177.8 %</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95"/>
        </w:trPr>
        <w:tc>
          <w:tcPr>
            <w:tcW w:w="98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The estimated values of the Company’s gross uncertain tax positions at December 31, 2022, 2021 and 2020 consist of the following: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6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7"/>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80" w:type="dxa"/>
            <w:vAlign w:val="bottom"/>
          </w:tcPr>
          <w:p>
            <w:pPr>
              <w:spacing w:after="0"/>
              <w:rPr>
                <w:sz w:val="17"/>
                <w:szCs w:val="17"/>
                <w:color w:val="auto"/>
              </w:rPr>
            </w:pPr>
          </w:p>
        </w:tc>
      </w:tr>
      <w:tr>
        <w:trPr>
          <w:trHeight w:val="22"/>
        </w:trPr>
        <w:tc>
          <w:tcPr>
            <w:tcW w:w="6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6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4"/>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(1,648)</w:t>
            </w:r>
          </w:p>
        </w:tc>
        <w:tc>
          <w:tcPr>
            <w:tcW w:w="3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w:t>
            </w:r>
          </w:p>
        </w:tc>
      </w:tr>
      <w:tr>
        <w:trPr>
          <w:trHeight w:val="219"/>
        </w:trPr>
        <w:tc>
          <w:tcPr>
            <w:tcW w:w="6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Additions based on tax positions related to the current year</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9"/>
        </w:trPr>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Reductions for tax position of prior years</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2"/>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(1,071)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(1,648)</w:t>
            </w:r>
          </w:p>
        </w:tc>
      </w:tr>
      <w:tr>
        <w:trPr>
          <w:trHeight w:val="20"/>
        </w:trPr>
        <w:tc>
          <w:tcPr>
            <w:tcW w:w="6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7"/>
          <w:szCs w:val="17"/>
          <w:color w:val="auto"/>
        </w:rPr>
        <w:t>The Company had approximately $0.4 million, net of federal and state tax benefit, accrued at December 31, 2022 and 2021, for the payment of interest and penalties. The Company’s policy for recording interest and penalties is to record such items as a component of the provision for income taxes.</w:t>
      </w:r>
    </w:p>
    <w:p>
      <w:pPr>
        <w:spacing w:after="0" w:line="15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If the Company’s tax positions are ultimately sustained, the Company’s liability, including interest, would be reduced by $1.6 million, all of which would impact the Company’s tax provision. On a quarterly basis, the Company evaluates its tax positions and revises its estimates accordingly. The Company believes that it is reasonably possible that an immaterial amount of its tax positions will be resolved within the next 12 months.</w:t>
      </w:r>
    </w:p>
    <w:p>
      <w:pPr>
        <w:spacing w:after="0" w:line="16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Company is no longer subject to U.S. Federal income tax examinations for the years prior to 2019, except for examination in tax year 2017 related to Transition Tax. The Company has identified the following jurisdictions as “major” tax jurisdictions: U.S. Federal, California, Massachusetts, New Jersey, New York, and the United Kingdom. At December 31, 2022, the periods subject to examination by the Company’s major state jurisdictions, except for New York State, are generally for the years ended 2018 through 2021. In certain jurisdictions, Filament may have additional periods subject to examination. The Company's New York State tax returns for years 2015-2019 closed during the first quarter of 2022, with an immaterial adjustment. As of December 31, 2022, there are no material assessments in any given year.</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BUSINESS SEGMENTS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11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6"/>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669,179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770,633</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683,539</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85,630</w:t>
            </w:r>
          </w:p>
        </w:tc>
        <w:tc>
          <w:tcPr>
            <w:tcW w:w="0" w:type="dxa"/>
            <w:vAlign w:val="bottom"/>
          </w:tcPr>
          <w:p>
            <w:pPr>
              <w:spacing w:after="0"/>
              <w:rPr>
                <w:sz w:val="1"/>
                <w:szCs w:val="1"/>
                <w:color w:val="auto"/>
              </w:rPr>
            </w:pPr>
          </w:p>
        </w:tc>
      </w:tr>
      <w:tr>
        <w:trPr>
          <w:trHeight w:val="212"/>
        </w:trPr>
        <w:tc>
          <w:tcPr>
            <w:tcW w:w="7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net sales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727,662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862,924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769,169</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Income from operations: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line="219" w:lineRule="exact"/>
              <w:rPr>
                <w:sz w:val="20"/>
                <w:szCs w:val="20"/>
                <w:color w:val="auto"/>
              </w:rPr>
            </w:pPr>
            <w:r>
              <w:rPr>
                <w:rFonts w:ascii="Times New Roman" w:cs="Times New Roman" w:eastAsia="Times New Roman" w:hAnsi="Times New Roman"/>
                <w:sz w:val="25"/>
                <w:szCs w:val="25"/>
                <w:color w:val="auto"/>
                <w:vertAlign w:val="subscript"/>
              </w:rPr>
              <w:t>U.S.</w:t>
            </w:r>
            <w:r>
              <w:rPr>
                <w:rFonts w:ascii="Times New Roman" w:cs="Times New Roman" w:eastAsia="Times New Roman" w:hAnsi="Times New Roman"/>
                <w:sz w:val="10"/>
                <w:szCs w:val="10"/>
                <w:color w:val="auto"/>
              </w:rPr>
              <w:t xml:space="preserve"> (1)(2)</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100,336</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60,378</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(2)(3)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(12,835)</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CCEEFF"/>
            </w:tcBorders>
          </w:tcPr>
          <w:p>
            <w:pPr>
              <w:ind w:left="320"/>
              <w:spacing w:after="0" w:line="219" w:lineRule="exact"/>
              <w:rPr>
                <w:sz w:val="20"/>
                <w:szCs w:val="20"/>
                <w:color w:val="auto"/>
              </w:rPr>
            </w:pPr>
            <w:r>
              <w:rPr>
                <w:rFonts w:ascii="Times New Roman" w:cs="Times New Roman" w:eastAsia="Times New Roman" w:hAnsi="Times New Roman"/>
                <w:sz w:val="17"/>
                <w:szCs w:val="17"/>
                <w:color w:val="auto"/>
              </w:rPr>
              <w:t xml:space="preserve">Unallocated corporate expenses </w:t>
            </w:r>
            <w:r>
              <w:rPr>
                <w:rFonts w:ascii="Times New Roman" w:cs="Times New Roman" w:eastAsia="Times New Roman" w:hAnsi="Times New Roman"/>
                <w:sz w:val="22"/>
                <w:szCs w:val="22"/>
                <w:color w:val="auto"/>
                <w:vertAlign w:val="superscript"/>
              </w:rPr>
              <w:t>(4)</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(22,573)</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income from operations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20,018</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4,646</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Capital expenditures: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International</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460" w:hanging="457"/>
        <w:spacing w:after="0"/>
        <w:tabs>
          <w:tab w:leader="none" w:pos="46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2020, the Company recognized non-cash impairment charges of $20.1 million related to the U.S. segment as described in NOTE 7 — GOODWILL AND INTANGIBLE ASSETS.</w:t>
      </w:r>
    </w:p>
    <w:p>
      <w:pPr>
        <w:spacing w:after="0" w:line="41" w:lineRule="exact"/>
        <w:rPr>
          <w:rFonts w:ascii="Times New Roman" w:cs="Times New Roman" w:eastAsia="Times New Roman" w:hAnsi="Times New Roman"/>
          <w:sz w:val="18"/>
          <w:szCs w:val="18"/>
          <w:color w:val="auto"/>
          <w:vertAlign w:val="superscript"/>
        </w:rPr>
      </w:pPr>
    </w:p>
    <w:p>
      <w:pPr>
        <w:ind w:left="460" w:right="360" w:hanging="457"/>
        <w:spacing w:after="0" w:line="255" w:lineRule="auto"/>
        <w:tabs>
          <w:tab w:leader="none" w:pos="448"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2022, income from operations includes restructuring expenses of $0.4 million for the U.S. segment and $0.4 million for the International segment. In 2020, income from operations for the International segment includes $0.2 million of restructuring expenses, as described in NOTE 1 — SIGNIFICANT ACCOUNTING POLICIES.</w:t>
      </w:r>
    </w:p>
    <w:p>
      <w:pPr>
        <w:spacing w:after="0" w:line="2" w:lineRule="exact"/>
        <w:rPr>
          <w:rFonts w:ascii="Times New Roman" w:cs="Times New Roman" w:eastAsia="Times New Roman" w:hAnsi="Times New Roman"/>
          <w:sz w:val="9"/>
          <w:szCs w:val="9"/>
          <w:color w:val="auto"/>
        </w:rPr>
      </w:pPr>
    </w:p>
    <w:p>
      <w:pPr>
        <w:ind w:left="460" w:hanging="457"/>
        <w:spacing w:after="0"/>
        <w:tabs>
          <w:tab w:leader="none" w:pos="46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2021, the Company recognized non-cash impairment charges of $14.8 million related to the international segment as described in NOTE 7 — GOODWILL AND INTANGIBLE ASSETS.</w:t>
      </w:r>
    </w:p>
    <w:p>
      <w:pPr>
        <w:spacing w:after="0" w:line="51" w:lineRule="exact"/>
        <w:rPr>
          <w:rFonts w:ascii="Times New Roman" w:cs="Times New Roman" w:eastAsia="Times New Roman" w:hAnsi="Times New Roman"/>
          <w:sz w:val="18"/>
          <w:szCs w:val="18"/>
          <w:color w:val="auto"/>
          <w:vertAlign w:val="superscript"/>
        </w:rPr>
      </w:pPr>
    </w:p>
    <w:p>
      <w:pPr>
        <w:ind w:left="460" w:hanging="457"/>
        <w:spacing w:after="0" w:line="226" w:lineRule="auto"/>
        <w:tabs>
          <w:tab w:leader="none" w:pos="448"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Company recognized expenses of $5.1 million and $0.5 million in 2022 and 2021, respectively, for estimated remediation costs related to the Wallace EPA Matter, as described in NOTE 14 — COMMITMENTS AND CONTINGENCIES. In 2022, the Company recognized $0.6 million of restructuring expenses within unallocated corporate expenses, as described in NOTE 1 —</w:t>
      </w:r>
    </w:p>
    <w:p>
      <w:pPr>
        <w:ind w:left="46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SIGNIFICANT ACCOUNTING POLICIES.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r>
      <w:tr>
        <w:trPr>
          <w:trHeight w:val="22"/>
        </w:trPr>
        <w:tc>
          <w:tcPr>
            <w:tcW w:w="36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1"/>
        </w:trPr>
        <w:tc>
          <w:tcPr>
            <w:tcW w:w="36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36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r>
      <w:tr>
        <w:trPr>
          <w:trHeight w:val="22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3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U.S.</w:t>
            </w:r>
          </w:p>
        </w:tc>
        <w:tc>
          <w:tcPr>
            <w:tcW w:w="52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608,496</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706,000</w:t>
            </w:r>
          </w:p>
        </w:tc>
      </w:tr>
      <w:tr>
        <w:trPr>
          <w:trHeight w:val="219"/>
        </w:trPr>
        <w:tc>
          <w:tcPr>
            <w:tcW w:w="3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International</w:t>
            </w:r>
          </w:p>
        </w:tc>
        <w:tc>
          <w:tcPr>
            <w:tcW w:w="4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93,794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95,092</w:t>
            </w:r>
          </w:p>
        </w:tc>
      </w:tr>
      <w:tr>
        <w:trPr>
          <w:trHeight w:val="219"/>
        </w:trPr>
        <w:tc>
          <w:tcPr>
            <w:tcW w:w="3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Unallocated corporate</w:t>
            </w:r>
          </w:p>
        </w:tc>
        <w:tc>
          <w:tcPr>
            <w:tcW w:w="4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23,598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27,982</w:t>
            </w:r>
          </w:p>
        </w:tc>
      </w:tr>
      <w:tr>
        <w:trPr>
          <w:trHeight w:val="237"/>
        </w:trPr>
        <w:tc>
          <w:tcPr>
            <w:tcW w:w="36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4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725,888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829,074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681"/>
        </w:trPr>
        <w:tc>
          <w:tcPr>
            <w:tcW w:w="3660" w:type="dxa"/>
            <w:vAlign w:val="bottom"/>
          </w:tcPr>
          <w:p>
            <w:pPr>
              <w:spacing w:after="0"/>
              <w:rPr>
                <w:sz w:val="24"/>
                <w:szCs w:val="24"/>
                <w:color w:val="auto"/>
              </w:rPr>
            </w:pPr>
          </w:p>
        </w:tc>
        <w:tc>
          <w:tcPr>
            <w:tcW w:w="5280" w:type="dxa"/>
            <w:vAlign w:val="bottom"/>
            <w:gridSpan w:val="2"/>
          </w:tcPr>
          <w:p>
            <w:pPr>
              <w:jc w:val="right"/>
              <w:ind w:right="3074"/>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-37</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8"/>
        </w:trPr>
        <w:tc>
          <w:tcPr>
            <w:tcW w:w="366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5487035</wp:posOffset>
            </wp:positionH>
            <wp:positionV relativeFrom="paragraph">
              <wp:posOffset>27940</wp:posOffset>
            </wp:positionV>
            <wp:extent cx="16535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5" w:lineRule="exact"/>
        <w:rPr>
          <w:sz w:val="20"/>
          <w:szCs w:val="20"/>
          <w:color w:val="auto"/>
        </w:rPr>
      </w:pPr>
    </w:p>
    <w:p>
      <w:pPr>
        <w:ind w:left="912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5487035</wp:posOffset>
            </wp:positionH>
            <wp:positionV relativeFrom="paragraph">
              <wp:posOffset>27940</wp:posOffset>
            </wp:positionV>
            <wp:extent cx="16535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4"/>
          <w:szCs w:val="14"/>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30,271</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Acquisition activity</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goodwill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30,271</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Geographical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8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sets forth long-lived assets by the major geographic locations: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Long-lived assets, excluding intangible assets, at period-end: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75,308</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81,659</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Mexico</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22,295</w:t>
            </w: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United Kingdom</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26,429</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0" w:type="dxa"/>
            <w:vAlign w:val="bottom"/>
          </w:tcPr>
          <w:p>
            <w:pPr>
              <w:spacing w:after="0"/>
              <w:rPr>
                <w:sz w:val="1"/>
                <w:szCs w:val="1"/>
                <w:color w:val="auto"/>
              </w:rPr>
            </w:pPr>
          </w:p>
        </w:tc>
      </w:tr>
      <w:tr>
        <w:trPr>
          <w:trHeight w:val="212"/>
        </w:trPr>
        <w:tc>
          <w:tcPr>
            <w:tcW w:w="86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111,745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131,323</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Royalties</w:t>
      </w:r>
    </w:p>
    <w:p>
      <w:pPr>
        <w:spacing w:after="0" w:line="118" w:lineRule="exact"/>
        <w:rPr>
          <w:sz w:val="20"/>
          <w:szCs w:val="20"/>
          <w:color w:val="auto"/>
        </w:rPr>
      </w:pPr>
    </w:p>
    <w:p>
      <w:pPr>
        <w:ind w:right="680"/>
        <w:spacing w:after="0" w:line="272" w:lineRule="auto"/>
        <w:rPr>
          <w:sz w:val="20"/>
          <w:szCs w:val="20"/>
          <w:color w:val="auto"/>
        </w:rPr>
      </w:pPr>
      <w:r>
        <w:rPr>
          <w:rFonts w:ascii="Times New Roman" w:cs="Times New Roman" w:eastAsia="Times New Roman" w:hAnsi="Times New Roman"/>
          <w:sz w:val="17"/>
          <w:szCs w:val="17"/>
          <w:color w:val="auto"/>
        </w:rPr>
        <w:t>The Company has license agreements that require the payment of royalties on sales of licensed products which expire through 2048. The estimated future minimum royalties payable under these agreements are as follows (in thousands):</w:t>
      </w:r>
    </w:p>
    <w:tbl>
      <w:tblPr>
        <w:tblLayout w:type="fixed"/>
        <w:tblInd w:w="0" w:type="dxa"/>
        <w:tblCellMar>
          <w:top w:w="0" w:type="dxa"/>
          <w:left w:w="0" w:type="dxa"/>
          <w:bottom w:w="0" w:type="dxa"/>
          <w:right w:w="0" w:type="dxa"/>
        </w:tblCellMar>
      </w:tblPr>
      <w:tr>
        <w:trPr>
          <w:trHeight w:val="182"/>
        </w:trPr>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
        </w:trPr>
        <w:tc>
          <w:tcPr>
            <w:tcW w:w="10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8,069</w:t>
            </w:r>
          </w:p>
        </w:tc>
      </w:tr>
      <w:tr>
        <w:trPr>
          <w:trHeight w:val="219"/>
        </w:trPr>
        <w:tc>
          <w:tcPr>
            <w:tcW w:w="10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w:t>
            </w:r>
          </w:p>
        </w:tc>
      </w:tr>
      <w:tr>
        <w:trPr>
          <w:trHeight w:val="21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7,963</w:t>
            </w:r>
          </w:p>
        </w:tc>
      </w:tr>
      <w:tr>
        <w:trPr>
          <w:trHeight w:val="219"/>
        </w:trPr>
        <w:tc>
          <w:tcPr>
            <w:tcW w:w="10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8,211</w:t>
            </w:r>
          </w:p>
        </w:tc>
      </w:tr>
      <w:tr>
        <w:trPr>
          <w:trHeight w:val="21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19"/>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2,806</w:t>
            </w:r>
          </w:p>
        </w:tc>
      </w:tr>
      <w:tr>
        <w:trPr>
          <w:trHeight w:val="237"/>
        </w:trPr>
        <w:tc>
          <w:tcPr>
            <w:tcW w:w="10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35,138</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Wallace EPA Matter</w:t>
      </w:r>
    </w:p>
    <w:p>
      <w:pPr>
        <w:spacing w:after="0" w:line="11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w:t>
      </w:r>
    </w:p>
    <w:p>
      <w:pPr>
        <w:sectPr>
          <w:pgSz w:w="11900" w:h="16838" w:orient="portrait"/>
          <w:cols w:equalWidth="0" w:num="1">
            <w:col w:w="11240"/>
          </w:cols>
          <w:pgMar w:left="320" w:top="119" w:right="3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444444"/>
        </w:rPr>
        <w:t>F</w:t>
      </w:r>
      <w:r>
        <w:rPr>
          <w:rFonts w:ascii="Times New Roman" w:cs="Times New Roman" w:eastAsia="Times New Roman" w:hAnsi="Times New Roman"/>
          <w:sz w:val="16"/>
          <w:szCs w:val="16"/>
          <w:color w:val="00000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In November 2020, the tolling agreements were extended to November 2021. In October 2021, the tolling agreements were extended to November 2022. In October 2022, the tolling agreements were extended to November 2023. The tolling agreements do not constitute in any way an admission or acknowledgment of any fact, conclusion of law or liability by the parties to the agreements.</w:t>
      </w:r>
    </w:p>
    <w:p>
      <w:pPr>
        <w:spacing w:after="0" w:line="17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EPA released its proposed plan for a second operable unit in July 2019. On September 30, 2019, the EPA issued the ROD for operable unit 2 (“OU-2”), electing to implement its preferred remedy which consists of in-situ treatment of groundwater and a monitored natural attenuation program including monitoring of the plume fringe at the Site. The EPA’s estimated total net present worth cost for its selected remedy is $17.3 million.</w:t>
      </w:r>
    </w:p>
    <w:p>
      <w:pPr>
        <w:spacing w:after="0" w:line="16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 August 2021, WSPR received a Notice of Liability from the Department of Justice on behalf of the EPA, and in September 2021, WSPR responded with a good faith offer to conduct additional testing and remedial design work for OU1. Since that time, WSPR has been actively participating in negotiations among the United States Government (the Department of Justice and the EPA) and other potentially responsible parties with respect to the remedial work at OU1. WSPR anticipates finalizing a Consent Decree for Remedial Design and Remedial Action at OU1 in the near term.</w:t>
      </w:r>
    </w:p>
    <w:p>
      <w:pPr>
        <w:spacing w:after="0" w:line="171"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The Company has reserved $5.6 million to cover probable and estimable liabilities with respect to the above remedial design and remedial action for the initial operable unit. However, it is not possible at this time for the Company to estimate its share of liability related to this matter. In the event of one or more adverse determinations, it is possible that the ultimate liability resulting from this matter and the impact on the Company’s results of operations could be material.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Customs and Border Protection Matter</w:t>
      </w:r>
    </w:p>
    <w:p>
      <w:pPr>
        <w:spacing w:after="0" w:line="11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15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Company also compiled and submitted to CBP a complete set of supporting documents for three additional protests (for the remaining 29 tableware collections that were imported by the Company under the protested shipments). One of the additional protest was approved on October 15, 2020; the other two remain pending. If the CBP approves these additional claims and accepts the evidence presented, then no additional duties will be owed for the remaining protested shipments.</w:t>
      </w:r>
    </w:p>
    <w:p>
      <w:pPr>
        <w:spacing w:after="0" w:line="37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Because the period of investigation covers a five-year period, the Company is compiling supporting documentation packages for all tableware collections imported during this period.</w:t>
      </w:r>
    </w:p>
    <w:p>
      <w:pPr>
        <w:spacing w:after="0" w:line="151" w:lineRule="exact"/>
        <w:rPr>
          <w:sz w:val="20"/>
          <w:szCs w:val="20"/>
          <w:color w:val="auto"/>
        </w:rPr>
      </w:pPr>
    </w:p>
    <w:p>
      <w:pPr>
        <w:ind w:right="2000"/>
        <w:spacing w:after="0" w:line="263" w:lineRule="auto"/>
        <w:rPr>
          <w:sz w:val="20"/>
          <w:szCs w:val="20"/>
          <w:color w:val="auto"/>
        </w:rPr>
      </w:pPr>
      <w:r>
        <w:rPr>
          <w:rFonts w:ascii="Times New Roman" w:cs="Times New Roman" w:eastAsia="Times New Roman" w:hAnsi="Times New Roman"/>
          <w:sz w:val="17"/>
          <w:szCs w:val="17"/>
          <w:color w:val="auto"/>
        </w:rPr>
        <w:t>In the event CBP accepts the evidence presented, then no additional duties or penalties will be owed. If CBP rejects the Company’s position, then the estimated amount of duties that could be owed is $1.1 million. In such event, it is reasonably possible that additional</w:t>
      </w:r>
    </w:p>
    <w:p>
      <w:pPr>
        <w:spacing w:after="0" w:line="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penalties could be assessed, depending upon the level of culpability found, of up to $2.2 million for negligence and up to $4.4 million for gross negligence. In the event penalties are assessed, the Company will have the opportunity to further contest CBP’s findings and seek cancellation or mitigation of such assessments.</w:t>
      </w:r>
    </w:p>
    <w:p>
      <w:pPr>
        <w:spacing w:after="0" w:line="37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w:t>
      </w:r>
    </w:p>
    <w:p>
      <w:pPr>
        <w:spacing w:after="0" w:line="11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 RETIREMENT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401(k) plan and other defined contribution plans</w:t>
      </w:r>
    </w:p>
    <w:p>
      <w:pPr>
        <w:spacing w:after="0" w:line="118"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7"/>
          <w:szCs w:val="17"/>
          <w:color w:val="auto"/>
        </w:rPr>
        <w:t>The Company maintains a defined contribution retirement plan for eligible employees under Section 401(k) of the Internal Revenue Code. Participants can make voluntary contributions up to the Internal Revenue Service limit of $20,500 ($27,000 for employees 50 years old or over) for 2022. The Company suspended its matching contribution in 2009 as an expense savings measure. The Company’s United Kingdom-based subsidiary, Lifetime Brands Europe Limited, maintains a defined contribution pension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benefit obligations</w:t>
      </w:r>
    </w:p>
    <w:p>
      <w:pPr>
        <w:spacing w:after="0" w:line="118"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The Company assumed retirement benefit obligations, which are paid to certain former executives of a business acquired in 2006. The obligations under the agreements with these former executives are unfunded and amounted to $5.7 million at December 31, 2022 and $7.4 million at December 31, 2021.</w:t>
      </w:r>
    </w:p>
    <w:p>
      <w:pPr>
        <w:spacing w:after="0" w:line="15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discount rate used to calculate the retirement benefit obligations was 4.89% at December 31, 2022 and 2.46% at December 31, 2021. The retirement benefit obligations are included in accrued expenses and other long-term liabilities.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expects to recognize $0.1 million of actuarial losses included in accumulated other comprehensive loss in net periodic benefit cost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40" w:type="dxa"/>
            <w:vAlign w:val="bottom"/>
          </w:tcPr>
          <w:p>
            <w:pPr>
              <w:jc w:val="center"/>
              <w:ind w:left="2535"/>
              <w:spacing w:after="0"/>
              <w:rPr>
                <w:sz w:val="20"/>
                <w:szCs w:val="20"/>
                <w:color w:val="auto"/>
              </w:rPr>
            </w:pPr>
            <w:r>
              <w:rPr>
                <w:rFonts w:ascii="Times New Roman" w:cs="Times New Roman" w:eastAsia="Times New Roman" w:hAnsi="Times New Roman"/>
                <w:sz w:val="17"/>
                <w:szCs w:val="17"/>
                <w:b w:val="1"/>
                <w:bCs w:val="1"/>
                <w:color w:val="auto"/>
              </w:rPr>
              <w:t>LIFETIME BRANDS, INC.</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40" w:type="dxa"/>
            <w:vAlign w:val="bottom"/>
          </w:tcPr>
          <w:p>
            <w:pPr>
              <w:jc w:val="center"/>
              <w:ind w:left="2535"/>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640" w:type="dxa"/>
            <w:vAlign w:val="bottom"/>
          </w:tcPr>
          <w:p>
            <w:pPr>
              <w:jc w:val="center"/>
              <w:ind w:left="2535"/>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5"/>
        </w:trPr>
        <w:tc>
          <w:tcPr>
            <w:tcW w:w="104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Expected benefit payments for each of the next five fiscal years and in the aggregate for the five fiscal years thereafter are as follows (in thousands):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8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 through 2031</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0" w:type="dxa"/>
            <w:vAlign w:val="bottom"/>
          </w:tcPr>
          <w:p>
            <w:pPr>
              <w:spacing w:after="0"/>
              <w:rPr>
                <w:sz w:val="1"/>
                <w:szCs w:val="1"/>
                <w:color w:val="auto"/>
              </w:rPr>
            </w:pPr>
          </w:p>
        </w:tc>
      </w:tr>
      <w:tr>
        <w:trPr>
          <w:trHeight w:val="602"/>
        </w:trPr>
        <w:tc>
          <w:tcPr>
            <w:tcW w:w="8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16 — OTHER</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Inventory</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inventory are as follows: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259,916</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10,441</w:t>
            </w:r>
          </w:p>
        </w:tc>
        <w:tc>
          <w:tcPr>
            <w:tcW w:w="0" w:type="dxa"/>
            <w:vAlign w:val="bottom"/>
          </w:tcPr>
          <w:p>
            <w:pPr>
              <w:spacing w:after="0"/>
              <w:rPr>
                <w:sz w:val="1"/>
                <w:szCs w:val="1"/>
                <w:color w:val="auto"/>
              </w:rPr>
            </w:pP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222,209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270,516</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8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(including finance leases) consist of:</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8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2"/>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8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furniture and equipment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77,005</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38,433</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hardware and software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37,544</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154,584</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(133,836)</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20,748</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Depreciation and amortization expense of property and equipment for the years ended December 31, 2022, 2021 and 2020 was $5.0 million, $6.0 million and $7.4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Accrued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expenses consist of:</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Customer allowances and rebates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non-income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Vendor invoices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Freight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Royalties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Restructuring</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Wallace facility remediation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Interest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Total</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long-term liabilities consist of:</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Retirement 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Wallace facility remediation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non-income tax liabilities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Unearned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555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Contingent consideration</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Derivative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long-term obligations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Total</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7"/>
        </w:trPr>
        <w:tc>
          <w:tcPr>
            <w:tcW w:w="3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40" w:type="dxa"/>
            <w:vAlign w:val="bottom"/>
          </w:tcPr>
          <w:p>
            <w:pPr>
              <w:spacing w:after="0"/>
              <w:rPr>
                <w:sz w:val="15"/>
                <w:szCs w:val="15"/>
                <w:color w:val="auto"/>
              </w:rPr>
            </w:pPr>
          </w:p>
        </w:tc>
      </w:tr>
      <w:tr>
        <w:trPr>
          <w:trHeight w:val="231"/>
        </w:trPr>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31,281</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36,290</w:t>
            </w:r>
          </w:p>
        </w:tc>
      </w:tr>
      <w:tr>
        <w:trPr>
          <w:trHeight w:val="219"/>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7,496</w:t>
            </w:r>
          </w:p>
        </w:tc>
      </w:tr>
      <w:tr>
        <w:trPr>
          <w:trHeight w:val="219"/>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21,258</w:t>
            </w:r>
          </w:p>
        </w:tc>
      </w:tr>
      <w:tr>
        <w:trPr>
          <w:trHeight w:val="219"/>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16,082</w:t>
            </w:r>
          </w:p>
        </w:tc>
      </w:tr>
      <w:tr>
        <w:trPr>
          <w:trHeight w:val="219"/>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16,110</w:t>
            </w:r>
          </w:p>
        </w:tc>
      </w:tr>
      <w:tr>
        <w:trPr>
          <w:trHeight w:val="219"/>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2,954</w:t>
            </w:r>
          </w:p>
        </w:tc>
      </w:tr>
      <w:tr>
        <w:trPr>
          <w:trHeight w:val="219"/>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4,406</w:t>
            </w:r>
          </w:p>
        </w:tc>
      </w:tr>
      <w:tr>
        <w:trPr>
          <w:trHeight w:val="219"/>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r>
      <w:tr>
        <w:trPr>
          <w:trHeight w:val="219"/>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223"/>
        </w:trPr>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6,930</w:t>
            </w:r>
          </w:p>
        </w:tc>
      </w:tr>
      <w:tr>
        <w:trPr>
          <w:trHeight w:val="212"/>
        </w:trPr>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77,602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112,741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7"/>
        </w:trPr>
        <w:tc>
          <w:tcPr>
            <w:tcW w:w="3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40" w:type="dxa"/>
            <w:vAlign w:val="bottom"/>
          </w:tcPr>
          <w:p>
            <w:pPr>
              <w:spacing w:after="0"/>
              <w:rPr>
                <w:sz w:val="15"/>
                <w:szCs w:val="15"/>
                <w:color w:val="auto"/>
              </w:rPr>
            </w:pPr>
          </w:p>
        </w:tc>
      </w:tr>
      <w:tr>
        <w:trPr>
          <w:trHeight w:val="231"/>
        </w:trPr>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5,178</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6,918</w:t>
            </w:r>
          </w:p>
        </w:tc>
      </w:tr>
      <w:tr>
        <w:trPr>
          <w:trHeight w:val="219"/>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w:t>
            </w:r>
          </w:p>
        </w:tc>
      </w:tr>
      <w:tr>
        <w:trPr>
          <w:trHeight w:val="215"/>
        </w:trPr>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w:t>
            </w:r>
          </w:p>
        </w:tc>
      </w:tr>
      <w:tr>
        <w:trPr>
          <w:trHeight w:val="244"/>
        </w:trPr>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24"/>
        </w:trPr>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w:t>
            </w:r>
          </w:p>
        </w:tc>
      </w:tr>
      <w:tr>
        <w:trPr>
          <w:trHeight w:val="223"/>
        </w:trPr>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12"/>
        </w:trPr>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14,995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12,116</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503" w:lineRule="exact"/>
        <w:rPr>
          <w:sz w:val="20"/>
          <w:szCs w:val="20"/>
          <w:color w:val="auto"/>
        </w:rPr>
      </w:pPr>
    </w:p>
    <w:p>
      <w:pPr>
        <w:sectPr>
          <w:pgSz w:w="11900" w:h="16838" w:orient="portrait"/>
          <w:cols w:equalWidth="0" w:num="2">
            <w:col w:w="7920" w:space="720"/>
            <w:col w:w="2600"/>
          </w:cols>
          <w:pgMar w:left="320" w:top="119" w:right="339" w:bottom="1440" w:gutter="0" w:footer="0" w:header="0"/>
        </w:sectPr>
      </w:pPr>
    </w:p>
    <w:tbl>
      <w:tblPr>
        <w:tblLayout w:type="fixed"/>
        <w:tblInd w:w="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gridSpan w:val="6"/>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4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48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r>
      <w:tr>
        <w:trPr>
          <w:trHeight w:val="184"/>
        </w:trPr>
        <w:tc>
          <w:tcPr>
            <w:tcW w:w="4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2"/>
        </w:trPr>
        <w:tc>
          <w:tcPr>
            <w:tcW w:w="486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2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15,421</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13,702</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w:t>
            </w:r>
          </w:p>
        </w:tc>
        <w:tc>
          <w:tcPr>
            <w:tcW w:w="20" w:type="dxa"/>
            <w:vAlign w:val="bottom"/>
          </w:tcPr>
          <w:p>
            <w:pPr>
              <w:spacing w:after="0"/>
              <w:rPr>
                <w:sz w:val="19"/>
                <w:szCs w:val="19"/>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taxes, net of refunds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5,161</w:t>
            </w:r>
          </w:p>
        </w:tc>
        <w:tc>
          <w:tcPr>
            <w:tcW w:w="20" w:type="dxa"/>
            <w:vAlign w:val="bottom"/>
          </w:tcPr>
          <w:p>
            <w:pPr>
              <w:spacing w:after="0"/>
              <w:rPr>
                <w:sz w:val="19"/>
                <w:szCs w:val="19"/>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Non-cash investing activities:</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loss recognized on change in Vasconia ownership</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gain on dilution of Vasconia ownership</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709"/>
        </w:trPr>
        <w:tc>
          <w:tcPr>
            <w:tcW w:w="4860" w:type="dxa"/>
            <w:vAlign w:val="bottom"/>
          </w:tcPr>
          <w:p>
            <w:pPr>
              <w:spacing w:after="0"/>
              <w:rPr>
                <w:sz w:val="24"/>
                <w:szCs w:val="24"/>
                <w:color w:val="auto"/>
              </w:rPr>
            </w:pPr>
          </w:p>
        </w:tc>
        <w:tc>
          <w:tcPr>
            <w:tcW w:w="2700" w:type="dxa"/>
            <w:vAlign w:val="bottom"/>
            <w:gridSpan w:val="2"/>
          </w:tcPr>
          <w:p>
            <w:pPr>
              <w:jc w:val="right"/>
              <w:ind w:right="178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-42</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86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accumulated other comprehensive loss,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6"/>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Accumulated translation adjustment: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(35,846)</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shd w:val="clear" w:color="auto" w:fill="CCEEFF"/>
          </w:tcPr>
          <w:p>
            <w:pPr>
              <w:spacing w:after="0"/>
              <w:rPr>
                <w:sz w:val="19"/>
                <w:szCs w:val="19"/>
                <w:color w:val="auto"/>
              </w:rPr>
            </w:pP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Translation adjustment during period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7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Amount reclassified from accumulated other comprehensive loss </w:t>
            </w:r>
            <w:r>
              <w:rPr>
                <w:rFonts w:ascii="Times New Roman" w:cs="Times New Roman" w:eastAsia="Times New Roman" w:hAnsi="Times New Roman"/>
                <w:sz w:val="10"/>
                <w:szCs w:val="10"/>
                <w:color w:val="auto"/>
              </w:rPr>
              <w:t>(1)</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Translation Adjustment</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(31,752)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i w:val="1"/>
                <w:iCs w:val="1"/>
                <w:color w:val="auto"/>
              </w:rPr>
              <w:t>Accumulated deferred gains (losses) on cash flow hedges: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shd w:val="clear" w:color="auto" w:fill="CCEEFF"/>
          </w:tcPr>
          <w:p>
            <w:pPr>
              <w:spacing w:after="0"/>
              <w:rPr>
                <w:sz w:val="19"/>
                <w:szCs w:val="19"/>
                <w:color w:val="auto"/>
              </w:rPr>
            </w:pP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Change in unrealized gains (losses)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Amounts reclassified from accumulated other comprehensive loss: </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shd w:val="clear" w:color="auto" w:fill="CCEEFF"/>
          </w:tcPr>
          <w:p>
            <w:pPr>
              <w:spacing w:after="0"/>
              <w:rPr>
                <w:sz w:val="19"/>
                <w:szCs w:val="19"/>
                <w:color w:val="auto"/>
              </w:rPr>
            </w:pP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Settlement of cash flow hedges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change in cash flow hedges, net of taxes of $(190), $(246) and $803</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Accumulated effect of retirement benefit obligations: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(loss) arising from retirement benefit obligations, net of tax of $(359), $(64) and $259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Amount reclassified from accumulated other comprehensive loss:</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tcBorders>
              <w:bottom w:val="single" w:sz="8" w:color="CCEEFF"/>
            </w:tcBorders>
          </w:tcPr>
          <w:p>
            <w:pPr>
              <w:spacing w:after="0"/>
              <w:rPr>
                <w:sz w:val="19"/>
                <w:szCs w:val="19"/>
                <w:color w:val="auto"/>
              </w:rPr>
            </w:pPr>
          </w:p>
        </w:tc>
        <w:tc>
          <w:tcPr>
            <w:tcW w:w="7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Amortization of loss, net of tax of $(39), $(45) and $(52)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effects of retirement benefit obligations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accumulated other comprehensive loss at end of period</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9"/>
                <w:szCs w:val="9"/>
                <w:color w:val="auto"/>
              </w:rPr>
              <w:t>(1)</w:t>
            </w:r>
          </w:p>
        </w:tc>
        <w:tc>
          <w:tcPr>
            <w:tcW w:w="7100" w:type="dxa"/>
            <w:vAlign w:val="bottom"/>
            <w:tcBorders>
              <w:top w:val="single" w:sz="8" w:color="CCEEFF"/>
              <w:bottom w:val="single" w:sz="8" w:color="CCEEFF"/>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Amount is recorded in equity in (losses) earnings on the consolidated statements of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0" w:type="dxa"/>
            <w:vAlign w:val="bottom"/>
            <w:vMerge w:val="continue"/>
          </w:tcPr>
          <w:p>
            <w:pPr>
              <w:spacing w:after="0"/>
              <w:rPr>
                <w:sz w:val="17"/>
                <w:szCs w:val="17"/>
                <w:color w:val="auto"/>
              </w:rPr>
            </w:pPr>
          </w:p>
        </w:tc>
        <w:tc>
          <w:tcPr>
            <w:tcW w:w="71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71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20"/>
                <w:szCs w:val="20"/>
                <w:color w:val="auto"/>
              </w:rPr>
            </w:pPr>
            <w:r>
              <w:rPr>
                <w:rFonts w:ascii="Times New Roman" w:cs="Times New Roman" w:eastAsia="Times New Roman" w:hAnsi="Times New Roman"/>
                <w:sz w:val="9"/>
                <w:szCs w:val="9"/>
                <w:color w:val="auto"/>
              </w:rPr>
              <w:t>(2)</w:t>
            </w:r>
          </w:p>
        </w:tc>
        <w:tc>
          <w:tcPr>
            <w:tcW w:w="7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Amounts are recorded in interest expense and cost of goods sold on the consolidated statements of operations.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20"/>
                <w:szCs w:val="20"/>
                <w:color w:val="auto"/>
              </w:rPr>
            </w:pPr>
            <w:r>
              <w:rPr>
                <w:rFonts w:ascii="Times New Roman" w:cs="Times New Roman" w:eastAsia="Times New Roman" w:hAnsi="Times New Roman"/>
                <w:sz w:val="9"/>
                <w:szCs w:val="9"/>
                <w:color w:val="auto"/>
              </w:rPr>
              <w:t>(3)</w:t>
            </w:r>
          </w:p>
        </w:tc>
        <w:tc>
          <w:tcPr>
            <w:tcW w:w="7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Amount is recorded in selling, general and administrative expenses on the consolidated statements of operations.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160" w:type="dxa"/>
            <w:vAlign w:val="bottom"/>
          </w:tcPr>
          <w:p>
            <w:pPr>
              <w:spacing w:after="0"/>
              <w:rPr>
                <w:sz w:val="24"/>
                <w:szCs w:val="24"/>
                <w:color w:val="auto"/>
              </w:rPr>
            </w:pPr>
          </w:p>
        </w:tc>
        <w:tc>
          <w:tcPr>
            <w:tcW w:w="7100" w:type="dxa"/>
            <w:vAlign w:val="bottom"/>
          </w:tcPr>
          <w:p>
            <w:pPr>
              <w:ind w:left="530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-43</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0" w:type="dxa"/>
            <w:vAlign w:val="bottom"/>
            <w:tcBorders>
              <w:bottom w:val="single" w:sz="8" w:color="9A9A9A"/>
            </w:tcBorders>
          </w:tcPr>
          <w:p>
            <w:pPr>
              <w:spacing w:after="0"/>
              <w:rPr>
                <w:sz w:val="9"/>
                <w:szCs w:val="9"/>
                <w:color w:val="auto"/>
              </w:rPr>
            </w:pPr>
          </w:p>
        </w:tc>
        <w:tc>
          <w:tcPr>
            <w:tcW w:w="7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color w:val="auto"/>
        </w:rPr>
        <w:t>Item 15(a)</w:t>
      </w:r>
    </w:p>
    <w:p>
      <w:pPr>
        <w:spacing w:after="0" w:line="21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SCHEDULE II - VALUATION AND QUALIFYING ACCOUNTS</w:t>
      </w:r>
    </w:p>
    <w:p>
      <w:pPr>
        <w:spacing w:after="0" w:line="1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color w:val="auto"/>
        </w:rPr>
        <w:t>(in thousands)</w:t>
      </w:r>
    </w:p>
    <w:p>
      <w:pPr>
        <w:spacing w:after="0" w:line="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COL. A</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COL. B</w:t>
            </w:r>
          </w:p>
        </w:tc>
        <w:tc>
          <w:tcPr>
            <w:tcW w:w="200" w:type="dxa"/>
            <w:vAlign w:val="bottom"/>
          </w:tcPr>
          <w:p>
            <w:pPr>
              <w:spacing w:after="0"/>
              <w:rPr>
                <w:sz w:val="13"/>
                <w:szCs w:val="13"/>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COL. C</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COL. 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8"/>
              </w:rPr>
              <w:t>COL. 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200" w:type="dxa"/>
            <w:vAlign w:val="bottom"/>
          </w:tcPr>
          <w:p>
            <w:pPr>
              <w:spacing w:after="0"/>
              <w:rPr>
                <w:sz w:val="10"/>
                <w:szCs w:val="10"/>
                <w:color w:val="auto"/>
              </w:rPr>
            </w:pPr>
          </w:p>
        </w:tc>
        <w:tc>
          <w:tcPr>
            <w:tcW w:w="1060" w:type="dxa"/>
            <w:vAlign w:val="bottom"/>
          </w:tcPr>
          <w:p>
            <w:pPr>
              <w:jc w:val="center"/>
              <w:ind w:right="119"/>
              <w:spacing w:after="0" w:line="123" w:lineRule="exact"/>
              <w:rPr>
                <w:sz w:val="20"/>
                <w:szCs w:val="20"/>
                <w:color w:val="auto"/>
              </w:rPr>
            </w:pPr>
            <w:r>
              <w:rPr>
                <w:rFonts w:ascii="Times New Roman" w:cs="Times New Roman" w:eastAsia="Times New Roman" w:hAnsi="Times New Roman"/>
                <w:sz w:val="14"/>
                <w:szCs w:val="14"/>
                <w:b w:val="1"/>
                <w:bCs w:val="1"/>
                <w:color w:val="auto"/>
                <w:w w:val="98"/>
              </w:rPr>
              <w:t>Charged to</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ind w:right="139"/>
              <w:spacing w:after="0" w:line="123"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0"/>
        </w:trPr>
        <w:tc>
          <w:tcPr>
            <w:tcW w:w="3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beginning</w:t>
            </w:r>
          </w:p>
        </w:tc>
        <w:tc>
          <w:tcPr>
            <w:tcW w:w="200" w:type="dxa"/>
            <w:vAlign w:val="bottom"/>
          </w:tcPr>
          <w:p>
            <w:pPr>
              <w:spacing w:after="0"/>
              <w:rPr>
                <w:sz w:val="12"/>
                <w:szCs w:val="12"/>
                <w:color w:val="auto"/>
              </w:rPr>
            </w:pPr>
          </w:p>
        </w:tc>
        <w:tc>
          <w:tcPr>
            <w:tcW w:w="1060" w:type="dxa"/>
            <w:vAlign w:val="bottom"/>
          </w:tcPr>
          <w:p>
            <w:pPr>
              <w:jc w:val="center"/>
              <w:ind w:right="119"/>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costs and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19"/>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 of</w:t>
            </w:r>
          </w:p>
        </w:tc>
        <w:tc>
          <w:tcPr>
            <w:tcW w:w="0" w:type="dxa"/>
            <w:vAlign w:val="bottom"/>
          </w:tcPr>
          <w:p>
            <w:pPr>
              <w:spacing w:after="0"/>
              <w:rPr>
                <w:sz w:val="1"/>
                <w:szCs w:val="1"/>
                <w:color w:val="auto"/>
              </w:rPr>
            </w:pPr>
          </w:p>
        </w:tc>
      </w:tr>
      <w:tr>
        <w:trPr>
          <w:trHeight w:val="142"/>
        </w:trPr>
        <w:tc>
          <w:tcPr>
            <w:tcW w:w="39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of period</w:t>
            </w:r>
          </w:p>
        </w:tc>
        <w:tc>
          <w:tcPr>
            <w:tcW w:w="200" w:type="dxa"/>
            <w:vAlign w:val="bottom"/>
          </w:tcPr>
          <w:p>
            <w:pPr>
              <w:spacing w:after="0"/>
              <w:rPr>
                <w:sz w:val="12"/>
                <w:szCs w:val="12"/>
                <w:color w:val="auto"/>
              </w:rPr>
            </w:pPr>
          </w:p>
        </w:tc>
        <w:tc>
          <w:tcPr>
            <w:tcW w:w="1060" w:type="dxa"/>
            <w:vAlign w:val="bottom"/>
          </w:tcPr>
          <w:p>
            <w:pPr>
              <w:jc w:val="center"/>
              <w:ind w:right="1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expenses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9"/>
              <w:spacing w:after="0" w:line="142" w:lineRule="exact"/>
              <w:rPr>
                <w:sz w:val="20"/>
                <w:szCs w:val="20"/>
                <w:color w:val="auto"/>
              </w:rPr>
            </w:pPr>
            <w:r>
              <w:rPr>
                <w:rFonts w:ascii="Times New Roman" w:cs="Times New Roman" w:eastAsia="Times New Roman" w:hAnsi="Times New Roman"/>
                <w:sz w:val="14"/>
                <w:szCs w:val="14"/>
                <w:b w:val="1"/>
                <w:bCs w:val="1"/>
                <w:color w:val="auto"/>
                <w:w w:val="97"/>
              </w:rPr>
              <w:t>period</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60" w:type="dxa"/>
            <w:vAlign w:val="bottom"/>
            <w:tcBorders>
              <w:top w:val="single" w:sz="8" w:color="auto"/>
              <w:bottom w:val="single" w:sz="8" w:color="CCEEFF"/>
            </w:tcBorders>
          </w:tcPr>
          <w:p>
            <w:pPr>
              <w:spacing w:after="0"/>
              <w:rPr>
                <w:sz w:val="2"/>
                <w:szCs w:val="2"/>
                <w:color w:val="auto"/>
              </w:rPr>
            </w:pPr>
          </w:p>
        </w:tc>
        <w:tc>
          <w:tcPr>
            <w:tcW w:w="220" w:type="dxa"/>
            <w:vAlign w:val="bottom"/>
            <w:tcBorders>
              <w:top w:val="single" w:sz="8" w:color="auto"/>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Deducted from asset accounts: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5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Reserve for sales returns and allowances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5,961</w:t>
            </w:r>
          </w:p>
        </w:tc>
        <w:tc>
          <w:tcPr>
            <w:tcW w:w="560" w:type="dxa"/>
            <w:vAlign w:val="bottom"/>
            <w:gridSpan w:val="2"/>
          </w:tcPr>
          <w:p>
            <w:pPr>
              <w:jc w:val="right"/>
              <w:ind w:right="334"/>
              <w:spacing w:after="0"/>
              <w:rPr>
                <w:sz w:val="20"/>
                <w:szCs w:val="20"/>
                <w:color w:val="auto"/>
              </w:rPr>
            </w:pPr>
            <w:r>
              <w:rPr>
                <w:rFonts w:ascii="Times New Roman" w:cs="Times New Roman" w:eastAsia="Times New Roman" w:hAnsi="Times New Roman"/>
                <w:sz w:val="11"/>
                <w:szCs w:val="11"/>
                <w:color w:val="auto"/>
                <w:w w:val="97"/>
              </w:rPr>
              <w:t>(c)</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(8,438)</w:t>
            </w: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9,411</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6,623</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(8,561)</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9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Deducted from asset accounts: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4,624</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Reserve for sales returns and allowances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8,716</w:t>
            </w:r>
          </w:p>
        </w:tc>
        <w:tc>
          <w:tcPr>
            <w:tcW w:w="560" w:type="dxa"/>
            <w:vAlign w:val="bottom"/>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1"/>
                <w:szCs w:val="11"/>
                <w:color w:val="auto"/>
                <w:w w:val="97"/>
              </w:rPr>
              <w:t>(c)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(9,217)</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17,013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9,083</w:t>
            </w: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(9,552)</w:t>
            </w:r>
          </w:p>
        </w:tc>
        <w:tc>
          <w:tcPr>
            <w:tcW w:w="4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920" w:type="dxa"/>
            <w:vAlign w:val="bottom"/>
            <w:gridSpan w:val="4"/>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Year ended December 31, 2020</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Deducted from asset accounts: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w:t>
            </w:r>
          </w:p>
        </w:tc>
        <w:tc>
          <w:tcPr>
            <w:tcW w:w="5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Reserve for sales returns and allowances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11,280</w:t>
            </w:r>
          </w:p>
        </w:tc>
        <w:tc>
          <w:tcPr>
            <w:tcW w:w="560" w:type="dxa"/>
            <w:vAlign w:val="bottom"/>
            <w:gridSpan w:val="2"/>
          </w:tcPr>
          <w:p>
            <w:pPr>
              <w:jc w:val="right"/>
              <w:ind w:right="334"/>
              <w:spacing w:after="0"/>
              <w:rPr>
                <w:sz w:val="20"/>
                <w:szCs w:val="20"/>
                <w:color w:val="auto"/>
              </w:rPr>
            </w:pPr>
            <w:r>
              <w:rPr>
                <w:rFonts w:ascii="Times New Roman" w:cs="Times New Roman" w:eastAsia="Times New Roman" w:hAnsi="Times New Roman"/>
                <w:sz w:val="11"/>
                <w:szCs w:val="11"/>
                <w:color w:val="auto"/>
                <w:w w:val="97"/>
              </w:rPr>
              <w:t>(c)</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(7,239)</w:t>
            </w: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12,389</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15,792</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(8,460)</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hanging="457"/>
        <w:spacing w:after="0"/>
        <w:tabs>
          <w:tab w:leader="none" w:pos="46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Uncollectible accounts written off, net of recoveries.</w:t>
      </w:r>
    </w:p>
    <w:p>
      <w:pPr>
        <w:spacing w:after="0" w:line="41" w:lineRule="exact"/>
        <w:rPr>
          <w:rFonts w:ascii="Times New Roman" w:cs="Times New Roman" w:eastAsia="Times New Roman" w:hAnsi="Times New Roman"/>
          <w:sz w:val="18"/>
          <w:szCs w:val="18"/>
          <w:color w:val="auto"/>
          <w:vertAlign w:val="superscript"/>
        </w:rPr>
      </w:pPr>
    </w:p>
    <w:p>
      <w:pPr>
        <w:ind w:left="460" w:hanging="457"/>
        <w:spacing w:after="0"/>
        <w:tabs>
          <w:tab w:leader="none" w:pos="46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Allowances granted.</w:t>
      </w:r>
    </w:p>
    <w:p>
      <w:pPr>
        <w:spacing w:after="0" w:line="44" w:lineRule="exact"/>
        <w:rPr>
          <w:rFonts w:ascii="Times New Roman" w:cs="Times New Roman" w:eastAsia="Times New Roman" w:hAnsi="Times New Roman"/>
          <w:sz w:val="9"/>
          <w:szCs w:val="9"/>
          <w:color w:val="auto"/>
        </w:rPr>
      </w:pPr>
    </w:p>
    <w:p>
      <w:pPr>
        <w:ind w:left="460" w:hanging="457"/>
        <w:spacing w:after="0"/>
        <w:tabs>
          <w:tab w:leader="none" w:pos="46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Charged to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S-1</w:t>
      </w:r>
    </w:p>
    <w:p>
      <w:pPr>
        <w:sectPr>
          <w:pgSz w:w="11900" w:h="16838" w:orient="portrait"/>
          <w:cols w:equalWidth="0" w:num="1">
            <w:col w:w="10540"/>
          </w:cols>
          <w:pgMar w:left="320" w:top="1047" w:right="1039" w:bottom="1440" w:gutter="0" w:footer="0" w:header="0"/>
        </w:sectPr>
      </w:pPr>
    </w:p>
    <w:bookmarkStart w:id="99" w:name="page100"/>
    <w:bookmarkEnd w:id="99"/>
    <w:p>
      <w:pPr>
        <w:jc w:val="right"/>
        <w:spacing w:after="0"/>
        <w:rPr>
          <w:sz w:val="20"/>
          <w:szCs w:val="20"/>
          <w:color w:val="auto"/>
        </w:rPr>
      </w:pPr>
      <w:r>
        <w:rPr>
          <w:rFonts w:ascii="Arial" w:cs="Arial" w:eastAsia="Arial" w:hAnsi="Arial"/>
          <w:sz w:val="21"/>
          <w:szCs w:val="21"/>
          <w:b w:val="1"/>
          <w:bCs w:val="1"/>
          <w:color w:val="auto"/>
        </w:rPr>
        <w:t>Exhibit 10.18</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FOURTH AMENDMENT TO THE AMENDED AND RESTATED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2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This Fourth Amendment (this “Amendment”), dated as of March 8, 2023 by and between Lifetime Brands, Inc., a Delaware Corporation (the “Company”) and Laurence Winoker (the “Executive”) shall be effective as of January 1, 2023 (the “Amendment Effective Date”) and amends the Amended and Restated Employment Agreement, dated as of September 10, 2015 between the Company and the Executive, as amended from time to time (the “Employment Agreement”).</w:t>
      </w:r>
    </w:p>
    <w:p>
      <w:pPr>
        <w:spacing w:after="0" w:line="18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WHEREAS, pursuant to Section 14(a) of the Employment Agreement, the Company wishes to further amend the Employment Agreement to reflect a revised base salary as of the Amendment Effective Date.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NOW, THEREFORE, in consideration of Executive’s continued employment with the Company and other good and sufficient consideration set forth herein, the Company and the Executive hereby agree as follows:</w:t>
      </w:r>
    </w:p>
    <w:p>
      <w:pPr>
        <w:spacing w:after="0" w:line="181" w:lineRule="exact"/>
        <w:rPr>
          <w:sz w:val="20"/>
          <w:szCs w:val="20"/>
          <w:color w:val="auto"/>
        </w:rPr>
      </w:pPr>
    </w:p>
    <w:p>
      <w:pPr>
        <w:ind w:left="620" w:hanging="307"/>
        <w:spacing w:after="0"/>
        <w:tabs>
          <w:tab w:leader="none" w:pos="6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Section 3(a) of the Employment Agreement shall be deleted in its entirety and replaced with the following:</w:t>
      </w:r>
    </w:p>
    <w:p>
      <w:pPr>
        <w:spacing w:after="0" w:line="222" w:lineRule="exact"/>
        <w:rPr>
          <w:rFonts w:ascii="Times New Roman" w:cs="Times New Roman" w:eastAsia="Times New Roman" w:hAnsi="Times New Roman"/>
          <w:sz w:val="19"/>
          <w:szCs w:val="19"/>
          <w:color w:val="auto"/>
        </w:rPr>
      </w:pPr>
    </w:p>
    <w:p>
      <w:pPr>
        <w:jc w:val="both"/>
        <w:ind w:left="620"/>
        <w:spacing w:after="0" w:line="24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In consideration of the services rendered by the Executive under this Agreement, the Company shall pay the Executive a base salary (the “Base Salary”) at the rate of $446,250.00 per calendar year. The Base Salary shall be paid in such installments and at such times as the Company pays its regularly salaried employees.”</w:t>
      </w:r>
    </w:p>
    <w:p>
      <w:pPr>
        <w:spacing w:after="0" w:line="194" w:lineRule="exact"/>
        <w:rPr>
          <w:rFonts w:ascii="Times New Roman" w:cs="Times New Roman" w:eastAsia="Times New Roman" w:hAnsi="Times New Roman"/>
          <w:sz w:val="19"/>
          <w:szCs w:val="19"/>
          <w:color w:val="auto"/>
        </w:rPr>
      </w:pPr>
    </w:p>
    <w:p>
      <w:pPr>
        <w:jc w:val="both"/>
        <w:ind w:left="620" w:hanging="307"/>
        <w:spacing w:after="0" w:line="243" w:lineRule="auto"/>
        <w:tabs>
          <w:tab w:leader="none" w:pos="6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Employment Agreement, as amended by this Amendment, constitutes the entire and exclusive agreement between the parties with respect to the subject matter hereof. All previous discussions and agreements with respect to the subject matter of this Amendment are superseded by this Amendment.</w:t>
      </w:r>
    </w:p>
    <w:p>
      <w:pPr>
        <w:spacing w:after="0" w:line="181" w:lineRule="exact"/>
        <w:rPr>
          <w:rFonts w:ascii="Times New Roman" w:cs="Times New Roman" w:eastAsia="Times New Roman" w:hAnsi="Times New Roman"/>
          <w:sz w:val="19"/>
          <w:szCs w:val="19"/>
          <w:color w:val="auto"/>
        </w:rPr>
      </w:pPr>
    </w:p>
    <w:p>
      <w:pPr>
        <w:ind w:left="620" w:hanging="307"/>
        <w:spacing w:after="0" w:line="256" w:lineRule="auto"/>
        <w:tabs>
          <w:tab w:leader="none" w:pos="6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Except as expressly amended hereby, all the terms, conditions, and provisions of the Employment Agreement shall remain in full force and effect. This Amendment shall form a part of the Employment Agreement for all purposes.</w:t>
      </w:r>
    </w:p>
    <w:p>
      <w:pPr>
        <w:spacing w:after="0" w:line="181" w:lineRule="exact"/>
        <w:rPr>
          <w:rFonts w:ascii="Times New Roman" w:cs="Times New Roman" w:eastAsia="Times New Roman" w:hAnsi="Times New Roman"/>
          <w:sz w:val="19"/>
          <w:szCs w:val="19"/>
          <w:color w:val="auto"/>
        </w:rPr>
      </w:pPr>
    </w:p>
    <w:p>
      <w:pPr>
        <w:jc w:val="both"/>
        <w:ind w:left="620" w:hanging="307"/>
        <w:spacing w:after="0" w:line="243" w:lineRule="auto"/>
        <w:tabs>
          <w:tab w:leader="none" w:pos="6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This Amendment may be executed in counterparts and by facsimile or other electronic means, including by portable document format (PDF), each of which shall be deemed to have the same legal effect as an original and together shall constitute one and the same instrument.</w:t>
      </w:r>
    </w:p>
    <w:p>
      <w:pPr>
        <w:spacing w:after="0" w:line="19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Company represents and warrants that it has the full power and authority to enter into this Amendment.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remainder of this page is intentionally left blank]</w:t>
      </w:r>
    </w:p>
    <w:p>
      <w:pPr>
        <w:sectPr>
          <w:pgSz w:w="11900" w:h="16838" w:orient="portrait"/>
          <w:cols w:equalWidth="0" w:num="1">
            <w:col w:w="11240"/>
          </w:cols>
          <w:pgMar w:left="320" w:top="822"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1"/>
          <w:szCs w:val="21"/>
          <w:b w:val="1"/>
          <w:bCs w:val="1"/>
          <w:color w:val="auto"/>
        </w:rPr>
        <w:t>Exhibit 10.18</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as of the day and year first written above.</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LIFETIME BRANDS, INC.</w:t>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By: /s/ Robert B. Kay Name: Robert B. Kay Title: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-21590</wp:posOffset>
            </wp:positionV>
            <wp:extent cx="9823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982345" cy="8255"/>
                    </a:xfrm>
                    <a:prstGeom prst="rect">
                      <a:avLst/>
                    </a:prstGeom>
                    <a:noFill/>
                  </pic:spPr>
                </pic:pic>
              </a:graphicData>
            </a:graphic>
          </wp:anchor>
        </w:drawing>
      </w:r>
    </w:p>
    <w:p>
      <w:pPr>
        <w:ind w:left="3720"/>
        <w:spacing w:after="0"/>
        <w:rPr>
          <w:sz w:val="20"/>
          <w:szCs w:val="20"/>
          <w:color w:val="auto"/>
        </w:rPr>
      </w:pPr>
      <w:r>
        <w:rPr>
          <w:rFonts w:ascii="Times New Roman" w:cs="Times New Roman" w:eastAsia="Times New Roman" w:hAnsi="Times New Roman"/>
          <w:sz w:val="21"/>
          <w:szCs w:val="21"/>
          <w:color w:val="auto"/>
        </w:rPr>
        <w:t>Officer</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EXECUTIVE</w:t>
      </w:r>
    </w:p>
    <w:p>
      <w:pPr>
        <w:spacing w:after="0" w:line="1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u w:val="single" w:color="auto"/>
          <w:color w:val="auto"/>
        </w:rPr>
        <w:t>/s/ Laurence Winoker</w:t>
      </w:r>
      <w:r>
        <w:rPr>
          <w:rFonts w:ascii="Times New Roman" w:cs="Times New Roman" w:eastAsia="Times New Roman" w:hAnsi="Times New Roman"/>
          <w:sz w:val="21"/>
          <w:szCs w:val="21"/>
          <w:color w:val="auto"/>
        </w:rPr>
        <w:t xml:space="preserve"> Laurence Winoker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620"/>
          </w:cols>
          <w:pgMar w:left="940" w:top="822"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1"/>
          <w:szCs w:val="21"/>
          <w:b w:val="1"/>
          <w:bCs w:val="1"/>
          <w:color w:val="auto"/>
        </w:rPr>
        <w:t>Exhibit 10.26</w:t>
      </w:r>
    </w:p>
    <w:p>
      <w:pPr>
        <w:spacing w:after="0" w:line="27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THIRD AMENDMENT TO THE</w:t>
      </w:r>
    </w:p>
    <w:p>
      <w:pPr>
        <w:spacing w:after="0" w:line="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2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This Third Amendment (this “Amendment”), dated as of March 8, 2023 by and between Lifetime Brands, Inc., a Delaware Corporation (the “Company”) and Daniel Siegel (the “Executive”) shall be effective as of January 1, 2023 (the “Amendment Effective Date”) and amends the Employment Agreement, dated as of November 8, 2017 between the Company and the Executive, as amended from time to time (the “Employment Agreement”).</w:t>
      </w:r>
    </w:p>
    <w:p>
      <w:pPr>
        <w:spacing w:after="0" w:line="198"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21"/>
          <w:szCs w:val="21"/>
          <w:color w:val="auto"/>
        </w:rPr>
        <w:t>WHEREAS, pursuant to Section 21 of the Employment Agreement, the Company wishes to amend the Employment Agreement to reflect a revised base salary as of the Amendment Effective Date.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NOW, THEREFORE, in consideration of Executive’s continued employment with the Company and other good and sufficient consideration set forth herein, the Company and the Executive hereby agree as follows:</w:t>
      </w:r>
    </w:p>
    <w:p>
      <w:pPr>
        <w:spacing w:after="0" w:line="181" w:lineRule="exact"/>
        <w:rPr>
          <w:sz w:val="20"/>
          <w:szCs w:val="20"/>
          <w:color w:val="auto"/>
        </w:rPr>
      </w:pPr>
    </w:p>
    <w:p>
      <w:pPr>
        <w:ind w:left="620" w:hanging="307"/>
        <w:spacing w:after="0" w:line="256" w:lineRule="auto"/>
        <w:tabs>
          <w:tab w:leader="none" w:pos="6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Section 2(a) of the Employment Agreement shall be amended as of the Amendment Effective Date by replacing the first sentence of Section 2(a) in its entirety with the following:</w:t>
      </w:r>
    </w:p>
    <w:p>
      <w:pPr>
        <w:spacing w:after="0" w:line="181"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“During the Term, the Company shall pay the Executive a base salary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at the annual rate of $663,000.00.”</w:t>
      </w:r>
    </w:p>
    <w:p>
      <w:pPr>
        <w:spacing w:after="0" w:line="222" w:lineRule="exact"/>
        <w:rPr>
          <w:rFonts w:ascii="Times New Roman" w:cs="Times New Roman" w:eastAsia="Times New Roman" w:hAnsi="Times New Roman"/>
          <w:sz w:val="19"/>
          <w:szCs w:val="19"/>
          <w:color w:val="auto"/>
        </w:rPr>
      </w:pPr>
    </w:p>
    <w:p>
      <w:pPr>
        <w:jc w:val="both"/>
        <w:ind w:left="620" w:hanging="307"/>
        <w:spacing w:after="0" w:line="243" w:lineRule="auto"/>
        <w:tabs>
          <w:tab w:leader="none" w:pos="6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Employment Agreement, as amended by this Amendment, constitutes the entire and exclusive agreement between the parties with respect to the subject matter hereof. All previous discussions and agreements with respect to the subject matter of this Amendment are superseded by this Amendment.</w:t>
      </w:r>
    </w:p>
    <w:p>
      <w:pPr>
        <w:spacing w:after="0" w:line="194" w:lineRule="exact"/>
        <w:rPr>
          <w:rFonts w:ascii="Times New Roman" w:cs="Times New Roman" w:eastAsia="Times New Roman" w:hAnsi="Times New Roman"/>
          <w:sz w:val="19"/>
          <w:szCs w:val="19"/>
          <w:color w:val="auto"/>
        </w:rPr>
      </w:pPr>
    </w:p>
    <w:p>
      <w:pPr>
        <w:ind w:left="620" w:hanging="307"/>
        <w:spacing w:after="0" w:line="256" w:lineRule="auto"/>
        <w:tabs>
          <w:tab w:leader="none" w:pos="6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Except as expressly amended hereby, all the terms, conditions, and provisions of the Employment Agreement, as amended, shall remain in full force and effect. This Amendment shall form a part of the Employment Agreement for all purposes.</w:t>
      </w:r>
    </w:p>
    <w:p>
      <w:pPr>
        <w:spacing w:after="0" w:line="168" w:lineRule="exact"/>
        <w:rPr>
          <w:rFonts w:ascii="Times New Roman" w:cs="Times New Roman" w:eastAsia="Times New Roman" w:hAnsi="Times New Roman"/>
          <w:sz w:val="19"/>
          <w:szCs w:val="19"/>
          <w:color w:val="auto"/>
        </w:rPr>
      </w:pPr>
    </w:p>
    <w:p>
      <w:pPr>
        <w:jc w:val="both"/>
        <w:ind w:left="620" w:hanging="307"/>
        <w:spacing w:after="0" w:line="243" w:lineRule="auto"/>
        <w:tabs>
          <w:tab w:leader="none" w:pos="6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This Amendment may be executed in counterparts and by facsimile or other electronic means, including by portable document format (PDF), each of which shall be deemed to have the same legal effect as an original and together shall constitute one and the same instrument.</w:t>
      </w:r>
    </w:p>
    <w:p>
      <w:pPr>
        <w:spacing w:after="0" w:line="19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Company represents and warrants that it has the full power and authority to enter into this Amendment.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remainder of this page is intentionally left blank]</w:t>
      </w:r>
    </w:p>
    <w:p>
      <w:pPr>
        <w:sectPr>
          <w:pgSz w:w="11900" w:h="16838" w:orient="portrait"/>
          <w:cols w:equalWidth="0" w:num="1">
            <w:col w:w="11240"/>
          </w:cols>
          <w:pgMar w:left="320" w:top="83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1"/>
          <w:szCs w:val="21"/>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as of the day and year first written above.</w:t>
      </w:r>
    </w:p>
    <w:p>
      <w:pPr>
        <w:spacing w:after="0" w:line="226" w:lineRule="exact"/>
        <w:rPr>
          <w:sz w:val="20"/>
          <w:szCs w:val="20"/>
          <w:color w:val="auto"/>
        </w:rPr>
      </w:pPr>
    </w:p>
    <w:tbl>
      <w:tblPr>
        <w:tblLayout w:type="fixed"/>
        <w:tblInd w:w="1240" w:type="dxa"/>
        <w:tblCellMar>
          <w:top w:w="0" w:type="dxa"/>
          <w:left w:w="0" w:type="dxa"/>
          <w:bottom w:w="0" w:type="dxa"/>
          <w:right w:w="0" w:type="dxa"/>
        </w:tblCellMar>
      </w:tblPr>
      <w:tr>
        <w:trPr>
          <w:trHeight w:val="241"/>
        </w:trPr>
        <w:tc>
          <w:tcPr>
            <w:tcW w:w="61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LIFETIME BRANDS, INC.</w:t>
            </w:r>
          </w:p>
        </w:tc>
        <w:tc>
          <w:tcPr>
            <w:tcW w:w="2840" w:type="dxa"/>
            <w:vAlign w:val="bottom"/>
          </w:tcPr>
          <w:p>
            <w:pPr>
              <w:spacing w:after="0"/>
              <w:rPr>
                <w:sz w:val="21"/>
                <w:szCs w:val="21"/>
                <w:color w:val="auto"/>
              </w:rPr>
            </w:pPr>
          </w:p>
        </w:tc>
      </w:tr>
      <w:tr>
        <w:trPr>
          <w:trHeight w:val="219"/>
        </w:trPr>
        <w:tc>
          <w:tcPr>
            <w:tcW w:w="6120" w:type="dxa"/>
            <w:vAlign w:val="bottom"/>
            <w:gridSpan w:val="2"/>
          </w:tcPr>
          <w:p>
            <w:pPr>
              <w:ind w:left="4340"/>
              <w:spacing w:after="0" w:line="219" w:lineRule="exact"/>
              <w:rPr>
                <w:sz w:val="20"/>
                <w:szCs w:val="20"/>
                <w:color w:val="auto"/>
              </w:rPr>
            </w:pPr>
            <w:r>
              <w:rPr>
                <w:rFonts w:ascii="Times New Roman" w:cs="Times New Roman" w:eastAsia="Times New Roman" w:hAnsi="Times New Roman"/>
                <w:sz w:val="21"/>
                <w:szCs w:val="21"/>
                <w:color w:val="auto"/>
                <w:w w:val="99"/>
              </w:rPr>
              <w:t>By: /s/Robert B. Kay</w:t>
            </w:r>
          </w:p>
        </w:tc>
        <w:tc>
          <w:tcPr>
            <w:tcW w:w="2840" w:type="dxa"/>
            <w:vAlign w:val="bottom"/>
          </w:tcPr>
          <w:p>
            <w:pPr>
              <w:ind w:left="1040"/>
              <w:spacing w:after="0" w:line="219" w:lineRule="exact"/>
              <w:rPr>
                <w:sz w:val="20"/>
                <w:szCs w:val="20"/>
                <w:color w:val="auto"/>
              </w:rPr>
            </w:pPr>
            <w:r>
              <w:rPr>
                <w:rFonts w:ascii="Times New Roman" w:cs="Times New Roman" w:eastAsia="Times New Roman" w:hAnsi="Times New Roman"/>
                <w:sz w:val="21"/>
                <w:szCs w:val="21"/>
                <w:color w:val="auto"/>
                <w:w w:val="97"/>
              </w:rPr>
              <w:t>Name: Robert B. Kay</w:t>
            </w:r>
          </w:p>
        </w:tc>
      </w:tr>
      <w:tr>
        <w:trPr>
          <w:trHeight w:val="20"/>
        </w:trPr>
        <w:tc>
          <w:tcPr>
            <w:tcW w:w="46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61"/>
        </w:trPr>
        <w:tc>
          <w:tcPr>
            <w:tcW w:w="6120" w:type="dxa"/>
            <w:vAlign w:val="bottom"/>
            <w:gridSpan w:val="2"/>
          </w:tcPr>
          <w:p>
            <w:pPr>
              <w:ind w:left="3020"/>
              <w:spacing w:after="0"/>
              <w:rPr>
                <w:sz w:val="20"/>
                <w:szCs w:val="20"/>
                <w:color w:val="auto"/>
              </w:rPr>
            </w:pPr>
            <w:r>
              <w:rPr>
                <w:rFonts w:ascii="Times New Roman" w:cs="Times New Roman" w:eastAsia="Times New Roman" w:hAnsi="Times New Roman"/>
                <w:sz w:val="21"/>
                <w:szCs w:val="21"/>
                <w:color w:val="auto"/>
              </w:rPr>
              <w:t>Title: Chief Executive Officer</w:t>
            </w:r>
          </w:p>
        </w:tc>
        <w:tc>
          <w:tcPr>
            <w:tcW w:w="2840" w:type="dxa"/>
            <w:vAlign w:val="bottom"/>
          </w:tcPr>
          <w:p>
            <w:pPr>
              <w:spacing w:after="0"/>
              <w:rPr>
                <w:sz w:val="22"/>
                <w:szCs w:val="22"/>
                <w:color w:val="auto"/>
              </w:rPr>
            </w:pPr>
          </w:p>
        </w:tc>
      </w:tr>
    </w:tbl>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EXECUTIVE</w:t>
      </w:r>
    </w:p>
    <w:p>
      <w:pPr>
        <w:spacing w:after="0" w:line="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u w:val="single" w:color="auto"/>
          <w:color w:val="auto"/>
        </w:rPr>
        <w:t>/s/ Daniel Siegel</w:t>
      </w:r>
      <w:r>
        <w:rPr>
          <w:rFonts w:ascii="Times New Roman" w:cs="Times New Roman" w:eastAsia="Times New Roman" w:hAnsi="Times New Roman"/>
          <w:sz w:val="21"/>
          <w:szCs w:val="21"/>
          <w:color w:val="auto"/>
        </w:rPr>
        <w:t xml:space="preserve"> DANIEL SIEGEL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83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1"/>
          <w:szCs w:val="21"/>
          <w:b w:val="1"/>
          <w:bCs w:val="1"/>
          <w:color w:val="auto"/>
        </w:rPr>
        <w:t>Exhibit 10.35</w:t>
      </w:r>
    </w:p>
    <w:p>
      <w:pPr>
        <w:spacing w:after="0" w:line="26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THIRD AMENDMENT TO THE</w:t>
      </w:r>
    </w:p>
    <w:p>
      <w:pPr>
        <w:ind w:left="4160"/>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175" w:lineRule="exact"/>
        <w:rPr>
          <w:sz w:val="20"/>
          <w:szCs w:val="20"/>
          <w:color w:val="auto"/>
        </w:rPr>
      </w:pPr>
    </w:p>
    <w:p>
      <w:pPr>
        <w:jc w:val="both"/>
        <w:ind w:firstLine="364"/>
        <w:spacing w:after="0" w:line="220" w:lineRule="auto"/>
        <w:rPr>
          <w:sz w:val="20"/>
          <w:szCs w:val="20"/>
          <w:color w:val="auto"/>
        </w:rPr>
      </w:pPr>
      <w:r>
        <w:rPr>
          <w:rFonts w:ascii="Times New Roman" w:cs="Times New Roman" w:eastAsia="Times New Roman" w:hAnsi="Times New Roman"/>
          <w:sz w:val="21"/>
          <w:szCs w:val="21"/>
          <w:color w:val="auto"/>
        </w:rPr>
        <w:t>This Third Amendment (this “Amendment”), dated as of March 8, 2023 by and between Lifetime Brands, Inc., a Delaware Corporation (the “Company”) and Robert B. Kay (the “Executive”) shall be effective as of March 2, 2023 (the “Amendment Effective Date”) and amends the Employment Agreement, dated as of December 22, 2017 between the Company and the Executive, as further amended from time to time (the “Employment Agreement”).</w:t>
      </w:r>
    </w:p>
    <w:p>
      <w:pPr>
        <w:spacing w:after="0" w:line="172" w:lineRule="exact"/>
        <w:rPr>
          <w:sz w:val="20"/>
          <w:szCs w:val="20"/>
          <w:color w:val="auto"/>
        </w:rPr>
      </w:pPr>
    </w:p>
    <w:p>
      <w:pPr>
        <w:jc w:val="both"/>
        <w:ind w:firstLine="362"/>
        <w:spacing w:after="0" w:line="235" w:lineRule="auto"/>
        <w:rPr>
          <w:sz w:val="20"/>
          <w:szCs w:val="20"/>
          <w:color w:val="auto"/>
        </w:rPr>
      </w:pPr>
      <w:r>
        <w:rPr>
          <w:rFonts w:ascii="Times New Roman" w:cs="Times New Roman" w:eastAsia="Times New Roman" w:hAnsi="Times New Roman"/>
          <w:sz w:val="21"/>
          <w:szCs w:val="21"/>
          <w:color w:val="auto"/>
        </w:rPr>
        <w:t>WHEREAS, pursuant to Section 21 of the Employment Agreement, the Company wishes to further amend the Employment Agreement to reflect a revised base salary as of the Amendment Effective Date.</w:t>
      </w:r>
    </w:p>
    <w:p>
      <w:pPr>
        <w:spacing w:after="0" w:line="172" w:lineRule="exact"/>
        <w:rPr>
          <w:sz w:val="20"/>
          <w:szCs w:val="20"/>
          <w:color w:val="auto"/>
        </w:rPr>
      </w:pPr>
    </w:p>
    <w:p>
      <w:pPr>
        <w:jc w:val="both"/>
        <w:ind w:firstLine="334"/>
        <w:spacing w:after="0" w:line="235" w:lineRule="auto"/>
        <w:rPr>
          <w:sz w:val="20"/>
          <w:szCs w:val="20"/>
          <w:color w:val="auto"/>
        </w:rPr>
      </w:pPr>
      <w:r>
        <w:rPr>
          <w:rFonts w:ascii="Times New Roman" w:cs="Times New Roman" w:eastAsia="Times New Roman" w:hAnsi="Times New Roman"/>
          <w:sz w:val="21"/>
          <w:szCs w:val="21"/>
          <w:color w:val="auto"/>
        </w:rPr>
        <w:t>NOW, THEREFORE, in consideration of Executive’s continued employment with the Company and other good and sufficient consideration set forth herein, the Company and the Executive hereby agree as follows:</w:t>
      </w:r>
    </w:p>
    <w:p>
      <w:pPr>
        <w:spacing w:after="0" w:line="172" w:lineRule="exact"/>
        <w:rPr>
          <w:sz w:val="20"/>
          <w:szCs w:val="20"/>
          <w:color w:val="auto"/>
        </w:rPr>
      </w:pPr>
    </w:p>
    <w:p>
      <w:pPr>
        <w:ind w:firstLine="3"/>
        <w:spacing w:after="0" w:line="235" w:lineRule="auto"/>
        <w:tabs>
          <w:tab w:leader="none" w:pos="30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2(a) of the Employment Agreement shall be amended as of the Amendment Effective Date by replacing the first sentence of Section 2(a) in its entirety with the following:</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“During the Term, the Company shall pay the Executive a base salary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at the annual rate of $1,000,000.00.”</w:t>
      </w:r>
    </w:p>
    <w:p>
      <w:pPr>
        <w:spacing w:after="0" w:line="197" w:lineRule="exact"/>
        <w:rPr>
          <w:sz w:val="20"/>
          <w:szCs w:val="20"/>
          <w:color w:val="auto"/>
        </w:rPr>
      </w:pPr>
    </w:p>
    <w:p>
      <w:pPr>
        <w:jc w:val="both"/>
        <w:ind w:firstLine="3"/>
        <w:spacing w:after="0" w:line="225" w:lineRule="auto"/>
        <w:tabs>
          <w:tab w:leader="none" w:pos="30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Employment Agreement, as amended by this Amendment, constitutes the entire and exclusive agreement between the parties with respect to the subject matter hereof. All previous discussions and agreements with respect to the subject matter of this Amendment are superseded by this Amendment.</w:t>
      </w:r>
    </w:p>
    <w:p>
      <w:pPr>
        <w:spacing w:after="0" w:line="171" w:lineRule="exact"/>
        <w:rPr>
          <w:rFonts w:ascii="Times New Roman" w:cs="Times New Roman" w:eastAsia="Times New Roman" w:hAnsi="Times New Roman"/>
          <w:sz w:val="21"/>
          <w:szCs w:val="21"/>
          <w:color w:val="auto"/>
        </w:rPr>
      </w:pPr>
    </w:p>
    <w:p>
      <w:pPr>
        <w:ind w:firstLine="3"/>
        <w:spacing w:after="0" w:line="215" w:lineRule="auto"/>
        <w:tabs>
          <w:tab w:leader="none" w:pos="30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amended hereby, all the terms, conditions, and provisions of the Employment Agreement shall remain in full force and effect. This Amendment shall form a part of the Employment Agreement for all purposes.</w:t>
      </w:r>
    </w:p>
    <w:p>
      <w:pPr>
        <w:spacing w:after="0" w:line="1" w:lineRule="exact"/>
        <w:rPr>
          <w:rFonts w:ascii="Times New Roman" w:cs="Times New Roman" w:eastAsia="Times New Roman" w:hAnsi="Times New Roman"/>
          <w:sz w:val="21"/>
          <w:szCs w:val="21"/>
          <w:color w:val="auto"/>
        </w:rPr>
      </w:pPr>
    </w:p>
    <w:p>
      <w:pPr>
        <w:jc w:val="both"/>
        <w:ind w:firstLine="3"/>
        <w:spacing w:after="0" w:line="218" w:lineRule="auto"/>
        <w:tabs>
          <w:tab w:leader="none" w:pos="30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counterparts and by facsimile or other electronic means, including by portable document format (PDF), each of which shall be deemed to have the same legal effect as an original and together shall constitute one and the same instrument.</w:t>
      </w:r>
    </w:p>
    <w:p>
      <w:pPr>
        <w:spacing w:after="0" w:line="17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represents and warrants that it has the full power and authority to enter into this Amendment.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remainder of this page is intentionally left blank]</w:t>
      </w:r>
    </w:p>
    <w:p>
      <w:pPr>
        <w:sectPr>
          <w:pgSz w:w="11900" w:h="16838" w:orient="portrait"/>
          <w:cols w:equalWidth="0" w:num="1">
            <w:col w:w="11240"/>
          </w:cols>
          <w:pgMar w:left="320" w:top="822"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1"/>
          <w:szCs w:val="21"/>
          <w:b w:val="1"/>
          <w:bCs w:val="1"/>
          <w:color w:val="auto"/>
        </w:rPr>
        <w:t>Exhibit 10.35</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LIFETIME BRANDS, INC.</w:t>
      </w:r>
    </w:p>
    <w:p>
      <w:pPr>
        <w:spacing w:after="0" w:line="223" w:lineRule="exact"/>
        <w:rPr>
          <w:sz w:val="20"/>
          <w:szCs w:val="20"/>
          <w:color w:val="auto"/>
        </w:rPr>
      </w:pPr>
    </w:p>
    <w:p>
      <w:pPr>
        <w:ind w:left="4360"/>
        <w:spacing w:after="0"/>
        <w:tabs>
          <w:tab w:leader="none" w:pos="4920" w:val="left"/>
        </w:tabs>
        <w:rPr>
          <w:sz w:val="20"/>
          <w:szCs w:val="20"/>
          <w:color w:val="auto"/>
        </w:rPr>
      </w:pPr>
      <w:r>
        <w:rPr>
          <w:rFonts w:ascii="Times New Roman" w:cs="Times New Roman" w:eastAsia="Times New Roman" w:hAnsi="Times New Roman"/>
          <w:sz w:val="21"/>
          <w:szCs w:val="21"/>
          <w:color w:val="auto"/>
        </w:rPr>
        <w:t>By:</w:t>
        <w:tab/>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18415</wp:posOffset>
            </wp:positionV>
            <wp:extent cx="18173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Name: Laurence Winoker</w:t>
      </w:r>
    </w:p>
    <w:p>
      <w:pPr>
        <w:spacing w:after="0" w:line="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Title:  Executive Vice President -</w:t>
      </w:r>
    </w:p>
    <w:p>
      <w:pPr>
        <w:ind w:left="4940"/>
        <w:spacing w:after="0" w:line="205" w:lineRule="auto"/>
        <w:rPr>
          <w:sz w:val="20"/>
          <w:szCs w:val="20"/>
          <w:color w:val="auto"/>
        </w:rPr>
      </w:pPr>
      <w:r>
        <w:rPr>
          <w:rFonts w:ascii="Times New Roman" w:cs="Times New Roman" w:eastAsia="Times New Roman" w:hAnsi="Times New Roman"/>
          <w:sz w:val="21"/>
          <w:szCs w:val="21"/>
          <w:color w:val="auto"/>
        </w:rPr>
        <w:t>Treasurer and Chief Financial</w:t>
      </w:r>
    </w:p>
    <w:p>
      <w:pPr>
        <w:ind w:left="4940"/>
        <w:spacing w:after="0"/>
        <w:rPr>
          <w:sz w:val="20"/>
          <w:szCs w:val="20"/>
          <w:color w:val="auto"/>
        </w:rPr>
      </w:pPr>
      <w:r>
        <w:rPr>
          <w:rFonts w:ascii="Times New Roman" w:cs="Times New Roman" w:eastAsia="Times New Roman" w:hAnsi="Times New Roman"/>
          <w:sz w:val="21"/>
          <w:szCs w:val="2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EXECUTIVE</w:t>
      </w:r>
    </w:p>
    <w:p>
      <w:pPr>
        <w:spacing w:after="0" w:line="19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u w:val="single" w:color="auto"/>
          <w:color w:val="auto"/>
        </w:rPr>
        <w:t>/s/ Robert B. Kay</w:t>
      </w:r>
    </w:p>
    <w:p>
      <w:pPr>
        <w:spacing w:after="0" w:line="2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ROBERT B. KAY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822"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1"/>
          <w:szCs w:val="21"/>
          <w:b w:val="1"/>
          <w:bCs w:val="1"/>
          <w:color w:val="auto"/>
        </w:rPr>
        <w:t>Exhibit 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297180</wp:posOffset>
            </wp:positionV>
            <wp:extent cx="1621155" cy="286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1621155" cy="28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AMENDMENT TO RECEIVABLES PURCHASE AGREEMENT</w:t>
      </w:r>
    </w:p>
    <w:p>
      <w:pPr>
        <w:jc w:val="center"/>
        <w:spacing w:after="0"/>
        <w:rPr>
          <w:sz w:val="20"/>
          <w:szCs w:val="20"/>
          <w:color w:val="auto"/>
        </w:rPr>
      </w:pPr>
      <w:r>
        <w:rPr>
          <w:rFonts w:ascii="Times New Roman" w:cs="Times New Roman" w:eastAsia="Times New Roman" w:hAnsi="Times New Roman"/>
          <w:sz w:val="19"/>
          <w:szCs w:val="19"/>
          <w:b w:val="1"/>
          <w:bCs w:val="1"/>
          <w:color w:val="auto"/>
        </w:rPr>
        <w:t>(SOFR Transition)</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AMENDMENT TO RECEIVABLES PURCHASE AGREEMENT (SOFR Transition)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__January 6___,</w:t>
      </w:r>
    </w:p>
    <w:p>
      <w:pPr>
        <w:spacing w:after="0" w:line="6"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2023 is by and between LIFETIME BRANDS, INC., a Delaware corporation (“</w:t>
      </w:r>
      <w:r>
        <w:rPr>
          <w:rFonts w:ascii="Times New Roman" w:cs="Times New Roman" w:eastAsia="Times New Roman" w:hAnsi="Times New Roman"/>
          <w:sz w:val="19"/>
          <w:szCs w:val="19"/>
          <w:u w:val="single" w:color="auto"/>
          <w:color w:val="auto"/>
        </w:rPr>
        <w:t>LBI</w:t>
      </w:r>
      <w:r>
        <w:rPr>
          <w:rFonts w:ascii="Times New Roman" w:cs="Times New Roman" w:eastAsia="Times New Roman" w:hAnsi="Times New Roman"/>
          <w:sz w:val="19"/>
          <w:szCs w:val="19"/>
          <w:color w:val="auto"/>
        </w:rPr>
        <w:t>”), in its capacity as the administrative agent for the Sellers (in such capacity, the “</w:t>
      </w:r>
      <w:r>
        <w:rPr>
          <w:rFonts w:ascii="Times New Roman" w:cs="Times New Roman" w:eastAsia="Times New Roman" w:hAnsi="Times New Roman"/>
          <w:sz w:val="19"/>
          <w:szCs w:val="19"/>
          <w:u w:val="single" w:color="auto"/>
          <w:color w:val="auto"/>
        </w:rPr>
        <w:t>Seller Agent</w:t>
      </w:r>
      <w:r>
        <w:rPr>
          <w:rFonts w:ascii="Times New Roman" w:cs="Times New Roman" w:eastAsia="Times New Roman" w:hAnsi="Times New Roman"/>
          <w:sz w:val="19"/>
          <w:szCs w:val="19"/>
          <w:color w:val="auto"/>
        </w:rPr>
        <w:t>”), as a “Seller” (a “</w:t>
      </w:r>
      <w:r>
        <w:rPr>
          <w:rFonts w:ascii="Times New Roman" w:cs="Times New Roman" w:eastAsia="Times New Roman" w:hAnsi="Times New Roman"/>
          <w:sz w:val="19"/>
          <w:szCs w:val="19"/>
          <w:u w:val="single" w:color="auto"/>
          <w:color w:val="auto"/>
        </w:rPr>
        <w:t>Seller</w:t>
      </w:r>
      <w:r>
        <w:rPr>
          <w:rFonts w:ascii="Times New Roman" w:cs="Times New Roman" w:eastAsia="Times New Roman" w:hAnsi="Times New Roman"/>
          <w:sz w:val="19"/>
          <w:szCs w:val="19"/>
          <w:color w:val="auto"/>
        </w:rPr>
        <w:t>”), and in its capacity as initial “</w:t>
      </w:r>
      <w:r>
        <w:rPr>
          <w:rFonts w:ascii="Times New Roman" w:cs="Times New Roman" w:eastAsia="Times New Roman" w:hAnsi="Times New Roman"/>
          <w:sz w:val="19"/>
          <w:szCs w:val="19"/>
          <w:u w:val="single" w:color="auto"/>
          <w:color w:val="auto"/>
        </w:rPr>
        <w:t>Servicer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HSBC BANK USA, NATIONAL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ASSOCIATION</w:t>
      </w:r>
      <w:r>
        <w:rPr>
          <w:rFonts w:ascii="Times New Roman" w:cs="Times New Roman" w:eastAsia="Times New Roman" w:hAnsi="Times New Roman"/>
          <w:sz w:val="19"/>
          <w:szCs w:val="19"/>
          <w:color w:val="auto"/>
        </w:rPr>
        <w:t>, a national banking association with an office at 452 Fifth Avenue, New York, New York 10018 (the “</w:t>
      </w:r>
      <w:r>
        <w:rPr>
          <w:rFonts w:ascii="Times New Roman" w:cs="Times New Roman" w:eastAsia="Times New Roman" w:hAnsi="Times New Roman"/>
          <w:sz w:val="19"/>
          <w:szCs w:val="19"/>
          <w:u w:val="single" w:color="auto"/>
          <w:color w:val="auto"/>
        </w:rPr>
        <w:t>Purchaser</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00" w:lineRule="exact"/>
        <w:rPr>
          <w:sz w:val="20"/>
          <w:szCs w:val="20"/>
          <w:color w:val="auto"/>
        </w:rPr>
      </w:pPr>
    </w:p>
    <w:p>
      <w:pPr>
        <w:spacing w:after="0" w:line="303" w:lineRule="exact"/>
        <w:rPr>
          <w:sz w:val="20"/>
          <w:szCs w:val="20"/>
          <w:color w:val="auto"/>
        </w:rPr>
      </w:pPr>
    </w:p>
    <w:p>
      <w:pPr>
        <w:jc w:val="both"/>
        <w:ind w:right="60"/>
        <w:spacing w:after="0" w:line="232"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LBI and the Purchaser are party to that certain Receivables Purchase Agreement, dated as of September 30, 2016 (as the same may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amended, modified, supplemented, restated or amended and restated from time to time, the “</w:t>
      </w:r>
      <w:r>
        <w:rPr>
          <w:rFonts w:ascii="Times New Roman" w:cs="Times New Roman" w:eastAsia="Times New Roman" w:hAnsi="Times New Roman"/>
          <w:sz w:val="19"/>
          <w:szCs w:val="19"/>
          <w:u w:val="single" w:color="auto"/>
          <w:color w:val="auto"/>
        </w:rPr>
        <w:t>RPA</w:t>
      </w:r>
      <w:r>
        <w:rPr>
          <w:rFonts w:ascii="Times New Roman" w:cs="Times New Roman" w:eastAsia="Times New Roman" w:hAnsi="Times New Roman"/>
          <w:sz w:val="19"/>
          <w:szCs w:val="19"/>
          <w:color w:val="auto"/>
        </w:rPr>
        <w:t>”), between LBI, as Seller Agent, Seller and initial Servicer as therein provided, and Purchaser.</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in connection with the transition from LIBOR, the Seller Agent, Seller, Servicer and the Purchaser wish, on the terms and subject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conditions hereinafter set forth, to modify the RPA as set forth below.</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117"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NOW, THEREFORE, </w:t>
      </w:r>
      <w:r>
        <w:rPr>
          <w:rFonts w:ascii="Times New Roman" w:cs="Times New Roman" w:eastAsia="Times New Roman" w:hAnsi="Times New Roman"/>
          <w:sz w:val="19"/>
          <w:szCs w:val="19"/>
          <w:color w:val="auto"/>
        </w:rPr>
        <w:t>in consideration of the foregoing and for other good and valuable consideration, the receipt and adequacy of which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hereby acknowledged, the parties hereto hereby covenant and agree to be bound as follows:</w:t>
      </w:r>
    </w:p>
    <w:p>
      <w:pPr>
        <w:spacing w:after="0" w:line="95" w:lineRule="exact"/>
        <w:rPr>
          <w:sz w:val="20"/>
          <w:szCs w:val="20"/>
          <w:color w:val="auto"/>
        </w:rPr>
      </w:pPr>
    </w:p>
    <w:p>
      <w:pPr>
        <w:ind w:firstLine="421"/>
        <w:spacing w:after="0" w:line="235" w:lineRule="auto"/>
        <w:rPr>
          <w:sz w:val="20"/>
          <w:szCs w:val="20"/>
          <w:color w:val="auto"/>
        </w:rPr>
      </w:pPr>
      <w:r>
        <w:rPr>
          <w:rFonts w:ascii="Times New Roman" w:cs="Times New Roman" w:eastAsia="Times New Roman" w:hAnsi="Times New Roman"/>
          <w:sz w:val="19"/>
          <w:szCs w:val="19"/>
          <w:b w:val="1"/>
          <w:bCs w:val="1"/>
          <w:color w:val="auto"/>
        </w:rPr>
        <w:t xml:space="preserve">Section 1. </w:t>
      </w:r>
      <w:r>
        <w:rPr>
          <w:rFonts w:ascii="Times New Roman" w:cs="Times New Roman" w:eastAsia="Times New Roman" w:hAnsi="Times New Roman"/>
          <w:sz w:val="19"/>
          <w:szCs w:val="19"/>
          <w:b w:val="1"/>
          <w:bCs w:val="1"/>
          <w:u w:val="single" w:color="auto"/>
          <w:color w:val="auto"/>
        </w:rPr>
        <w:t>Capitalized Terms</w:t>
      </w:r>
      <w:r>
        <w:rPr>
          <w:rFonts w:ascii="Times New Roman" w:cs="Times New Roman" w:eastAsia="Times New Roman" w:hAnsi="Times New Roman"/>
          <w:sz w:val="19"/>
          <w:szCs w:val="19"/>
          <w:color w:val="auto"/>
        </w:rPr>
        <w:t>. Capitalized terms used and not otherwise defined herein shall have the meanings assigned to them in the RPA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unless the context otherwise requires.</w:t>
      </w:r>
    </w:p>
    <w:p>
      <w:pPr>
        <w:spacing w:after="0" w:line="1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b w:val="1"/>
          <w:bCs w:val="1"/>
          <w:color w:val="auto"/>
        </w:rPr>
        <w:t xml:space="preserve">Section 2. </w:t>
      </w:r>
      <w:r>
        <w:rPr>
          <w:rFonts w:ascii="Times New Roman" w:cs="Times New Roman" w:eastAsia="Times New Roman" w:hAnsi="Times New Roman"/>
          <w:sz w:val="19"/>
          <w:szCs w:val="19"/>
          <w:b w:val="1"/>
          <w:bCs w:val="1"/>
          <w:u w:val="single" w:color="auto"/>
          <w:color w:val="auto"/>
        </w:rPr>
        <w:t>Amendments</w:t>
      </w:r>
      <w:r>
        <w:rPr>
          <w:rFonts w:ascii="Times New Roman" w:cs="Times New Roman" w:eastAsia="Times New Roman" w:hAnsi="Times New Roman"/>
          <w:sz w:val="19"/>
          <w:szCs w:val="19"/>
          <w:color w:val="auto"/>
        </w:rPr>
        <w:t>. On the Amendment Effective Date (as defined below), the RPA shall be amended as follows:</w:t>
      </w:r>
    </w:p>
    <w:p>
      <w:pPr>
        <w:spacing w:after="0" w:line="121" w:lineRule="exact"/>
        <w:rPr>
          <w:sz w:val="20"/>
          <w:szCs w:val="20"/>
          <w:color w:val="auto"/>
        </w:rPr>
      </w:pPr>
    </w:p>
    <w:p>
      <w:pPr>
        <w:ind w:left="600" w:hanging="408"/>
        <w:spacing w:after="0"/>
        <w:tabs>
          <w:tab w:leader="none" w:pos="6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 of the RPA is amended by adding the following as Section 2(j) and Section 2(k):</w:t>
      </w:r>
    </w:p>
    <w:p>
      <w:pPr>
        <w:spacing w:after="0" w:line="129" w:lineRule="exact"/>
        <w:rPr>
          <w:rFonts w:ascii="Times New Roman" w:cs="Times New Roman" w:eastAsia="Times New Roman" w:hAnsi="Times New Roman"/>
          <w:sz w:val="19"/>
          <w:szCs w:val="19"/>
          <w:color w:val="auto"/>
        </w:rPr>
      </w:pPr>
    </w:p>
    <w:p>
      <w:pPr>
        <w:ind w:left="1600" w:hanging="359"/>
        <w:spacing w:after="0"/>
        <w:tabs>
          <w:tab w:leader="none" w:pos="1600"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 Setting</w:t>
      </w:r>
      <w:r>
        <w:rPr>
          <w:rFonts w:ascii="Times New Roman" w:cs="Times New Roman" w:eastAsia="Times New Roman" w:hAnsi="Times New Roman"/>
          <w:sz w:val="19"/>
          <w:szCs w:val="19"/>
          <w:color w:val="auto"/>
        </w:rPr>
        <w:t>.</w:t>
      </w:r>
    </w:p>
    <w:p>
      <w:pPr>
        <w:spacing w:after="0" w:line="129" w:lineRule="exact"/>
        <w:rPr>
          <w:rFonts w:ascii="Times New Roman" w:cs="Times New Roman" w:eastAsia="Times New Roman" w:hAnsi="Times New Roman"/>
          <w:sz w:val="19"/>
          <w:szCs w:val="19"/>
          <w:color w:val="auto"/>
        </w:rPr>
      </w:pPr>
    </w:p>
    <w:p>
      <w:pPr>
        <w:jc w:val="both"/>
        <w:ind w:left="1240" w:right="620" w:firstLine="278"/>
        <w:spacing w:after="0" w:line="217" w:lineRule="auto"/>
        <w:tabs>
          <w:tab w:leader="none" w:pos="1972" w:val="left"/>
        </w:tabs>
        <w:numPr>
          <w:ilvl w:val="3"/>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or in any other document related to this Agreement, upon the occurrence of a Benchmark Transition Event, Purchaser and Seller may amend this Agreement to replace the then-current Benchmark with a Benchmark Replacement. Any such amendment with respect to a Benchmark Transition Event will become effective upon the execution and delivery of such amendment by Purchaser and Seller. No replacement of a Benchmark with a Benchmark Replacement pursuant to this </w:t>
      </w:r>
      <w:r>
        <w:rPr>
          <w:rFonts w:ascii="Times New Roman" w:cs="Times New Roman" w:eastAsia="Times New Roman" w:hAnsi="Times New Roman"/>
          <w:sz w:val="19"/>
          <w:szCs w:val="19"/>
          <w:u w:val="single" w:color="auto"/>
          <w:color w:val="auto"/>
        </w:rPr>
        <w:t>Section 2(j)</w:t>
      </w:r>
      <w:r>
        <w:rPr>
          <w:rFonts w:ascii="Times New Roman" w:cs="Times New Roman" w:eastAsia="Times New Roman" w:hAnsi="Times New Roman"/>
          <w:sz w:val="19"/>
          <w:szCs w:val="19"/>
          <w:color w:val="auto"/>
        </w:rPr>
        <w:t xml:space="preserve"> will occur prior to the applicable Benchmark Transition Start Date.</w:t>
      </w:r>
    </w:p>
    <w:p>
      <w:pPr>
        <w:spacing w:after="0" w:line="103" w:lineRule="exact"/>
        <w:rPr>
          <w:rFonts w:ascii="Times New Roman" w:cs="Times New Roman" w:eastAsia="Times New Roman" w:hAnsi="Times New Roman"/>
          <w:sz w:val="19"/>
          <w:szCs w:val="19"/>
          <w:color w:val="auto"/>
        </w:rPr>
      </w:pPr>
    </w:p>
    <w:p>
      <w:pPr>
        <w:jc w:val="both"/>
        <w:ind w:left="1240" w:right="620" w:firstLine="203"/>
        <w:spacing w:after="0" w:line="222" w:lineRule="auto"/>
        <w:tabs>
          <w:tab w:leader="none" w:pos="1876" w:val="left"/>
        </w:tabs>
        <w:numPr>
          <w:ilvl w:val="2"/>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the implementation of a Benchmark Replacement, Purchaser will have the right, in consultation with the Seller, to make Benchmark Replacement Conforming Changes from time to time and notwithstanding anything to the contrary herein or in any other document related to this Agreement, any amendments implementing such Benchmark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822"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1"/>
          <w:szCs w:val="21"/>
          <w:b w:val="1"/>
          <w:bCs w:val="1"/>
          <w:color w:val="auto"/>
        </w:rPr>
        <w:t>Exhibit 10.45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Conforming Changes will become effective without any further action or consent of Seller.</w:t>
      </w:r>
    </w:p>
    <w:p>
      <w:pPr>
        <w:spacing w:after="0" w:line="130" w:lineRule="exact"/>
        <w:rPr>
          <w:sz w:val="20"/>
          <w:szCs w:val="20"/>
          <w:color w:val="auto"/>
        </w:rPr>
      </w:pPr>
    </w:p>
    <w:p>
      <w:pPr>
        <w:jc w:val="both"/>
        <w:ind w:left="120" w:right="620" w:firstLine="277"/>
        <w:spacing w:after="0" w:line="216" w:lineRule="auto"/>
        <w:tabs>
          <w:tab w:leader="none" w:pos="956" w:val="left"/>
        </w:tabs>
        <w:numPr>
          <w:ilvl w:val="3"/>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Purchaser will promptly notify Seller of (A) the implementation of any Benchmark Replacement and (B) the effectiveness of any Benchmark Replacement Conforming Changes. Purchaser will promptly notify Seller of the removal or reinstatement of any tenor of a Benchmark pursuant to clause (iv) below. Any determination, decision or election that may be made by Purchaser pursuant to this </w:t>
      </w:r>
      <w:r>
        <w:rPr>
          <w:rFonts w:ascii="Times New Roman" w:cs="Times New Roman" w:eastAsia="Times New Roman" w:hAnsi="Times New Roman"/>
          <w:sz w:val="19"/>
          <w:szCs w:val="19"/>
          <w:u w:val="single" w:color="auto"/>
          <w:color w:val="auto"/>
        </w:rPr>
        <w:t>Section 2(j)</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Seller, except, in each case, as expressly required pursuant to this </w:t>
      </w:r>
      <w:r>
        <w:rPr>
          <w:rFonts w:ascii="Times New Roman" w:cs="Times New Roman" w:eastAsia="Times New Roman" w:hAnsi="Times New Roman"/>
          <w:sz w:val="19"/>
          <w:szCs w:val="19"/>
          <w:u w:val="single" w:color="auto"/>
          <w:color w:val="auto"/>
        </w:rPr>
        <w:t>Section 2(j)</w:t>
      </w:r>
      <w:r>
        <w:rPr>
          <w:rFonts w:ascii="Times New Roman" w:cs="Times New Roman" w:eastAsia="Times New Roman" w:hAnsi="Times New Roman"/>
          <w:sz w:val="19"/>
          <w:szCs w:val="19"/>
          <w:color w:val="auto"/>
        </w:rPr>
        <w:t>.</w:t>
      </w:r>
    </w:p>
    <w:p>
      <w:pPr>
        <w:spacing w:after="0" w:line="93" w:lineRule="exact"/>
        <w:rPr>
          <w:rFonts w:ascii="Times New Roman" w:cs="Times New Roman" w:eastAsia="Times New Roman" w:hAnsi="Times New Roman"/>
          <w:sz w:val="19"/>
          <w:szCs w:val="19"/>
          <w:color w:val="auto"/>
        </w:rPr>
      </w:pPr>
    </w:p>
    <w:p>
      <w:pPr>
        <w:jc w:val="both"/>
        <w:ind w:left="120" w:right="620" w:firstLine="229"/>
        <w:spacing w:after="0" w:line="212" w:lineRule="auto"/>
        <w:tabs>
          <w:tab w:leader="none" w:pos="849" w:val="left"/>
        </w:tabs>
        <w:numPr>
          <w:ilvl w:val="2"/>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or in any other document related to this Agreement, at any time (including in connection with the implementation of a Benchmark Replacement), (A) if the then-current Benchmark is a term rate (including the Term SOFR Reference Rate) and either (x) any tenor for such Benchmark is not displayed on a screen or other information service that publishes such rate from time to time as selected by Purchaser in its reasonable discretion or (y) the regulatory supervisor for the administrator of such Benchmark has provided a public statement or publication of information announcing that any tenor for such Benchmark is or will be no longer representative, the Purchaser may modify the definition of “Term SOFR Period” (or any similar or analogous definition) for any Benchmark settings at or after such time to remove such unavailable or non-representative tenor and (B) if a tenor that was removed pursuant to clause (A) above either (x) is subsequently displayed on a screen or information service for a Benchmark (including a Benchmark Replacement) or (y) is not, or is no longer, subject to an announcement that it is or will no longer be representative for a Benchmark (including a Benchmark Replacement), then Purchaser may modify the definition of “Term SOFR Period” (or any similar or analogous definition) for all Benchmark settings at or after such time to reinstate such previously removed tenor.</w:t>
      </w:r>
    </w:p>
    <w:p>
      <w:pPr>
        <w:spacing w:after="0" w:line="108" w:lineRule="exact"/>
        <w:rPr>
          <w:rFonts w:ascii="Times New Roman" w:cs="Times New Roman" w:eastAsia="Times New Roman" w:hAnsi="Times New Roman"/>
          <w:sz w:val="19"/>
          <w:szCs w:val="19"/>
          <w:color w:val="auto"/>
        </w:rPr>
      </w:pPr>
    </w:p>
    <w:p>
      <w:pPr>
        <w:ind w:left="120" w:right="620" w:firstLine="194"/>
        <w:spacing w:after="0" w:line="233" w:lineRule="auto"/>
        <w:tabs>
          <w:tab w:leader="none" w:pos="727"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Seller’s receipt of notice of the commencement of a Benchmark Unavailability Period, Seller may revoke any pending Purchase Request.</w:t>
      </w:r>
    </w:p>
    <w:p>
      <w:pPr>
        <w:spacing w:after="0" w:line="104" w:lineRule="exact"/>
        <w:rPr>
          <w:rFonts w:ascii="Times New Roman" w:cs="Times New Roman" w:eastAsia="Times New Roman" w:hAnsi="Times New Roman"/>
          <w:sz w:val="19"/>
          <w:szCs w:val="19"/>
          <w:color w:val="auto"/>
        </w:rPr>
      </w:pPr>
    </w:p>
    <w:p>
      <w:pPr>
        <w:ind w:left="520" w:hanging="399"/>
        <w:spacing w:after="0"/>
        <w:tabs>
          <w:tab w:leader="none" w:pos="52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Inability to Determine Rates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2(j)</w:t>
      </w:r>
      <w:r>
        <w:rPr>
          <w:rFonts w:ascii="Times New Roman" w:cs="Times New Roman" w:eastAsia="Times New Roman" w:hAnsi="Times New Roman"/>
          <w:sz w:val="19"/>
          <w:szCs w:val="19"/>
          <w:color w:val="auto"/>
        </w:rPr>
        <w:t>, if on or prior to the first day of any Term SOFR Period:</w:t>
      </w:r>
    </w:p>
    <w:p>
      <w:pPr>
        <w:spacing w:after="0" w:line="129" w:lineRule="exact"/>
        <w:rPr>
          <w:rFonts w:ascii="Times New Roman" w:cs="Times New Roman" w:eastAsia="Times New Roman" w:hAnsi="Times New Roman"/>
          <w:sz w:val="19"/>
          <w:szCs w:val="19"/>
          <w:color w:val="auto"/>
        </w:rPr>
      </w:pPr>
    </w:p>
    <w:p>
      <w:pPr>
        <w:ind w:left="680" w:hanging="370"/>
        <w:spacing w:after="0"/>
        <w:tabs>
          <w:tab w:leader="none" w:pos="68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Purchaser determines that Term SOFR cannot be determined pursuant to the definition thereof, or</w:t>
      </w:r>
    </w:p>
    <w:p>
      <w:pPr>
        <w:spacing w:after="0" w:line="116" w:lineRule="exact"/>
        <w:rPr>
          <w:rFonts w:ascii="Times New Roman" w:cs="Times New Roman" w:eastAsia="Times New Roman" w:hAnsi="Times New Roman"/>
          <w:sz w:val="19"/>
          <w:szCs w:val="19"/>
          <w:color w:val="auto"/>
        </w:rPr>
      </w:pPr>
    </w:p>
    <w:p>
      <w:pPr>
        <w:jc w:val="both"/>
        <w:ind w:left="120" w:right="620" w:firstLine="223"/>
        <w:spacing w:after="0" w:line="231" w:lineRule="auto"/>
        <w:tabs>
          <w:tab w:leader="none" w:pos="795" w:val="left"/>
        </w:tabs>
        <w:numPr>
          <w:ilvl w:val="2"/>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Purchaser determines that for any reason in connection with any Purchase Request that Term SOFR for any Term SOFR Period with respect to a proposed purchase of Receivables does not adequately and fairly reflect the cost to Purchaser of funding such purchase,</w:t>
      </w:r>
    </w:p>
    <w:p>
      <w:pPr>
        <w:spacing w:after="0" w:line="91" w:lineRule="exact"/>
        <w:rPr>
          <w:sz w:val="20"/>
          <w:szCs w:val="20"/>
          <w:color w:val="auto"/>
        </w:rPr>
      </w:pPr>
    </w:p>
    <w:p>
      <w:pPr>
        <w:ind w:left="120" w:right="620"/>
        <w:spacing w:after="0" w:line="223" w:lineRule="auto"/>
        <w:rPr>
          <w:sz w:val="20"/>
          <w:szCs w:val="20"/>
          <w:color w:val="auto"/>
        </w:rPr>
      </w:pPr>
      <w:r>
        <w:rPr>
          <w:rFonts w:ascii="Times New Roman" w:cs="Times New Roman" w:eastAsia="Times New Roman" w:hAnsi="Times New Roman"/>
          <w:sz w:val="19"/>
          <w:szCs w:val="19"/>
          <w:color w:val="auto"/>
        </w:rPr>
        <w:t>then Purchaser will so notify Seller. Upon notice thereof by Purchaser to Seller, Purchaser, in consultation with Seller shall determine a commercially reasonable alternative rate in lieu of Term SOFR giving due consideration to any</w:t>
      </w:r>
    </w:p>
    <w:p>
      <w:pPr>
        <w:spacing w:after="0" w:line="1" w:lineRule="exact"/>
        <w:rPr>
          <w:sz w:val="20"/>
          <w:szCs w:val="20"/>
          <w:color w:val="auto"/>
        </w:rPr>
      </w:pPr>
    </w:p>
    <w:p>
      <w:pPr>
        <w:ind w:left="120" w:right="620"/>
        <w:spacing w:after="0" w:line="222" w:lineRule="auto"/>
        <w:rPr>
          <w:sz w:val="20"/>
          <w:szCs w:val="20"/>
          <w:color w:val="auto"/>
        </w:rPr>
      </w:pPr>
      <w:r>
        <w:rPr>
          <w:rFonts w:ascii="Times New Roman" w:cs="Times New Roman" w:eastAsia="Times New Roman" w:hAnsi="Times New Roman"/>
          <w:sz w:val="19"/>
          <w:szCs w:val="19"/>
          <w:color w:val="auto"/>
        </w:rPr>
        <w:t>recommendations by a Relevant Governmental Body or any evolving or then-prevailing convention for determining an alternative benchmark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20"/>
          </w:cols>
          <w:pgMar w:left="1440" w:top="822"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1"/>
          <w:szCs w:val="21"/>
          <w:b w:val="1"/>
          <w:bCs w:val="1"/>
          <w:color w:val="auto"/>
        </w:rPr>
        <w:t>Exhibit 10.45</w:t>
      </w:r>
    </w:p>
    <w:p>
      <w:pPr>
        <w:spacing w:after="0" w:line="200" w:lineRule="exact"/>
        <w:rPr>
          <w:sz w:val="20"/>
          <w:szCs w:val="20"/>
          <w:color w:val="auto"/>
        </w:rPr>
      </w:pPr>
    </w:p>
    <w:p>
      <w:pPr>
        <w:spacing w:after="0" w:line="234" w:lineRule="exact"/>
        <w:rPr>
          <w:sz w:val="20"/>
          <w:szCs w:val="20"/>
          <w:color w:val="auto"/>
        </w:rPr>
      </w:pPr>
    </w:p>
    <w:p>
      <w:pPr>
        <w:ind w:left="408" w:hanging="408"/>
        <w:spacing w:after="0"/>
        <w:tabs>
          <w:tab w:leader="none" w:pos="408"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14(d) of the RPA is amended by deleting the second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9"/>
          <w:szCs w:val="19"/>
          <w:color w:val="auto"/>
        </w:rPr>
        <w:t>) sentence thereof in its entirety and inserting in lieu thereof the following:</w:t>
      </w:r>
    </w:p>
    <w:p>
      <w:pPr>
        <w:spacing w:after="0" w:line="304" w:lineRule="exact"/>
        <w:rPr>
          <w:sz w:val="20"/>
          <w:szCs w:val="20"/>
          <w:color w:val="auto"/>
        </w:rPr>
      </w:pPr>
    </w:p>
    <w:p>
      <w:pPr>
        <w:ind w:left="1048" w:right="620"/>
        <w:spacing w:after="0" w:line="216" w:lineRule="auto"/>
        <w:rPr>
          <w:sz w:val="20"/>
          <w:szCs w:val="20"/>
          <w:color w:val="auto"/>
        </w:rPr>
      </w:pPr>
      <w:r>
        <w:rPr>
          <w:rFonts w:ascii="Times New Roman" w:cs="Times New Roman" w:eastAsia="Times New Roman" w:hAnsi="Times New Roman"/>
          <w:sz w:val="19"/>
          <w:szCs w:val="19"/>
          <w:color w:val="auto"/>
        </w:rPr>
        <w:t>Seller hereby authorizes Purchaser to share any information (including Confidential Information, as defined below) delivered to Purchaser by Seller and Seller’s subsidiaries pursuant to this Agreement, or in connection with the decision of</w:t>
      </w:r>
    </w:p>
    <w:p>
      <w:pPr>
        <w:ind w:left="1048"/>
        <w:spacing w:after="0" w:line="213" w:lineRule="auto"/>
        <w:rPr>
          <w:sz w:val="20"/>
          <w:szCs w:val="20"/>
          <w:color w:val="auto"/>
        </w:rPr>
      </w:pPr>
      <w:r>
        <w:rPr>
          <w:rFonts w:ascii="Times New Roman" w:cs="Times New Roman" w:eastAsia="Times New Roman" w:hAnsi="Times New Roman"/>
          <w:sz w:val="19"/>
          <w:szCs w:val="19"/>
          <w:color w:val="auto"/>
        </w:rPr>
        <w:t>Purchaser to enter into this Agreement, to Purchaser’s Affiliates and business units and its and its Affiliates’ directors,</w:t>
      </w:r>
    </w:p>
    <w:p>
      <w:pPr>
        <w:ind w:left="1048" w:right="620"/>
        <w:spacing w:after="0" w:line="205" w:lineRule="auto"/>
        <w:rPr>
          <w:sz w:val="20"/>
          <w:szCs w:val="20"/>
          <w:color w:val="auto"/>
        </w:rPr>
      </w:pPr>
      <w:r>
        <w:rPr>
          <w:rFonts w:ascii="Times New Roman" w:cs="Times New Roman" w:eastAsia="Times New Roman" w:hAnsi="Times New Roman"/>
          <w:sz w:val="19"/>
          <w:szCs w:val="19"/>
          <w:color w:val="auto"/>
        </w:rPr>
        <w:t>officers, employees, trustees, agents, subcontractors and service providers, including accountants, legal counsel, third party electronic platform service providers and other agents and advisors of Purchaser or Purchaser’s Affiliates, in each case, for</w:t>
      </w:r>
    </w:p>
    <w:p>
      <w:pPr>
        <w:ind w:left="1048"/>
        <w:spacing w:after="0" w:line="213" w:lineRule="auto"/>
        <w:rPr>
          <w:sz w:val="20"/>
          <w:szCs w:val="20"/>
          <w:color w:val="auto"/>
        </w:rPr>
      </w:pPr>
      <w:r>
        <w:rPr>
          <w:rFonts w:ascii="Times New Roman" w:cs="Times New Roman" w:eastAsia="Times New Roman" w:hAnsi="Times New Roman"/>
          <w:sz w:val="19"/>
          <w:szCs w:val="19"/>
          <w:color w:val="auto"/>
        </w:rPr>
        <w:t>purposes reasonably related to the transactions contemplated by this Agreement and who are informed of the confidential</w:t>
      </w:r>
    </w:p>
    <w:p>
      <w:pPr>
        <w:ind w:left="1048" w:right="620"/>
        <w:spacing w:after="0" w:line="205" w:lineRule="auto"/>
        <w:rPr>
          <w:sz w:val="20"/>
          <w:szCs w:val="20"/>
          <w:color w:val="auto"/>
        </w:rPr>
      </w:pPr>
      <w:r>
        <w:rPr>
          <w:rFonts w:ascii="Times New Roman" w:cs="Times New Roman" w:eastAsia="Times New Roman" w:hAnsi="Times New Roman"/>
          <w:sz w:val="19"/>
          <w:szCs w:val="19"/>
          <w:color w:val="auto"/>
        </w:rPr>
        <w:t>nature of such Confidential Information and instructed to keep such Confidential Information confidential; and to any potential assignee or participant who is informed of the confidential nature of such Confidential Information and instructed</w:t>
      </w:r>
    </w:p>
    <w:p>
      <w:pPr>
        <w:spacing w:after="0" w:line="1" w:lineRule="exact"/>
        <w:rPr>
          <w:sz w:val="20"/>
          <w:szCs w:val="20"/>
          <w:color w:val="auto"/>
        </w:rPr>
      </w:pPr>
    </w:p>
    <w:p>
      <w:pPr>
        <w:ind w:left="1048" w:right="620"/>
        <w:spacing w:after="0" w:line="229" w:lineRule="auto"/>
        <w:rPr>
          <w:sz w:val="20"/>
          <w:szCs w:val="20"/>
          <w:color w:val="auto"/>
        </w:rPr>
      </w:pPr>
      <w:r>
        <w:rPr>
          <w:rFonts w:ascii="Times New Roman" w:cs="Times New Roman" w:eastAsia="Times New Roman" w:hAnsi="Times New Roman"/>
          <w:sz w:val="19"/>
          <w:szCs w:val="19"/>
          <w:color w:val="auto"/>
        </w:rPr>
        <w:t>to keep such Confidential Information confidential for purposes of evaluating such assignment or participation; or to any other Person following an Event of Default.</w:t>
      </w:r>
    </w:p>
    <w:p>
      <w:pPr>
        <w:spacing w:after="0" w:line="92" w:lineRule="exact"/>
        <w:rPr>
          <w:sz w:val="20"/>
          <w:szCs w:val="20"/>
          <w:color w:val="auto"/>
        </w:rPr>
      </w:pPr>
    </w:p>
    <w:p>
      <w:pPr>
        <w:ind w:left="1048" w:right="2060" w:hanging="1048"/>
        <w:spacing w:after="0" w:line="382" w:lineRule="auto"/>
        <w:tabs>
          <w:tab w:leader="none" w:pos="395"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 of “Discount Rate” in Exhibit A to the RPA is deleted in its entirety and replaced by the following: “</w:t>
      </w:r>
      <w:r>
        <w:rPr>
          <w:rFonts w:ascii="Times New Roman" w:cs="Times New Roman" w:eastAsia="Times New Roman" w:hAnsi="Times New Roman"/>
          <w:sz w:val="19"/>
          <w:szCs w:val="19"/>
          <w:u w:val="single" w:color="auto"/>
          <w:color w:val="auto"/>
        </w:rPr>
        <w:t>Discount Rate</w:t>
      </w:r>
      <w:r>
        <w:rPr>
          <w:rFonts w:ascii="Times New Roman" w:cs="Times New Roman" w:eastAsia="Times New Roman" w:hAnsi="Times New Roman"/>
          <w:sz w:val="19"/>
          <w:szCs w:val="19"/>
          <w:color w:val="auto"/>
        </w:rPr>
        <w:t>”: A rate equal to Term SOFR plus 1.93% per annum.</w:t>
      </w:r>
    </w:p>
    <w:p>
      <w:pPr>
        <w:spacing w:after="0" w:line="1" w:lineRule="exact"/>
        <w:rPr>
          <w:sz w:val="20"/>
          <w:szCs w:val="20"/>
          <w:color w:val="auto"/>
        </w:rPr>
      </w:pPr>
    </w:p>
    <w:p>
      <w:pPr>
        <w:ind w:left="1148" w:hanging="409"/>
        <w:spacing w:after="0"/>
        <w:tabs>
          <w:tab w:leader="none" w:pos="1148" w:val="left"/>
        </w:tabs>
        <w:numPr>
          <w:ilvl w:val="2"/>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definitions of “LIBOR” and “LIBOR01 Page” in Exhibit A to the RPA is deleted in its entirety.</w:t>
      </w:r>
    </w:p>
    <w:p>
      <w:pPr>
        <w:spacing w:after="0" w:line="116" w:lineRule="exact"/>
        <w:rPr>
          <w:rFonts w:ascii="Times New Roman" w:cs="Times New Roman" w:eastAsia="Times New Roman" w:hAnsi="Times New Roman"/>
          <w:sz w:val="19"/>
          <w:szCs w:val="19"/>
          <w:color w:val="auto"/>
        </w:rPr>
      </w:pPr>
    </w:p>
    <w:p>
      <w:pPr>
        <w:ind w:left="1048" w:right="1720" w:hanging="1048"/>
        <w:spacing w:after="0" w:line="382" w:lineRule="auto"/>
        <w:tabs>
          <w:tab w:leader="none" w:pos="395"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 of “Repurchase Rate” in Exhibit A to the RPA is deleted in its entirety and replaced with the following: “</w:t>
      </w:r>
      <w:r>
        <w:rPr>
          <w:rFonts w:ascii="Times New Roman" w:cs="Times New Roman" w:eastAsia="Times New Roman" w:hAnsi="Times New Roman"/>
          <w:sz w:val="19"/>
          <w:szCs w:val="19"/>
          <w:u w:val="single" w:color="auto"/>
          <w:color w:val="auto"/>
        </w:rPr>
        <w:t>Repurchase Rate</w:t>
      </w:r>
      <w:r>
        <w:rPr>
          <w:rFonts w:ascii="Times New Roman" w:cs="Times New Roman" w:eastAsia="Times New Roman" w:hAnsi="Times New Roman"/>
          <w:sz w:val="19"/>
          <w:szCs w:val="19"/>
          <w:color w:val="auto"/>
        </w:rPr>
        <w:t>”: A rate equal to Term SOFR plus 1.93% per annum.</w:t>
      </w:r>
    </w:p>
    <w:p>
      <w:pPr>
        <w:ind w:left="808" w:hanging="387"/>
        <w:spacing w:after="0"/>
        <w:tabs>
          <w:tab w:leader="none" w:pos="808"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Exhibit A to the RPA is amended by adding the following definitions in proper alphabetical order:</w:t>
      </w:r>
    </w:p>
    <w:p>
      <w:pPr>
        <w:spacing w:after="0" w:line="112" w:lineRule="exact"/>
        <w:rPr>
          <w:sz w:val="20"/>
          <w:szCs w:val="20"/>
          <w:color w:val="auto"/>
        </w:rPr>
      </w:pPr>
    </w:p>
    <w:p>
      <w:pPr>
        <w:ind w:left="104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As of any date of determination and with respect to the then-current Benchmark, as applicable, (x) if</w:t>
      </w:r>
    </w:p>
    <w:p>
      <w:pPr>
        <w:ind w:left="1048" w:right="620"/>
        <w:spacing w:after="0" w:line="216" w:lineRule="auto"/>
        <w:rPr>
          <w:sz w:val="20"/>
          <w:szCs w:val="20"/>
          <w:color w:val="auto"/>
        </w:rPr>
      </w:pPr>
      <w:r>
        <w:rPr>
          <w:rFonts w:ascii="Times New Roman" w:cs="Times New Roman" w:eastAsia="Times New Roman" w:hAnsi="Times New Roman"/>
          <w:sz w:val="18"/>
          <w:szCs w:val="18"/>
          <w:color w:val="auto"/>
        </w:rPr>
        <w:t>such Benchmark is a term rate, any tenor for such Benchmark (or component thereof) that is or may be used for determining the length of a Term SOFR Period pursuant to this Agreement or (y) otherwise, any payment period for interest</w:t>
      </w:r>
    </w:p>
    <w:p>
      <w:pPr>
        <w:ind w:left="1048"/>
        <w:spacing w:after="0" w:line="213" w:lineRule="auto"/>
        <w:rPr>
          <w:sz w:val="20"/>
          <w:szCs w:val="20"/>
          <w:color w:val="auto"/>
        </w:rPr>
      </w:pPr>
      <w:r>
        <w:rPr>
          <w:rFonts w:ascii="Times New Roman" w:cs="Times New Roman" w:eastAsia="Times New Roman" w:hAnsi="Times New Roman"/>
          <w:sz w:val="19"/>
          <w:szCs w:val="19"/>
          <w:color w:val="auto"/>
        </w:rPr>
        <w:t>calculated with reference to such Benchmark (or component thereof) that is or may be used for determining any frequency</w:t>
      </w:r>
    </w:p>
    <w:p>
      <w:pPr>
        <w:spacing w:after="0" w:line="1" w:lineRule="exact"/>
        <w:rPr>
          <w:sz w:val="20"/>
          <w:szCs w:val="20"/>
          <w:color w:val="auto"/>
        </w:rPr>
      </w:pPr>
    </w:p>
    <w:p>
      <w:pPr>
        <w:ind w:left="1048" w:right="620"/>
        <w:spacing w:after="0" w:line="205" w:lineRule="auto"/>
        <w:rPr>
          <w:sz w:val="20"/>
          <w:szCs w:val="20"/>
          <w:color w:val="auto"/>
        </w:rPr>
      </w:pPr>
      <w:r>
        <w:rPr>
          <w:rFonts w:ascii="Times New Roman" w:cs="Times New Roman" w:eastAsia="Times New Roman" w:hAnsi="Times New Roman"/>
          <w:sz w:val="19"/>
          <w:szCs w:val="19"/>
          <w:color w:val="auto"/>
        </w:rPr>
        <w:t>of making payments of interest calculated with reference to such Benchmark pursuant to this Agreement, in each case, as of such date and not including, for the avoidance of doubt, any tenor for such Benchmark that is then-removed from the</w:t>
      </w:r>
    </w:p>
    <w:p>
      <w:pPr>
        <w:spacing w:after="0" w:line="1" w:lineRule="exact"/>
        <w:rPr>
          <w:sz w:val="20"/>
          <w:szCs w:val="20"/>
          <w:color w:val="auto"/>
        </w:rPr>
      </w:pPr>
    </w:p>
    <w:p>
      <w:pPr>
        <w:ind w:left="1048"/>
        <w:spacing w:after="0"/>
        <w:rPr>
          <w:sz w:val="20"/>
          <w:szCs w:val="20"/>
          <w:color w:val="auto"/>
        </w:rPr>
      </w:pPr>
      <w:r>
        <w:rPr>
          <w:rFonts w:ascii="Times New Roman" w:cs="Times New Roman" w:eastAsia="Times New Roman" w:hAnsi="Times New Roman"/>
          <w:sz w:val="19"/>
          <w:szCs w:val="19"/>
          <w:color w:val="auto"/>
        </w:rPr>
        <w:t xml:space="preserve">definition of “Term SOFR Period” pursuant to clause (iv) of </w:t>
      </w:r>
      <w:r>
        <w:rPr>
          <w:rFonts w:ascii="Times New Roman" w:cs="Times New Roman" w:eastAsia="Times New Roman" w:hAnsi="Times New Roman"/>
          <w:sz w:val="19"/>
          <w:szCs w:val="19"/>
          <w:u w:val="single" w:color="auto"/>
          <w:color w:val="auto"/>
        </w:rPr>
        <w:t>Section 2(j)</w:t>
      </w:r>
      <w:r>
        <w:rPr>
          <w:rFonts w:ascii="Times New Roman" w:cs="Times New Roman" w:eastAsia="Times New Roman" w:hAnsi="Times New Roman"/>
          <w:sz w:val="19"/>
          <w:szCs w:val="19"/>
          <w:color w:val="auto"/>
        </w:rPr>
        <w:t>.</w:t>
      </w:r>
    </w:p>
    <w:p>
      <w:pPr>
        <w:spacing w:after="0" w:line="110" w:lineRule="exact"/>
        <w:rPr>
          <w:sz w:val="20"/>
          <w:szCs w:val="20"/>
          <w:color w:val="auto"/>
        </w:rPr>
      </w:pPr>
    </w:p>
    <w:p>
      <w:pPr>
        <w:ind w:left="1048" w:right="620"/>
        <w:spacing w:after="0" w:line="21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Initially, the Term SOFR Reference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 the Term SOFR Reference Rate or the then-current Benchmark, then “Benchmark” shall mean the applicable</w:t>
      </w:r>
    </w:p>
    <w:p>
      <w:pPr>
        <w:spacing w:after="0" w:line="1" w:lineRule="exact"/>
        <w:rPr>
          <w:sz w:val="20"/>
          <w:szCs w:val="20"/>
          <w:color w:val="auto"/>
        </w:rPr>
      </w:pPr>
    </w:p>
    <w:p>
      <w:pPr>
        <w:ind w:left="1048" w:right="620"/>
        <w:spacing w:after="0" w:line="229" w:lineRule="auto"/>
        <w:rPr>
          <w:sz w:val="20"/>
          <w:szCs w:val="20"/>
          <w:color w:val="auto"/>
        </w:rPr>
      </w:pPr>
      <w:r>
        <w:rPr>
          <w:rFonts w:ascii="Times New Roman" w:cs="Times New Roman" w:eastAsia="Times New Roman" w:hAnsi="Times New Roman"/>
          <w:sz w:val="19"/>
          <w:szCs w:val="19"/>
          <w:color w:val="auto"/>
        </w:rPr>
        <w:t xml:space="preserve">Benchmark Replacement to the extent that such Benchmark Replacement has replaced such prior benchmark rate pursuant to clause (i) of </w:t>
      </w:r>
      <w:r>
        <w:rPr>
          <w:rFonts w:ascii="Times New Roman" w:cs="Times New Roman" w:eastAsia="Times New Roman" w:hAnsi="Times New Roman"/>
          <w:sz w:val="19"/>
          <w:szCs w:val="19"/>
          <w:u w:val="single" w:color="auto"/>
          <w:color w:val="auto"/>
        </w:rPr>
        <w:t>Section 2(j)</w:t>
      </w:r>
      <w:r>
        <w:rPr>
          <w:rFonts w:ascii="Times New Roman" w:cs="Times New Roman" w:eastAsia="Times New Roman" w:hAnsi="Times New Roman"/>
          <w:sz w:val="19"/>
          <w:szCs w:val="19"/>
          <w:color w:val="auto"/>
        </w:rPr>
        <w:t>.</w:t>
      </w:r>
    </w:p>
    <w:p>
      <w:pPr>
        <w:spacing w:after="0" w:line="92" w:lineRule="exact"/>
        <w:rPr>
          <w:sz w:val="20"/>
          <w:szCs w:val="20"/>
          <w:color w:val="auto"/>
        </w:rPr>
      </w:pPr>
    </w:p>
    <w:p>
      <w:pPr>
        <w:ind w:left="1048" w:right="620"/>
        <w:spacing w:after="0" w:line="22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With respect to any Benchmark Transition Event, the alternate benchmark rate that has been selected by Purchaser and Seller giving due consideration to (i) any selection or recommendation of a replacement rate or</w:t>
      </w:r>
    </w:p>
    <w:p>
      <w:pPr>
        <w:spacing w:after="0" w:line="1" w:lineRule="exact"/>
        <w:rPr>
          <w:sz w:val="20"/>
          <w:szCs w:val="20"/>
          <w:color w:val="auto"/>
        </w:rPr>
      </w:pPr>
    </w:p>
    <w:p>
      <w:pPr>
        <w:ind w:left="1048" w:right="620"/>
        <w:spacing w:after="0" w:line="222" w:lineRule="auto"/>
        <w:rPr>
          <w:sz w:val="20"/>
          <w:szCs w:val="20"/>
          <w:color w:val="auto"/>
        </w:rPr>
      </w:pPr>
      <w:r>
        <w:rPr>
          <w:rFonts w:ascii="Times New Roman" w:cs="Times New Roman" w:eastAsia="Times New Roman" w:hAnsi="Times New Roman"/>
          <w:sz w:val="19"/>
          <w:szCs w:val="19"/>
          <w:color w:val="auto"/>
        </w:rPr>
        <w:t>the mechanism for determining such a rate by a Relevant Governmental Body or (ii) any evolving or then-prevailing market convention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048"/>
          </w:cols>
          <w:pgMar w:left="512" w:top="822"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1"/>
          <w:szCs w:val="21"/>
          <w:b w:val="1"/>
          <w:bCs w:val="1"/>
          <w:color w:val="auto"/>
        </w:rPr>
        <w:t>Exhibit 10.45</w:t>
      </w:r>
    </w:p>
    <w:p>
      <w:pPr>
        <w:spacing w:after="0" w:line="200" w:lineRule="exact"/>
        <w:rPr>
          <w:sz w:val="20"/>
          <w:szCs w:val="20"/>
          <w:color w:val="auto"/>
        </w:rPr>
      </w:pPr>
    </w:p>
    <w:p>
      <w:pPr>
        <w:spacing w:after="0" w:line="234" w:lineRule="exact"/>
        <w:rPr>
          <w:sz w:val="20"/>
          <w:szCs w:val="20"/>
          <w:color w:val="auto"/>
        </w:rPr>
      </w:pPr>
    </w:p>
    <w:p>
      <w:pPr>
        <w:ind w:left="120" w:right="620"/>
        <w:spacing w:after="0"/>
        <w:rPr>
          <w:sz w:val="20"/>
          <w:szCs w:val="20"/>
          <w:color w:val="auto"/>
        </w:rPr>
      </w:pPr>
      <w:r>
        <w:rPr>
          <w:rFonts w:ascii="Times New Roman" w:cs="Times New Roman" w:eastAsia="Times New Roman" w:hAnsi="Times New Roman"/>
          <w:sz w:val="19"/>
          <w:szCs w:val="19"/>
          <w:color w:val="auto"/>
        </w:rPr>
        <w:t xml:space="preserve">determining a benchmark rate as a replacement to the then-current Benchmark;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Benchmark Replacement as so determined would be less</w:t>
      </w: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than zero, the Benchmark Replacement will be deemed to be zero for purposes of this Agreement.</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With  respect  to  any  Benchmark  Replacement,  any  technical,</w:t>
      </w:r>
    </w:p>
    <w:p>
      <w:pPr>
        <w:ind w:left="120" w:right="620"/>
        <w:spacing w:after="0" w:line="205" w:lineRule="auto"/>
        <w:rPr>
          <w:sz w:val="20"/>
          <w:szCs w:val="20"/>
          <w:color w:val="auto"/>
        </w:rPr>
      </w:pPr>
      <w:r>
        <w:rPr>
          <w:rFonts w:ascii="Times New Roman" w:cs="Times New Roman" w:eastAsia="Times New Roman" w:hAnsi="Times New Roman"/>
          <w:sz w:val="19"/>
          <w:szCs w:val="19"/>
          <w:color w:val="auto"/>
        </w:rPr>
        <w:t>administrative or operational changes (including changes to the definition of “Business Day”, the definition of “U.S. Government Securities Business Day”, the definition of “Term SOFR Period”, the timing and frequency of determining</w:t>
      </w:r>
    </w:p>
    <w:p>
      <w:pPr>
        <w:ind w:left="120"/>
        <w:spacing w:after="0" w:line="213" w:lineRule="auto"/>
        <w:rPr>
          <w:sz w:val="20"/>
          <w:szCs w:val="20"/>
          <w:color w:val="auto"/>
        </w:rPr>
      </w:pPr>
      <w:r>
        <w:rPr>
          <w:rFonts w:ascii="Times New Roman" w:cs="Times New Roman" w:eastAsia="Times New Roman" w:hAnsi="Times New Roman"/>
          <w:sz w:val="19"/>
          <w:szCs w:val="19"/>
          <w:color w:val="auto"/>
        </w:rPr>
        <w:t>rates and other technical, administrative or operational matters) that Purchaser decides may be appropriate to reflect the</w:t>
      </w:r>
    </w:p>
    <w:p>
      <w:pPr>
        <w:ind w:left="120" w:right="620"/>
        <w:spacing w:after="0" w:line="205" w:lineRule="auto"/>
        <w:rPr>
          <w:sz w:val="20"/>
          <w:szCs w:val="20"/>
          <w:color w:val="auto"/>
        </w:rPr>
      </w:pPr>
      <w:r>
        <w:rPr>
          <w:rFonts w:ascii="Times New Roman" w:cs="Times New Roman" w:eastAsia="Times New Roman" w:hAnsi="Times New Roman"/>
          <w:sz w:val="19"/>
          <w:szCs w:val="19"/>
          <w:color w:val="auto"/>
        </w:rPr>
        <w:t>adoption and implementation of such Benchmark Replacement and to permit the administration thereof by Purchaser in a manner substantially consistent with market practice (or, if Purchaser decides that adoption of any portion of such market</w:t>
      </w:r>
    </w:p>
    <w:p>
      <w:pPr>
        <w:ind w:left="120"/>
        <w:spacing w:after="0" w:line="213" w:lineRule="auto"/>
        <w:rPr>
          <w:sz w:val="20"/>
          <w:szCs w:val="20"/>
          <w:color w:val="auto"/>
        </w:rPr>
      </w:pPr>
      <w:r>
        <w:rPr>
          <w:rFonts w:ascii="Times New Roman" w:cs="Times New Roman" w:eastAsia="Times New Roman" w:hAnsi="Times New Roman"/>
          <w:sz w:val="19"/>
          <w:szCs w:val="19"/>
          <w:color w:val="auto"/>
        </w:rPr>
        <w:t>practice is not administratively feasible or if Purchaser determines that no market practice for the administration of such</w:t>
      </w:r>
    </w:p>
    <w:p>
      <w:pPr>
        <w:ind w:left="120" w:right="620"/>
        <w:spacing w:after="0" w:line="222" w:lineRule="auto"/>
        <w:rPr>
          <w:sz w:val="20"/>
          <w:szCs w:val="20"/>
          <w:color w:val="auto"/>
        </w:rPr>
      </w:pPr>
      <w:r>
        <w:rPr>
          <w:rFonts w:ascii="Times New Roman" w:cs="Times New Roman" w:eastAsia="Times New Roman" w:hAnsi="Times New Roman"/>
          <w:sz w:val="19"/>
          <w:szCs w:val="19"/>
          <w:color w:val="auto"/>
        </w:rPr>
        <w:t>Benchmark Replacement exists, in such other manner of administration as Purchaser decides is reasonably necessary in connection with the administration of this Agreement and the other documents related to this Agreement).</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The earlier to occur of the following events with respect to the then-current Benchmark:</w:t>
      </w:r>
    </w:p>
    <w:p>
      <w:pPr>
        <w:spacing w:after="0" w:line="130" w:lineRule="exact"/>
        <w:rPr>
          <w:sz w:val="20"/>
          <w:szCs w:val="20"/>
          <w:color w:val="auto"/>
        </w:rPr>
      </w:pPr>
    </w:p>
    <w:p>
      <w:pPr>
        <w:jc w:val="both"/>
        <w:ind w:left="440" w:right="920" w:firstLine="205"/>
        <w:spacing w:after="0" w:line="222" w:lineRule="auto"/>
        <w:tabs>
          <w:tab w:leader="none" w:pos="109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94" w:lineRule="exact"/>
        <w:rPr>
          <w:rFonts w:ascii="Times New Roman" w:cs="Times New Roman" w:eastAsia="Times New Roman" w:hAnsi="Times New Roman"/>
          <w:sz w:val="19"/>
          <w:szCs w:val="19"/>
          <w:color w:val="auto"/>
        </w:rPr>
      </w:pPr>
    </w:p>
    <w:p>
      <w:pPr>
        <w:jc w:val="both"/>
        <w:ind w:left="440" w:right="920" w:firstLine="231"/>
        <w:spacing w:after="0" w:line="215" w:lineRule="auto"/>
        <w:tabs>
          <w:tab w:leader="none" w:pos="1141"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 longer representative or not to comply with the International Organization of Securities Commissions (IOSCO) Principles for Financial Benchmarks;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non-representativeness or non-compliance will be determined by reference to the most recent statement or publication referenced in such clause (3) and even if any Available Tenor of such Benchmark (or such component thereof) continues to be provided on such date.</w:t>
      </w:r>
    </w:p>
    <w:p>
      <w:pPr>
        <w:spacing w:after="0" w:line="97" w:lineRule="exact"/>
        <w:rPr>
          <w:sz w:val="20"/>
          <w:szCs w:val="20"/>
          <w:color w:val="auto"/>
        </w:rPr>
      </w:pPr>
    </w:p>
    <w:p>
      <w:pPr>
        <w:jc w:val="both"/>
        <w:ind w:left="120" w:right="620"/>
        <w:spacing w:after="0" w:line="231" w:lineRule="auto"/>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120"/>
          </w:cols>
          <w:pgMar w:left="1440" w:top="822"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1"/>
          <w:szCs w:val="21"/>
          <w:b w:val="1"/>
          <w:bCs w:val="1"/>
          <w:color w:val="auto"/>
        </w:rPr>
        <w:t>Exhibit 10.45</w:t>
      </w: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The occurrence of one or more of the following events with respect to the then-current</w:t>
      </w:r>
    </w:p>
    <w:p>
      <w:pPr>
        <w:ind w:left="120"/>
        <w:spacing w:after="0"/>
        <w:rPr>
          <w:sz w:val="20"/>
          <w:szCs w:val="20"/>
          <w:color w:val="auto"/>
        </w:rPr>
      </w:pPr>
      <w:r>
        <w:rPr>
          <w:rFonts w:ascii="Times New Roman" w:cs="Times New Roman" w:eastAsia="Times New Roman" w:hAnsi="Times New Roman"/>
          <w:sz w:val="19"/>
          <w:szCs w:val="19"/>
          <w:color w:val="auto"/>
        </w:rPr>
        <w:t>Benchmark:</w:t>
      </w:r>
    </w:p>
    <w:p>
      <w:pPr>
        <w:spacing w:after="0" w:line="97" w:lineRule="exact"/>
        <w:rPr>
          <w:sz w:val="20"/>
          <w:szCs w:val="20"/>
          <w:color w:val="auto"/>
        </w:rPr>
      </w:pPr>
    </w:p>
    <w:p>
      <w:pPr>
        <w:jc w:val="both"/>
        <w:ind w:left="440" w:right="920" w:firstLine="183"/>
        <w:spacing w:after="0" w:line="222" w:lineRule="auto"/>
        <w:tabs>
          <w:tab w:leader="none" w:pos="1046"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w:t>
      </w:r>
    </w:p>
    <w:p>
      <w:pPr>
        <w:spacing w:after="0" w:line="339" w:lineRule="exact"/>
        <w:rPr>
          <w:sz w:val="20"/>
          <w:szCs w:val="20"/>
          <w:color w:val="auto"/>
        </w:rPr>
      </w:pPr>
    </w:p>
    <w:p>
      <w:pPr>
        <w:ind w:left="440" w:right="940"/>
        <w:spacing w:after="0"/>
        <w:rPr>
          <w:sz w:val="20"/>
          <w:szCs w:val="20"/>
          <w:color w:val="auto"/>
        </w:rPr>
      </w:pPr>
      <w:r>
        <w:rPr>
          <w:rFonts w:ascii="Times New Roman" w:cs="Times New Roman" w:eastAsia="Times New Roman" w:hAnsi="Times New Roman"/>
          <w:sz w:val="19"/>
          <w:szCs w:val="19"/>
          <w:color w:val="auto"/>
        </w:rPr>
        <w:t>there is no successor administrator that will continue to provide any Available Tenor of such Benchmark (or such component thereof);</w:t>
      </w:r>
    </w:p>
    <w:p>
      <w:pPr>
        <w:spacing w:after="0" w:line="92" w:lineRule="exact"/>
        <w:rPr>
          <w:sz w:val="20"/>
          <w:szCs w:val="20"/>
          <w:color w:val="auto"/>
        </w:rPr>
      </w:pPr>
    </w:p>
    <w:p>
      <w:pPr>
        <w:jc w:val="both"/>
        <w:ind w:left="440" w:right="920" w:firstLine="208"/>
        <w:spacing w:after="0" w:line="215" w:lineRule="auto"/>
        <w:tabs>
          <w:tab w:leader="none" w:pos="1096"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94" w:lineRule="exact"/>
        <w:rPr>
          <w:rFonts w:ascii="Times New Roman" w:cs="Times New Roman" w:eastAsia="Times New Roman" w:hAnsi="Times New Roman"/>
          <w:sz w:val="19"/>
          <w:szCs w:val="19"/>
          <w:color w:val="auto"/>
        </w:rPr>
      </w:pPr>
    </w:p>
    <w:p>
      <w:pPr>
        <w:jc w:val="both"/>
        <w:ind w:left="440" w:right="920" w:firstLine="183"/>
        <w:spacing w:after="0" w:line="217" w:lineRule="auto"/>
        <w:tabs>
          <w:tab w:leader="none" w:pos="1046"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 longer, or as of a specified future date will no longer be, representative or do not, or as a specified future date will not, comply with the International Organization of Securities Commissions (IOSCO) Principles for Financial Benchmarks.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w:t>
      </w:r>
    </w:p>
    <w:p>
      <w:pPr>
        <w:ind w:left="120" w:right="620"/>
        <w:spacing w:after="0" w:line="222" w:lineRule="auto"/>
        <w:rPr>
          <w:sz w:val="20"/>
          <w:szCs w:val="20"/>
          <w:color w:val="auto"/>
        </w:rPr>
      </w:pPr>
      <w:r>
        <w:rPr>
          <w:rFonts w:ascii="Times New Roman" w:cs="Times New Roman" w:eastAsia="Times New Roman" w:hAnsi="Times New Roman"/>
          <w:sz w:val="19"/>
          <w:szCs w:val="19"/>
          <w:color w:val="auto"/>
        </w:rPr>
        <w:t>Benchmark if a public statement or publication of information set forth above has occurred with respect to each then-current Available Tenor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120"/>
          </w:cols>
          <w:pgMar w:left="1440" w:top="822"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1"/>
          <w:szCs w:val="21"/>
          <w:b w:val="1"/>
          <w:bCs w:val="1"/>
          <w:color w:val="auto"/>
        </w:rPr>
        <w:t>Exhibit 10.45</w:t>
      </w: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Start Date</w:t>
      </w:r>
      <w:r>
        <w:rPr>
          <w:rFonts w:ascii="Times New Roman" w:cs="Times New Roman" w:eastAsia="Times New Roman" w:hAnsi="Times New Roman"/>
          <w:sz w:val="19"/>
          <w:szCs w:val="19"/>
          <w:color w:val="auto"/>
        </w:rPr>
        <w:t>”: In the case of a Benchmark Transition Event, the earlier of (i) the applicable</w:t>
      </w:r>
    </w:p>
    <w:p>
      <w:pPr>
        <w:ind w:left="120" w:right="620"/>
        <w:spacing w:after="0" w:line="181" w:lineRule="auto"/>
        <w:rPr>
          <w:sz w:val="20"/>
          <w:szCs w:val="20"/>
          <w:color w:val="auto"/>
        </w:rPr>
      </w:pPr>
      <w:r>
        <w:rPr>
          <w:rFonts w:ascii="Times New Roman" w:cs="Times New Roman" w:eastAsia="Times New Roman" w:hAnsi="Times New Roman"/>
          <w:sz w:val="19"/>
          <w:szCs w:val="19"/>
          <w:color w:val="auto"/>
        </w:rPr>
        <w:t>Benchmark Replacement Date and (ii) if such Benchmark Transition Event is a public statement or publication of information of a prospective event,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prior to the expected date of such event as of such public statement or</w:t>
      </w:r>
    </w:p>
    <w:p>
      <w:pPr>
        <w:spacing w:after="0" w:line="1" w:lineRule="exact"/>
        <w:rPr>
          <w:sz w:val="20"/>
          <w:szCs w:val="20"/>
          <w:color w:val="auto"/>
        </w:rPr>
      </w:pPr>
    </w:p>
    <w:p>
      <w:pPr>
        <w:ind w:left="120" w:right="620"/>
        <w:spacing w:after="0" w:line="229" w:lineRule="auto"/>
        <w:rPr>
          <w:sz w:val="20"/>
          <w:szCs w:val="20"/>
          <w:color w:val="auto"/>
        </w:rPr>
      </w:pPr>
      <w:r>
        <w:rPr>
          <w:rFonts w:ascii="Times New Roman" w:cs="Times New Roman" w:eastAsia="Times New Roman" w:hAnsi="Times New Roman"/>
          <w:sz w:val="19"/>
          <w:szCs w:val="19"/>
          <w:color w:val="auto"/>
        </w:rPr>
        <w:t>publication of information (or if the expected date of such prospective event is fewer than 90 days after such statement or publication, the date of such statement or publication).</w:t>
      </w:r>
    </w:p>
    <w:p>
      <w:pPr>
        <w:spacing w:after="0" w:line="92" w:lineRule="exact"/>
        <w:rPr>
          <w:sz w:val="20"/>
          <w:szCs w:val="20"/>
          <w:color w:val="auto"/>
        </w:rPr>
      </w:pPr>
    </w:p>
    <w:p>
      <w:pPr>
        <w:ind w:left="120" w:right="620"/>
        <w:spacing w:after="0" w:line="22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The period (if any) (a) beginning at the time that a Benchmark Replacement Date has occurred if, at such time, no Benchmark Replacement has replaced the then-current Benchmark for all purposes under this</w:t>
      </w:r>
    </w:p>
    <w:p>
      <w:pPr>
        <w:spacing w:after="0" w:line="1" w:lineRule="exact"/>
        <w:rPr>
          <w:sz w:val="20"/>
          <w:szCs w:val="20"/>
          <w:color w:val="auto"/>
        </w:rPr>
      </w:pPr>
    </w:p>
    <w:p>
      <w:pPr>
        <w:ind w:left="120" w:right="620"/>
        <w:spacing w:after="0" w:line="205" w:lineRule="auto"/>
        <w:rPr>
          <w:sz w:val="20"/>
          <w:szCs w:val="20"/>
          <w:color w:val="auto"/>
        </w:rPr>
      </w:pPr>
      <w:r>
        <w:rPr>
          <w:rFonts w:ascii="Times New Roman" w:cs="Times New Roman" w:eastAsia="Times New Roman" w:hAnsi="Times New Roman"/>
          <w:sz w:val="19"/>
          <w:szCs w:val="19"/>
          <w:color w:val="auto"/>
        </w:rPr>
        <w:t xml:space="preserve">Agreement and any other document related to this Agreement in accordance with </w:t>
      </w:r>
      <w:r>
        <w:rPr>
          <w:rFonts w:ascii="Times New Roman" w:cs="Times New Roman" w:eastAsia="Times New Roman" w:hAnsi="Times New Roman"/>
          <w:sz w:val="19"/>
          <w:szCs w:val="19"/>
          <w:u w:val="single" w:color="auto"/>
          <w:color w:val="auto"/>
        </w:rPr>
        <w:t>Section 2(j)</w:t>
      </w:r>
      <w:r>
        <w:rPr>
          <w:rFonts w:ascii="Times New Roman" w:cs="Times New Roman" w:eastAsia="Times New Roman" w:hAnsi="Times New Roman"/>
          <w:sz w:val="19"/>
          <w:szCs w:val="19"/>
          <w:color w:val="auto"/>
        </w:rPr>
        <w:t xml:space="preserve"> and (b) ending at the time that a Benchmark Replacement has replaced the then-current Benchmark for all purposes under this Agreement and any</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 xml:space="preserve">other document related to this Agreement in accordance with </w:t>
      </w:r>
      <w:r>
        <w:rPr>
          <w:rFonts w:ascii="Times New Roman" w:cs="Times New Roman" w:eastAsia="Times New Roman" w:hAnsi="Times New Roman"/>
          <w:sz w:val="19"/>
          <w:szCs w:val="19"/>
          <w:u w:val="single" w:color="auto"/>
          <w:color w:val="auto"/>
        </w:rPr>
        <w:t>Section 2(j)</w:t>
      </w:r>
      <w:r>
        <w:rPr>
          <w:rFonts w:ascii="Times New Roman" w:cs="Times New Roman" w:eastAsia="Times New Roman" w:hAnsi="Times New Roman"/>
          <w:sz w:val="19"/>
          <w:szCs w:val="19"/>
          <w:color w:val="auto"/>
        </w:rPr>
        <w:t>.</w:t>
      </w:r>
    </w:p>
    <w:p>
      <w:pPr>
        <w:spacing w:after="0" w:line="110" w:lineRule="exact"/>
        <w:rPr>
          <w:sz w:val="20"/>
          <w:szCs w:val="20"/>
          <w:color w:val="auto"/>
        </w:rPr>
      </w:pPr>
    </w:p>
    <w:p>
      <w:pPr>
        <w:ind w:left="120" w:right="620"/>
        <w:spacing w:after="0" w:line="22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or the Federal Reserve Bank of New York, or a committee officially endorsed or convened by the Federal Reserve Board or the Federal Reserve Bank of New York, or any</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successor thereto.</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A rate equal to the secured overnight financing rate as administered by the SOFR Administrator.</w:t>
      </w:r>
    </w:p>
    <w:p>
      <w:pPr>
        <w:spacing w:after="0" w:line="349" w:lineRule="exact"/>
        <w:rPr>
          <w:sz w:val="20"/>
          <w:szCs w:val="20"/>
          <w:color w:val="auto"/>
        </w:rPr>
      </w:pPr>
    </w:p>
    <w:p>
      <w:pPr>
        <w:ind w:left="120" w:righ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w:t>
      </w:r>
      <w:r>
        <w:rPr>
          <w:rFonts w:ascii="Times New Roman" w:cs="Times New Roman" w:eastAsia="Times New Roman" w:hAnsi="Times New Roman"/>
          <w:sz w:val="19"/>
          <w:szCs w:val="19"/>
          <w:color w:val="auto"/>
        </w:rPr>
        <w:t>”: The Federal Reserve Bank of New York (or a successor administrator of the secured overnight financing rate).</w:t>
      </w:r>
    </w:p>
    <w:p>
      <w:pPr>
        <w:spacing w:after="0" w:line="105" w:lineRule="exact"/>
        <w:rPr>
          <w:sz w:val="20"/>
          <w:szCs w:val="20"/>
          <w:color w:val="auto"/>
        </w:rPr>
      </w:pPr>
    </w:p>
    <w:p>
      <w:pPr>
        <w:ind w:left="120" w:right="620"/>
        <w:spacing w:after="0" w:line="21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The Term SOFR Reference Rate for a tenor comparable to the applicable Term SOFR Period on the day (such day, the “Periodic Term SOFR Determination Day”) that is two (2) U.S. Government Securities Business Days prior</w:t>
      </w:r>
    </w:p>
    <w:p>
      <w:pPr>
        <w:spacing w:after="0" w:line="1" w:lineRule="exact"/>
        <w:rPr>
          <w:sz w:val="20"/>
          <w:szCs w:val="20"/>
          <w:color w:val="auto"/>
        </w:rPr>
      </w:pPr>
    </w:p>
    <w:p>
      <w:pPr>
        <w:ind w:left="120" w:right="620"/>
        <w:spacing w:after="0" w:line="205" w:lineRule="auto"/>
        <w:rPr>
          <w:sz w:val="20"/>
          <w:szCs w:val="20"/>
          <w:color w:val="auto"/>
        </w:rPr>
      </w:pPr>
      <w:r>
        <w:rPr>
          <w:rFonts w:ascii="Times New Roman" w:cs="Times New Roman" w:eastAsia="Times New Roman" w:hAnsi="Times New Roman"/>
          <w:sz w:val="19"/>
          <w:szCs w:val="19"/>
          <w:color w:val="auto"/>
        </w:rPr>
        <w:t xml:space="preserve">to the first day of such Term SOFR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(New York City time) on any Periodic Term SOFR Determination Day the Term SOFR Reference</w:t>
      </w:r>
    </w:p>
    <w:p>
      <w:pPr>
        <w:ind w:left="120"/>
        <w:spacing w:after="0" w:line="213" w:lineRule="auto"/>
        <w:rPr>
          <w:sz w:val="20"/>
          <w:szCs w:val="20"/>
          <w:color w:val="auto"/>
        </w:rPr>
      </w:pPr>
      <w:r>
        <w:rPr>
          <w:rFonts w:ascii="Times New Roman" w:cs="Times New Roman" w:eastAsia="Times New Roman" w:hAnsi="Times New Roman"/>
          <w:sz w:val="19"/>
          <w:szCs w:val="19"/>
          <w:color w:val="auto"/>
        </w:rPr>
        <w:t>Rate for the applicable tenor has not been published by the Term SOFR Administrator and a Benchmark Replacement Date</w:t>
      </w:r>
    </w:p>
    <w:p>
      <w:pPr>
        <w:ind w:left="120" w:right="620"/>
        <w:spacing w:after="0" w:line="205" w:lineRule="auto"/>
        <w:rPr>
          <w:sz w:val="20"/>
          <w:szCs w:val="20"/>
          <w:color w:val="auto"/>
        </w:rPr>
      </w:pPr>
      <w:r>
        <w:rPr>
          <w:rFonts w:ascii="Times New Roman" w:cs="Times New Roman" w:eastAsia="Times New Roman" w:hAnsi="Times New Roman"/>
          <w:sz w:val="19"/>
          <w:szCs w:val="19"/>
          <w:color w:val="auto"/>
        </w:rPr>
        <w:t>with respect to the Term SOFR Reference Rate has not occurred, then Term SOFR will be the Term SOFR Reference Rate for such tenor as published by the Term SOFR Administrator on the first preceding U.S. Government Securities Business</w:t>
      </w:r>
    </w:p>
    <w:p>
      <w:pPr>
        <w:ind w:left="120"/>
        <w:spacing w:after="0" w:line="213" w:lineRule="auto"/>
        <w:rPr>
          <w:sz w:val="20"/>
          <w:szCs w:val="20"/>
          <w:color w:val="auto"/>
        </w:rPr>
      </w:pPr>
      <w:r>
        <w:rPr>
          <w:rFonts w:ascii="Times New Roman" w:cs="Times New Roman" w:eastAsia="Times New Roman" w:hAnsi="Times New Roman"/>
          <w:sz w:val="19"/>
          <w:szCs w:val="19"/>
          <w:color w:val="auto"/>
        </w:rPr>
        <w:t>Day for which such Term SOFR Reference Rate for such tenor was published by the Term SOFR Administrator so long as</w:t>
      </w:r>
    </w:p>
    <w:p>
      <w:pPr>
        <w:ind w:left="120" w:right="620"/>
        <w:spacing w:after="0" w:line="205" w:lineRule="auto"/>
        <w:rPr>
          <w:sz w:val="20"/>
          <w:szCs w:val="20"/>
          <w:color w:val="auto"/>
        </w:rPr>
      </w:pPr>
      <w:r>
        <w:rPr>
          <w:rFonts w:ascii="Times New Roman" w:cs="Times New Roman" w:eastAsia="Times New Roman" w:hAnsi="Times New Roman"/>
          <w:sz w:val="19"/>
          <w:szCs w:val="19"/>
          <w:color w:val="auto"/>
        </w:rPr>
        <w:t xml:space="preserve">such first preceding U.S. Government Securities Business Day is not more than three (3) U.S. Government Securities Business Days prior to such Periodic Term SOFR Determination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Term SOFR determined as</w:t>
      </w:r>
    </w:p>
    <w:p>
      <w:pPr>
        <w:spacing w:after="0" w:line="1" w:lineRule="exact"/>
        <w:rPr>
          <w:sz w:val="20"/>
          <w:szCs w:val="20"/>
          <w:color w:val="auto"/>
        </w:rPr>
      </w:pPr>
    </w:p>
    <w:p>
      <w:pPr>
        <w:ind w:left="120" w:right="620"/>
        <w:spacing w:after="0" w:line="229" w:lineRule="auto"/>
        <w:rPr>
          <w:sz w:val="20"/>
          <w:szCs w:val="20"/>
          <w:color w:val="auto"/>
        </w:rPr>
      </w:pPr>
      <w:r>
        <w:rPr>
          <w:rFonts w:ascii="Times New Roman" w:cs="Times New Roman" w:eastAsia="Times New Roman" w:hAnsi="Times New Roman"/>
          <w:sz w:val="19"/>
          <w:szCs w:val="19"/>
          <w:color w:val="auto"/>
        </w:rPr>
        <w:t>provided above (including pursuant to the proviso above) shall ever be less than zero, then Term SOFR shall be deemed to be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120"/>
          </w:cols>
          <w:pgMar w:left="1440" w:top="822"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1"/>
          <w:szCs w:val="21"/>
          <w:b w:val="1"/>
          <w:bCs w:val="1"/>
          <w:color w:val="auto"/>
        </w:rPr>
        <w:t>Exhibit 10.45</w:t>
      </w:r>
    </w:p>
    <w:p>
      <w:pPr>
        <w:spacing w:after="0" w:line="200" w:lineRule="exact"/>
        <w:rPr>
          <w:sz w:val="20"/>
          <w:szCs w:val="20"/>
          <w:color w:val="auto"/>
        </w:rPr>
      </w:pPr>
    </w:p>
    <w:p>
      <w:pPr>
        <w:spacing w:after="0" w:line="234" w:lineRule="exact"/>
        <w:rPr>
          <w:sz w:val="20"/>
          <w:szCs w:val="20"/>
          <w:color w:val="auto"/>
        </w:rPr>
      </w:pPr>
    </w:p>
    <w:p>
      <w:pPr>
        <w:jc w:val="both"/>
        <w:ind w:left="1240" w:righ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Administrator</w:t>
      </w:r>
      <w:r>
        <w:rPr>
          <w:rFonts w:ascii="Times New Roman" w:cs="Times New Roman" w:eastAsia="Times New Roman" w:hAnsi="Times New Roman"/>
          <w:sz w:val="19"/>
          <w:szCs w:val="19"/>
          <w:color w:val="auto"/>
        </w:rPr>
        <w:t>”: The CME Group Benchmark Administration Limited (CBA) (or a successor administrator of the Term SOFR Reference Rate selected by Purchaser in its reasonable discretion).</w:t>
      </w:r>
    </w:p>
    <w:p>
      <w:pPr>
        <w:spacing w:after="0" w:line="92" w:lineRule="exact"/>
        <w:rPr>
          <w:sz w:val="20"/>
          <w:szCs w:val="20"/>
          <w:color w:val="auto"/>
        </w:rPr>
      </w:pPr>
    </w:p>
    <w:p>
      <w:pPr>
        <w:jc w:val="both"/>
        <w:ind w:left="1240" w:right="620"/>
        <w:spacing w:after="0" w:line="22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Period</w:t>
      </w:r>
      <w:r>
        <w:rPr>
          <w:rFonts w:ascii="Times New Roman" w:cs="Times New Roman" w:eastAsia="Times New Roman" w:hAnsi="Times New Roman"/>
          <w:sz w:val="19"/>
          <w:szCs w:val="19"/>
          <w:color w:val="auto"/>
        </w:rPr>
        <w:t>”: With respect to any Purchased Receivable, a period equal to the number of days from the Purchase Date to the Settlement Date of such Purchased Receivable (including the Purchase Date but not including the Settlement</w:t>
      </w:r>
    </w:p>
    <w:p>
      <w:pPr>
        <w:spacing w:after="0" w:line="1" w:lineRule="exact"/>
        <w:rPr>
          <w:sz w:val="20"/>
          <w:szCs w:val="20"/>
          <w:color w:val="auto"/>
        </w:rPr>
      </w:pPr>
    </w:p>
    <w:p>
      <w:pPr>
        <w:jc w:val="both"/>
        <w:ind w:left="1240" w:right="620"/>
        <w:spacing w:after="0" w:line="222" w:lineRule="auto"/>
        <w:rPr>
          <w:sz w:val="20"/>
          <w:szCs w:val="20"/>
          <w:color w:val="auto"/>
        </w:rPr>
      </w:pPr>
      <w:r>
        <w:rPr>
          <w:rFonts w:ascii="Times New Roman" w:cs="Times New Roman" w:eastAsia="Times New Roman" w:hAnsi="Times New Roman"/>
          <w:sz w:val="19"/>
          <w:szCs w:val="19"/>
          <w:color w:val="auto"/>
        </w:rPr>
        <w:t xml:space="preserve">Date), rounded up to the nearest one month, three months, six months or twelve months,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may the Term SOFR Period be greater than twelve months.</w:t>
      </w:r>
    </w:p>
    <w:p>
      <w:pPr>
        <w:spacing w:after="0" w:line="104" w:lineRule="exact"/>
        <w:rPr>
          <w:sz w:val="20"/>
          <w:szCs w:val="20"/>
          <w:color w:val="auto"/>
        </w:rPr>
      </w:pPr>
    </w:p>
    <w:p>
      <w:pPr>
        <w:jc w:val="both"/>
        <w:ind w:left="1240" w:righ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The rate per annum determined by Purchaser as the forward-looking term rate based on SOFR.</w:t>
      </w:r>
    </w:p>
    <w:p>
      <w:pPr>
        <w:spacing w:after="0" w:line="92" w:lineRule="exact"/>
        <w:rPr>
          <w:sz w:val="20"/>
          <w:szCs w:val="20"/>
          <w:color w:val="auto"/>
        </w:rPr>
      </w:pPr>
    </w:p>
    <w:p>
      <w:pPr>
        <w:jc w:val="both"/>
        <w:ind w:left="1240" w:right="620"/>
        <w:spacing w:after="0" w:line="23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 Business Day</w:t>
      </w:r>
      <w:r>
        <w:rPr>
          <w:rFonts w:ascii="Times New Roman" w:cs="Times New Roman" w:eastAsia="Times New Roman" w:hAnsi="Times New Roman"/>
          <w:sz w:val="19"/>
          <w:szCs w:val="19"/>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200" w:lineRule="exact"/>
        <w:rPr>
          <w:sz w:val="20"/>
          <w:szCs w:val="20"/>
          <w:color w:val="auto"/>
        </w:rPr>
      </w:pPr>
    </w:p>
    <w:p>
      <w:pPr>
        <w:spacing w:after="0" w:line="274" w:lineRule="exact"/>
        <w:rPr>
          <w:sz w:val="20"/>
          <w:szCs w:val="20"/>
          <w:color w:val="auto"/>
        </w:rPr>
      </w:pPr>
    </w:p>
    <w:p>
      <w:pPr>
        <w:jc w:val="both"/>
        <w:ind w:firstLine="421"/>
        <w:spacing w:after="0" w:line="232" w:lineRule="auto"/>
        <w:rPr>
          <w:sz w:val="20"/>
          <w:szCs w:val="20"/>
          <w:color w:val="auto"/>
        </w:rPr>
      </w:pPr>
      <w:r>
        <w:rPr>
          <w:rFonts w:ascii="Times New Roman" w:cs="Times New Roman" w:eastAsia="Times New Roman" w:hAnsi="Times New Roman"/>
          <w:sz w:val="19"/>
          <w:szCs w:val="19"/>
          <w:b w:val="1"/>
          <w:bCs w:val="1"/>
          <w:color w:val="auto"/>
        </w:rPr>
        <w:t xml:space="preserve">Section 3. </w:t>
      </w:r>
      <w:r>
        <w:rPr>
          <w:rFonts w:ascii="Times New Roman" w:cs="Times New Roman" w:eastAsia="Times New Roman" w:hAnsi="Times New Roman"/>
          <w:sz w:val="19"/>
          <w:szCs w:val="19"/>
          <w:b w:val="1"/>
          <w:bCs w:val="1"/>
          <w:u w:val="single" w:color="auto"/>
          <w:color w:val="auto"/>
        </w:rPr>
        <w:t>Effectiveness of This Amendment</w:t>
      </w:r>
      <w:r>
        <w:rPr>
          <w:rFonts w:ascii="Times New Roman" w:cs="Times New Roman" w:eastAsia="Times New Roman" w:hAnsi="Times New Roman"/>
          <w:sz w:val="19"/>
          <w:szCs w:val="19"/>
          <w:color w:val="auto"/>
        </w:rPr>
        <w:t>. This Amendment shall not be effective until the Purchaser receives (i) a counterpart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Amendment executed by the Seller, Servicer and the Purchaser and (ii) any such other documents as the Purchaser may reasonably request (the “</w:t>
      </w:r>
      <w:r>
        <w:rPr>
          <w:rFonts w:ascii="Times New Roman" w:cs="Times New Roman" w:eastAsia="Times New Roman" w:hAnsi="Times New Roman"/>
          <w:sz w:val="19"/>
          <w:szCs w:val="19"/>
          <w:u w:val="single" w:color="auto"/>
          <w:color w:val="auto"/>
        </w:rPr>
        <w:t>Amendment Effective Date</w:t>
      </w:r>
      <w:r>
        <w:rPr>
          <w:rFonts w:ascii="Times New Roman" w:cs="Times New Roman" w:eastAsia="Times New Roman" w:hAnsi="Times New Roman"/>
          <w:sz w:val="19"/>
          <w:szCs w:val="19"/>
          <w:color w:val="auto"/>
        </w:rPr>
        <w:t>”).</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b w:val="1"/>
          <w:bCs w:val="1"/>
          <w:color w:val="auto"/>
        </w:rPr>
        <w:t xml:space="preserve">Section 4. </w:t>
      </w:r>
      <w:r>
        <w:rPr>
          <w:rFonts w:ascii="Times New Roman" w:cs="Times New Roman" w:eastAsia="Times New Roman" w:hAnsi="Times New Roman"/>
          <w:sz w:val="19"/>
          <w:szCs w:val="19"/>
          <w:b w:val="1"/>
          <w:bCs w:val="1"/>
          <w:u w:val="single" w:color="auto"/>
          <w:color w:val="auto"/>
        </w:rPr>
        <w:t>Seller Representations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Seller represents and warrants to the Purchaser as follows:</w:t>
      </w:r>
    </w:p>
    <w:p>
      <w:pPr>
        <w:spacing w:after="0" w:line="134" w:lineRule="exact"/>
        <w:rPr>
          <w:sz w:val="20"/>
          <w:szCs w:val="20"/>
          <w:color w:val="auto"/>
        </w:rPr>
      </w:pPr>
    </w:p>
    <w:p>
      <w:pPr>
        <w:jc w:val="both"/>
        <w:ind w:firstLine="622"/>
        <w:spacing w:after="0" w:line="226" w:lineRule="auto"/>
        <w:tabs>
          <w:tab w:leader="none" w:pos="883"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representation and warranty made or deemed made by the Seller in the RPA is true and correct as of the date hereof, except to the extent that a representation or warranty expressly relates solely to an earlier date (in which case such representation or warranty was true and accurate on and as of such earlier date);</w:t>
      </w:r>
    </w:p>
    <w:p>
      <w:pPr>
        <w:spacing w:after="0" w:line="104" w:lineRule="exact"/>
        <w:rPr>
          <w:rFonts w:ascii="Times New Roman" w:cs="Times New Roman" w:eastAsia="Times New Roman" w:hAnsi="Times New Roman"/>
          <w:sz w:val="19"/>
          <w:szCs w:val="19"/>
          <w:color w:val="auto"/>
        </w:rPr>
      </w:pPr>
    </w:p>
    <w:p>
      <w:pPr>
        <w:ind w:left="880" w:hanging="258"/>
        <w:spacing w:after="0"/>
        <w:tabs>
          <w:tab w:leader="none" w:pos="88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Event of Repurchase or Event of Default has occurred and is continuing as of the date hereof;</w:t>
      </w:r>
    </w:p>
    <w:p>
      <w:pPr>
        <w:spacing w:after="0" w:line="116" w:lineRule="exact"/>
        <w:rPr>
          <w:rFonts w:ascii="Times New Roman" w:cs="Times New Roman" w:eastAsia="Times New Roman" w:hAnsi="Times New Roman"/>
          <w:sz w:val="19"/>
          <w:szCs w:val="19"/>
          <w:color w:val="auto"/>
        </w:rPr>
      </w:pPr>
    </w:p>
    <w:p>
      <w:pPr>
        <w:jc w:val="both"/>
        <w:ind w:firstLine="622"/>
        <w:spacing w:after="0" w:line="220" w:lineRule="auto"/>
        <w:tabs>
          <w:tab w:leader="none" w:pos="88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performance by the Seller of this Amendment and the RPA, as amended hereby, (i) are within the Seller’s corporate or other organizational powers, (ii) have been duly authorized by all necessary corporate or other organizational action; (iii) do not contravene (A) the Seller’s Organizational Documents, (B) any law, rule or regulation applicable to the Seller, (C) any contractual restriction binding on or affecting the Seller or its property, or (D) any order, writ, judgment, award, injunction or decree binding on or affecting the Seller or its property.</w:t>
      </w:r>
    </w:p>
    <w:p>
      <w:pPr>
        <w:spacing w:after="0" w:line="107" w:lineRule="exact"/>
        <w:rPr>
          <w:rFonts w:ascii="Times New Roman" w:cs="Times New Roman" w:eastAsia="Times New Roman" w:hAnsi="Times New Roman"/>
          <w:sz w:val="19"/>
          <w:szCs w:val="19"/>
          <w:color w:val="auto"/>
        </w:rPr>
      </w:pPr>
    </w:p>
    <w:p>
      <w:pPr>
        <w:jc w:val="both"/>
        <w:ind w:firstLine="622"/>
        <w:spacing w:after="0" w:line="222" w:lineRule="auto"/>
        <w:tabs>
          <w:tab w:leader="none" w:pos="89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Amendment and the RPA are legal, valid and binding obligations of the Seller and so long as the Seller acts as Servicer, enforceable against the Seller and the Servicer, as applicable, in accordance with their terms, except as limited by bankruptcy, insolvency, moratorium, fraudulent conveyance or other laws relating to the enforcement of creditors’ rights generally and general principles of equity (regardless of whether enforcement is sought at equity or law).</w:t>
      </w:r>
    </w:p>
    <w:p>
      <w:pPr>
        <w:spacing w:after="0" w:line="90" w:lineRule="exact"/>
        <w:rPr>
          <w:sz w:val="20"/>
          <w:szCs w:val="20"/>
          <w:color w:val="auto"/>
        </w:rPr>
      </w:pPr>
    </w:p>
    <w:p>
      <w:pPr>
        <w:ind w:firstLine="421"/>
        <w:spacing w:after="0" w:line="225" w:lineRule="auto"/>
        <w:rPr>
          <w:sz w:val="20"/>
          <w:szCs w:val="20"/>
          <w:color w:val="auto"/>
        </w:rPr>
      </w:pPr>
      <w:r>
        <w:rPr>
          <w:rFonts w:ascii="Times New Roman" w:cs="Times New Roman" w:eastAsia="Times New Roman" w:hAnsi="Times New Roman"/>
          <w:sz w:val="19"/>
          <w:szCs w:val="19"/>
          <w:b w:val="1"/>
          <w:bCs w:val="1"/>
          <w:color w:val="auto"/>
        </w:rPr>
        <w:t xml:space="preserve">Section 5. </w:t>
      </w:r>
      <w:r>
        <w:rPr>
          <w:rFonts w:ascii="Times New Roman" w:cs="Times New Roman" w:eastAsia="Times New Roman" w:hAnsi="Times New Roman"/>
          <w:sz w:val="19"/>
          <w:szCs w:val="19"/>
          <w:b w:val="1"/>
          <w:bCs w:val="1"/>
          <w:u w:val="single" w:color="auto"/>
          <w:color w:val="auto"/>
        </w:rPr>
        <w:t>Reaffirmation; Effect of Amendment.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Seller and the Servicer each acknowledges and reaffirms that the RPA, as hereby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amended, is hereby ratified and confirmed in all respects and all terms, conditions, and provisions of the RPA, except as amended by this</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Amendment, shall remain unmodified and in full force and effect. All references in any document or instrument to the RPA are hereby amended to refer to the RPA as amended by this Amendment. If any part of this Amendment is for any reason found to be unenforceable, all other portions of it</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shall nevertheless remain enforceable. The RPA and any and all other documents heretofore, now or hereafter executed and delivered pursuant to the terms of the RPA are hereby amended so that any reference to the RPA shall mean a reference to the RPA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822"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1"/>
          <w:szCs w:val="21"/>
          <w:b w:val="1"/>
          <w:bCs w:val="1"/>
          <w:color w:val="auto"/>
        </w:rPr>
        <w:t>Exhibit 10.45</w:t>
      </w:r>
    </w:p>
    <w:p>
      <w:pPr>
        <w:spacing w:after="0" w:line="200" w:lineRule="exact"/>
        <w:rPr>
          <w:sz w:val="20"/>
          <w:szCs w:val="20"/>
          <w:color w:val="auto"/>
        </w:rPr>
      </w:pPr>
    </w:p>
    <w:p>
      <w:pPr>
        <w:spacing w:after="0" w:line="230" w:lineRule="exact"/>
        <w:rPr>
          <w:sz w:val="20"/>
          <w:szCs w:val="20"/>
          <w:color w:val="auto"/>
        </w:rPr>
      </w:pPr>
    </w:p>
    <w:p>
      <w:pPr>
        <w:jc w:val="both"/>
        <w:ind w:firstLine="421"/>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Section 6. </w:t>
      </w: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color w:val="auto"/>
        </w:rPr>
        <w:t>. This Amendment shall be governed by and construed in accordance with the laws of the State of New York,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regard to conflict of laws principles.</w:t>
      </w:r>
    </w:p>
    <w:p>
      <w:pPr>
        <w:spacing w:after="0" w:line="83" w:lineRule="exact"/>
        <w:rPr>
          <w:sz w:val="20"/>
          <w:szCs w:val="20"/>
          <w:color w:val="auto"/>
        </w:rPr>
      </w:pPr>
    </w:p>
    <w:p>
      <w:pPr>
        <w:jc w:val="both"/>
        <w:ind w:firstLine="421"/>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Section 7. </w:t>
      </w:r>
      <w:r>
        <w:rPr>
          <w:rFonts w:ascii="Times New Roman" w:cs="Times New Roman" w:eastAsia="Times New Roman" w:hAnsi="Times New Roman"/>
          <w:sz w:val="19"/>
          <w:szCs w:val="19"/>
          <w:b w:val="1"/>
          <w:bCs w:val="1"/>
          <w:u w:val="single" w:color="auto"/>
          <w:color w:val="auto"/>
        </w:rPr>
        <w:t>Headings.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headings in this Amendment are included herein for convenience of reference only and shall not constitute a part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this Amendment for any other purpose.</w:t>
      </w:r>
    </w:p>
    <w:p>
      <w:pPr>
        <w:spacing w:after="0" w:line="95" w:lineRule="exact"/>
        <w:rPr>
          <w:sz w:val="20"/>
          <w:szCs w:val="20"/>
          <w:color w:val="auto"/>
        </w:rPr>
      </w:pPr>
    </w:p>
    <w:p>
      <w:pPr>
        <w:jc w:val="both"/>
        <w:ind w:firstLine="421"/>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and by the parties hereto in separate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which when so executed and delivered shall be deemed to be an original and all of which taken together shall constitute one and the same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instrument. Delivery of an executed counterpart of a signature page to this Amendment by fax or by email shall be effective as delivery of a manually executed counterpart of this Amendment.</w:t>
      </w:r>
    </w:p>
    <w:p>
      <w:pPr>
        <w:spacing w:after="0" w:line="88" w:lineRule="exact"/>
        <w:rPr>
          <w:sz w:val="20"/>
          <w:szCs w:val="20"/>
          <w:color w:val="auto"/>
        </w:rPr>
      </w:pPr>
    </w:p>
    <w:p>
      <w:pPr>
        <w:jc w:val="both"/>
        <w:ind w:firstLine="421"/>
        <w:spacing w:after="0" w:line="225" w:lineRule="auto"/>
        <w:rPr>
          <w:sz w:val="20"/>
          <w:szCs w:val="20"/>
          <w:color w:val="auto"/>
        </w:rPr>
      </w:pPr>
      <w:r>
        <w:rPr>
          <w:rFonts w:ascii="Times New Roman" w:cs="Times New Roman" w:eastAsia="Times New Roman" w:hAnsi="Times New Roman"/>
          <w:sz w:val="19"/>
          <w:szCs w:val="19"/>
          <w:b w:val="1"/>
          <w:bCs w:val="1"/>
          <w:color w:val="auto"/>
        </w:rPr>
        <w:t xml:space="preserve">Section 9. </w:t>
      </w:r>
      <w:r>
        <w:rPr>
          <w:rFonts w:ascii="Times New Roman" w:cs="Times New Roman" w:eastAsia="Times New Roman" w:hAnsi="Times New Roman"/>
          <w:sz w:val="19"/>
          <w:szCs w:val="19"/>
          <w:b w:val="1"/>
          <w:bCs w:val="1"/>
          <w:u w:val="single" w:color="auto"/>
          <w:color w:val="auto"/>
        </w:rPr>
        <w:t>ENTIRETY</w:t>
      </w:r>
      <w:r>
        <w:rPr>
          <w:rFonts w:ascii="Times New Roman" w:cs="Times New Roman" w:eastAsia="Times New Roman" w:hAnsi="Times New Roman"/>
          <w:sz w:val="19"/>
          <w:szCs w:val="19"/>
          <w:b w:val="1"/>
          <w:bCs w:val="1"/>
          <w:color w:val="auto"/>
        </w:rPr>
        <w:t>. THIS AMENDMENT, THE RPA, AND ANY OTHER RELATED DOCUMENTS EMBODY THE ENTIRE AGREEMENT BETWEEN THE PARTIES AND SUPERSEDE ALL PRIOR AGREEMENTS AND UNDERSTANDINGS, IF ANY,</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color w:val="auto"/>
        </w:rPr>
        <w:t>RELATING TO THE SUBJECT MATTER HEREOF. THESE DOCUMENTS REPRESENT THE FINAL AGREEMENT BETWEEN THE PARTIES AND MAY NOT BE CONTRADICTED BY EVIDENCE OF PRIOR, CONTEMPORANEOUS OR SUBSEQUENT ORAL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AGREEMENTS OF THE PARTIES.</w:t>
      </w:r>
    </w:p>
    <w:p>
      <w:pPr>
        <w:spacing w:after="0" w:line="131" w:lineRule="exact"/>
        <w:rPr>
          <w:sz w:val="20"/>
          <w:szCs w:val="20"/>
          <w:color w:val="auto"/>
        </w:rPr>
      </w:pPr>
    </w:p>
    <w:p>
      <w:pPr>
        <w:ind w:right="280" w:firstLine="421"/>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Section 10. </w:t>
      </w:r>
      <w:r>
        <w:rPr>
          <w:rFonts w:ascii="Times New Roman" w:cs="Times New Roman" w:eastAsia="Times New Roman" w:hAnsi="Times New Roman"/>
          <w:sz w:val="19"/>
          <w:szCs w:val="19"/>
          <w:b w:val="1"/>
          <w:bCs w:val="1"/>
          <w:u w:val="single" w:color="auto"/>
          <w:color w:val="auto"/>
        </w:rPr>
        <w:t>Successors.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Amendment binds and inures to the benefit of the parties hereto and their respective successors and permitted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assigns.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822"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1"/>
          <w:szCs w:val="21"/>
          <w:b w:val="1"/>
          <w:bCs w:val="1"/>
          <w:color w:val="auto"/>
        </w:rPr>
        <w:t>Exhibit 10.45</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Amendment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LIFETIME BRANDS, INC.</w:t>
      </w:r>
    </w:p>
    <w:p>
      <w:pPr>
        <w:spacing w:after="0" w:line="2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as Seller Agent, a Seller and initial Servicer</w:t>
      </w:r>
    </w:p>
    <w:p>
      <w:pPr>
        <w:spacing w:after="0" w:line="220" w:lineRule="exact"/>
        <w:rPr>
          <w:sz w:val="20"/>
          <w:szCs w:val="20"/>
          <w:color w:val="auto"/>
        </w:rPr>
      </w:pPr>
    </w:p>
    <w:p>
      <w:pPr>
        <w:ind w:left="3120"/>
        <w:spacing w:after="0"/>
        <w:tabs>
          <w:tab w:leader="none" w:pos="35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21590</wp:posOffset>
            </wp:positionV>
            <wp:extent cx="23901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Laurence Winoker</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Executive Vice President, Treasurer and Chief</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Financial Officer</w:t>
      </w:r>
    </w:p>
    <w:p>
      <w:pPr>
        <w:spacing w:after="0" w:line="200" w:lineRule="exact"/>
        <w:rPr>
          <w:sz w:val="20"/>
          <w:szCs w:val="20"/>
          <w:color w:val="auto"/>
        </w:rPr>
      </w:pPr>
    </w:p>
    <w:p>
      <w:pPr>
        <w:spacing w:after="0" w:line="2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b w:val="1"/>
          <w:bCs w:val="1"/>
          <w:color w:val="auto"/>
        </w:rPr>
        <w:t>HSBC BANK USA, NATIONAL ASSOCIATION</w:t>
      </w:r>
      <w:r>
        <w:rPr>
          <w:rFonts w:ascii="Times New Roman" w:cs="Times New Roman" w:eastAsia="Times New Roman" w:hAnsi="Times New Roman"/>
          <w:sz w:val="19"/>
          <w:szCs w:val="19"/>
          <w:color w:val="auto"/>
        </w:rPr>
        <w:t>,</w:t>
      </w:r>
    </w:p>
    <w:p>
      <w:pPr>
        <w:ind w:left="3100"/>
        <w:spacing w:after="0"/>
        <w:rPr>
          <w:sz w:val="20"/>
          <w:szCs w:val="20"/>
          <w:color w:val="auto"/>
        </w:rPr>
      </w:pPr>
      <w:r>
        <w:rPr>
          <w:rFonts w:ascii="Times New Roman" w:cs="Times New Roman" w:eastAsia="Times New Roman" w:hAnsi="Times New Roman"/>
          <w:sz w:val="19"/>
          <w:szCs w:val="19"/>
          <w:color w:val="auto"/>
        </w:rPr>
        <w:t>as Purchaser</w:t>
      </w:r>
    </w:p>
    <w:p>
      <w:pPr>
        <w:spacing w:after="0" w:line="34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_/s/ Samir Moorjani___________________</w:t>
      </w:r>
    </w:p>
    <w:p>
      <w:pPr>
        <w:ind w:left="3100"/>
        <w:spacing w:after="0" w:line="198" w:lineRule="auto"/>
        <w:rPr>
          <w:sz w:val="20"/>
          <w:szCs w:val="20"/>
          <w:color w:val="auto"/>
        </w:rPr>
      </w:pPr>
      <w:r>
        <w:rPr>
          <w:rFonts w:ascii="Times New Roman" w:cs="Times New Roman" w:eastAsia="Times New Roman" w:hAnsi="Times New Roman"/>
          <w:sz w:val="19"/>
          <w:szCs w:val="19"/>
          <w:color w:val="auto"/>
        </w:rPr>
        <w:t>Name: Samir Moorjani</w:t>
      </w:r>
    </w:p>
    <w:p>
      <w:pPr>
        <w:ind w:left="3100"/>
        <w:spacing w:after="0"/>
        <w:rPr>
          <w:sz w:val="20"/>
          <w:szCs w:val="20"/>
          <w:color w:val="auto"/>
        </w:rPr>
      </w:pPr>
      <w:r>
        <w:rPr>
          <w:rFonts w:ascii="Times New Roman" w:cs="Times New Roman" w:eastAsia="Times New Roman" w:hAnsi="Times New Roman"/>
          <w:sz w:val="19"/>
          <w:szCs w:val="19"/>
          <w:color w:val="auto"/>
        </w:rPr>
        <w:t>Title: Director, Structured Trade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822"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1"/>
          <w:szCs w:val="21"/>
          <w:b w:val="1"/>
          <w:bCs w:val="1"/>
          <w:color w:val="auto"/>
        </w:rPr>
        <w:t>Exhibit 10.46</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OPTION GRANT CERTIFICATES</w:t>
      </w:r>
    </w:p>
    <w:p>
      <w:pPr>
        <w:spacing w:after="0" w:line="200" w:lineRule="exact"/>
        <w:rPr>
          <w:sz w:val="20"/>
          <w:szCs w:val="20"/>
          <w:color w:val="auto"/>
        </w:rPr>
      </w:pPr>
    </w:p>
    <w:p>
      <w:pPr>
        <w:spacing w:after="0" w:line="240"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9"/>
          <w:szCs w:val="19"/>
          <w:color w:val="auto"/>
        </w:rPr>
        <w:t>This Amendment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19"/>
          <w:szCs w:val="19"/>
          <w:color w:val="auto"/>
        </w:rPr>
        <w:t>”) to Option Grant Certificates is entered into as of March 8,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19"/>
          <w:szCs w:val="19"/>
          <w:color w:val="auto"/>
        </w:rPr>
        <w:t>”) by and between Lifetime Brands,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19"/>
          <w:szCs w:val="19"/>
          <w:color w:val="auto"/>
        </w:rPr>
        <w:t>”) and Jeffrey Siegel (the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19"/>
          <w:szCs w:val="19"/>
          <w:color w:val="auto"/>
        </w:rPr>
        <w:t>”), and hereby amends each of the outstanding option grant certificates (the “</w:t>
      </w:r>
      <w:r>
        <w:rPr>
          <w:rFonts w:ascii="Times New Roman" w:cs="Times New Roman" w:eastAsia="Times New Roman" w:hAnsi="Times New Roman"/>
          <w:sz w:val="20"/>
          <w:szCs w:val="20"/>
          <w:u w:val="single" w:color="auto"/>
          <w:color w:val="auto"/>
        </w:rPr>
        <w:t>Option Grant Certificates</w:t>
      </w:r>
      <w:r>
        <w:rPr>
          <w:rFonts w:ascii="Times New Roman" w:cs="Times New Roman" w:eastAsia="Times New Roman" w:hAnsi="Times New Roman"/>
          <w:sz w:val="19"/>
          <w:szCs w:val="19"/>
          <w:color w:val="auto"/>
        </w:rPr>
        <w:t>”) set forth on Annex A hereto issued pursuant to the Company’s Amended and Restated 2000 Long-</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Term Incentive Plan (the “</w:t>
      </w:r>
      <w:r>
        <w:rPr>
          <w:rFonts w:ascii="Times New Roman" w:cs="Times New Roman" w:eastAsia="Times New Roman" w:hAnsi="Times New Roman"/>
          <w:sz w:val="20"/>
          <w:szCs w:val="20"/>
          <w:u w:val="single" w:color="auto"/>
          <w:color w:val="auto"/>
        </w:rPr>
        <w:t>LTIP</w:t>
      </w:r>
      <w:r>
        <w:rPr>
          <w:rFonts w:ascii="Times New Roman" w:cs="Times New Roman" w:eastAsia="Times New Roman" w:hAnsi="Times New Roman"/>
          <w:sz w:val="19"/>
          <w:szCs w:val="19"/>
          <w:color w:val="auto"/>
        </w:rPr>
        <w:t>”) on the date set forth on Annex A hereto, and in respect of the number of shares of common stock of the Company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19"/>
          <w:szCs w:val="19"/>
          <w:color w:val="auto"/>
        </w:rPr>
        <w:t>”) set forth on Annex A hereto. Capitalized terms not defined herein have the meanings set forth in the LTIP or the applicable Option Grant Certificate, as applicable.</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WHEREAS, the Company and the Grantee desire to amend the Option Grant Certificates to reflect the terms and conditions set forth herein.</w:t>
      </w:r>
    </w:p>
    <w:p>
      <w:pPr>
        <w:spacing w:after="0" w:line="23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NOW, THEREFORE, for good and valuable consideration, the receipt and sufficiency of which are hereby acknowledged, the Company and the Grantee hereby agree as follows:</w:t>
      </w:r>
    </w:p>
    <w:p>
      <w:pPr>
        <w:spacing w:after="0" w:line="181" w:lineRule="exact"/>
        <w:rPr>
          <w:sz w:val="20"/>
          <w:szCs w:val="20"/>
          <w:color w:val="auto"/>
        </w:rPr>
      </w:pPr>
    </w:p>
    <w:p>
      <w:pPr>
        <w:ind w:left="620" w:hanging="307"/>
        <w:spacing w:after="0"/>
        <w:tabs>
          <w:tab w:leader="none" w:pos="62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Section 6(iii) of each Option Grant Certificate shall be deleted in its entirety and replaced with the following:</w:t>
      </w:r>
    </w:p>
    <w:p>
      <w:pPr>
        <w:spacing w:after="0" w:line="183" w:lineRule="exact"/>
        <w:rPr>
          <w:rFonts w:ascii="Times New Roman" w:cs="Times New Roman" w:eastAsia="Times New Roman" w:hAnsi="Times New Roman"/>
          <w:sz w:val="21"/>
          <w:szCs w:val="21"/>
          <w:color w:val="auto"/>
        </w:rPr>
      </w:pPr>
    </w:p>
    <w:p>
      <w:pPr>
        <w:jc w:val="both"/>
        <w:ind w:left="6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“(iii) as to the vested portion of the Option (after taking into account any accelerated vesting pursuant to the preceding paragraph), (a) if the Grantee’s Termination of Service is for a reason other than for death or Disability, the 91st day following the Grantee’s Termination of Service, provided, however, if the Grantee shall die or become Disabled during such 91-day period, the Option shall terminate as to the vested portion thereof on the date that is 12 months following the date the Grantee dies or becomes Disabled, as the case may be, (b) if the Grantee’s Termination of Service is as a result of death or Disability, 12 months following the Grantee’s Termination of Service, and (c) if the Grantee’s Termination of Service is for Cause, immediately upon such termination, provided that, for purposes of the foregoing clauses (a), (b), and (c), ‘</w:t>
      </w:r>
      <w:r>
        <w:rPr>
          <w:rFonts w:ascii="Times New Roman" w:cs="Times New Roman" w:eastAsia="Times New Roman" w:hAnsi="Times New Roman"/>
          <w:sz w:val="20"/>
          <w:szCs w:val="20"/>
          <w:u w:val="single" w:color="auto"/>
          <w:color w:val="auto"/>
        </w:rPr>
        <w:t>Termination of Service</w:t>
      </w:r>
      <w:r>
        <w:rPr>
          <w:rFonts w:ascii="Times New Roman" w:cs="Times New Roman" w:eastAsia="Times New Roman" w:hAnsi="Times New Roman"/>
          <w:sz w:val="19"/>
          <w:szCs w:val="19"/>
          <w:color w:val="auto"/>
        </w:rPr>
        <w:t>’ shall mean the termination of the Grantee’s service with the Company in all capacities so that the Grantee no longer serves as an officer or employee of the Company or a member of the Board”</w:t>
      </w:r>
    </w:p>
    <w:p>
      <w:pPr>
        <w:spacing w:after="0" w:line="196" w:lineRule="exact"/>
        <w:rPr>
          <w:rFonts w:ascii="Times New Roman" w:cs="Times New Roman" w:eastAsia="Times New Roman" w:hAnsi="Times New Roman"/>
          <w:sz w:val="21"/>
          <w:szCs w:val="21"/>
          <w:color w:val="auto"/>
        </w:rPr>
      </w:pPr>
    </w:p>
    <w:p>
      <w:pPr>
        <w:ind w:left="620" w:hanging="307"/>
        <w:spacing w:after="0" w:line="243" w:lineRule="auto"/>
        <w:tabs>
          <w:tab w:leader="none" w:pos="62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No Other Amendments</w:t>
      </w:r>
      <w:r>
        <w:rPr>
          <w:rFonts w:ascii="Times New Roman" w:cs="Times New Roman" w:eastAsia="Times New Roman" w:hAnsi="Times New Roman"/>
          <w:sz w:val="19"/>
          <w:szCs w:val="19"/>
          <w:color w:val="auto"/>
        </w:rPr>
        <w:t>. Except as expressly set forth in this Amendment, the Option Grant Certificates shall continue in full force and effect, without modification, in accordance with their terms.</w:t>
      </w:r>
    </w:p>
    <w:p>
      <w:pPr>
        <w:spacing w:after="0" w:line="204" w:lineRule="exact"/>
        <w:rPr>
          <w:rFonts w:ascii="Times New Roman" w:cs="Times New Roman" w:eastAsia="Times New Roman" w:hAnsi="Times New Roman"/>
          <w:sz w:val="21"/>
          <w:szCs w:val="21"/>
          <w:color w:val="auto"/>
        </w:rPr>
      </w:pPr>
    </w:p>
    <w:p>
      <w:pPr>
        <w:jc w:val="both"/>
        <w:ind w:left="620" w:hanging="307"/>
        <w:spacing w:after="0" w:line="245" w:lineRule="auto"/>
        <w:tabs>
          <w:tab w:leader="none" w:pos="62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Amendment may be executed in any number of counterparts, each of which shall be deemed an original, and all of which together shall constitute one instrument. E</w:t>
      </w:r>
      <w:r>
        <w:rPr>
          <w:rFonts w:ascii="Times New Roman" w:cs="Times New Roman" w:eastAsia="Times New Roman" w:hAnsi="Times New Roman"/>
          <w:sz w:val="20"/>
          <w:szCs w:val="20"/>
          <w:color w:val="auto"/>
        </w:rPr>
        <w:t>xecution and delivery of this Amendment by exchange of facsimile or electronic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copies bearing the facsimile or electronic signature of a party hereto shall constitute a valid and binding execution and delivery of this Amendment by such party.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ectPr>
          <w:pgSz w:w="11900" w:h="16838" w:orient="portrait"/>
          <w:cols w:equalWidth="0" w:num="1">
            <w:col w:w="11240"/>
          </w:cols>
          <w:pgMar w:left="320" w:top="819"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1"/>
          <w:szCs w:val="21"/>
          <w:b w:val="1"/>
          <w:bCs w:val="1"/>
          <w:color w:val="auto"/>
        </w:rPr>
        <w:t>Exhibit 10.46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as of the Effective Date.</w:t>
      </w:r>
    </w:p>
    <w:p>
      <w:pPr>
        <w:spacing w:after="0" w:line="26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color w:val="auto"/>
        </w:rPr>
        <w:t>LIFETIME BRANDS, INC.</w:t>
      </w:r>
    </w:p>
    <w:p>
      <w:pPr>
        <w:spacing w:after="0" w:line="26" w:lineRule="exact"/>
        <w:rPr>
          <w:sz w:val="20"/>
          <w:szCs w:val="20"/>
          <w:color w:val="auto"/>
        </w:rPr>
      </w:pPr>
    </w:p>
    <w:tbl>
      <w:tblPr>
        <w:tblLayout w:type="fixed"/>
        <w:tblInd w:w="5060" w:type="dxa"/>
        <w:tblCellMar>
          <w:top w:w="0" w:type="dxa"/>
          <w:left w:w="0" w:type="dxa"/>
          <w:bottom w:w="0" w:type="dxa"/>
          <w:right w:w="0" w:type="dxa"/>
        </w:tblCellMar>
      </w:tblPr>
      <w:tr>
        <w:trPr>
          <w:trHeight w:val="260"/>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Robert B. Kay</w:t>
            </w:r>
          </w:p>
        </w:tc>
      </w:tr>
      <w:tr>
        <w:trPr>
          <w:trHeight w:val="238"/>
        </w:trPr>
        <w:tc>
          <w:tcPr>
            <w:tcW w:w="90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Name:</w:t>
            </w:r>
          </w:p>
        </w:tc>
        <w:tc>
          <w:tcPr>
            <w:tcW w:w="4660" w:type="dxa"/>
            <w:vAlign w:val="bottom"/>
          </w:tcPr>
          <w:p>
            <w:pPr>
              <w:ind w:left="20"/>
              <w:spacing w:after="0" w:line="238" w:lineRule="exact"/>
              <w:rPr>
                <w:sz w:val="20"/>
                <w:szCs w:val="20"/>
                <w:color w:val="auto"/>
              </w:rPr>
            </w:pPr>
            <w:r>
              <w:rPr>
                <w:rFonts w:ascii="Times New Roman" w:cs="Times New Roman" w:eastAsia="Times New Roman" w:hAnsi="Times New Roman"/>
                <w:sz w:val="21"/>
                <w:szCs w:val="21"/>
                <w:color w:val="auto"/>
              </w:rPr>
              <w:t>Robert B. Kay</w:t>
            </w: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6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Chief Executive Officer</w:t>
            </w:r>
          </w:p>
        </w:tc>
      </w:tr>
    </w:tbl>
    <w:p>
      <w:pPr>
        <w:spacing w:after="0" w:line="200" w:lineRule="exact"/>
        <w:rPr>
          <w:sz w:val="20"/>
          <w:szCs w:val="20"/>
          <w:color w:val="auto"/>
        </w:rPr>
      </w:pPr>
    </w:p>
    <w:p>
      <w:pPr>
        <w:spacing w:after="0" w:line="3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GRANTEE</w:t>
      </w:r>
    </w:p>
    <w:p>
      <w:pPr>
        <w:spacing w:after="0" w:line="27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/s/ Jeffrey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18415</wp:posOffset>
            </wp:positionV>
            <wp:extent cx="35121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Jeffrey Siegel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620"/>
          </w:cols>
          <w:pgMar w:left="940" w:top="819"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b w:val="1"/>
          <w:bCs w:val="1"/>
          <w:color w:val="auto"/>
        </w:rPr>
        <w:t>Exhibit 10.46</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Annex A</w:t>
            </w:r>
          </w:p>
        </w:tc>
        <w:tc>
          <w:tcPr>
            <w:tcW w:w="3540" w:type="dxa"/>
            <w:vAlign w:val="bottom"/>
            <w:gridSpan w:val="3"/>
          </w:tcPr>
          <w:p>
            <w:pPr>
              <w:spacing w:after="0"/>
              <w:rPr>
                <w:sz w:val="18"/>
                <w:szCs w:val="18"/>
                <w:color w:val="auto"/>
              </w:rPr>
            </w:pPr>
          </w:p>
        </w:tc>
      </w:tr>
      <w:tr>
        <w:trPr>
          <w:trHeight w:val="418"/>
        </w:trPr>
        <w:tc>
          <w:tcPr>
            <w:tcW w:w="2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Outstanding Option Grant Certificates</w:t>
            </w:r>
          </w:p>
        </w:tc>
        <w:tc>
          <w:tcPr>
            <w:tcW w:w="2320" w:type="dxa"/>
            <w:vAlign w:val="bottom"/>
          </w:tcPr>
          <w:p>
            <w:pPr>
              <w:spacing w:after="0"/>
              <w:rPr>
                <w:sz w:val="24"/>
                <w:szCs w:val="24"/>
                <w:color w:val="auto"/>
              </w:rPr>
            </w:pPr>
          </w:p>
        </w:tc>
      </w:tr>
      <w:tr>
        <w:trPr>
          <w:trHeight w:val="277"/>
        </w:trPr>
        <w:tc>
          <w:tcPr>
            <w:tcW w:w="2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spacing w:after="0"/>
              <w:rPr>
                <w:sz w:val="24"/>
                <w:szCs w:val="24"/>
                <w:color w:val="auto"/>
              </w:rPr>
            </w:pPr>
          </w:p>
        </w:tc>
      </w:tr>
      <w:tr>
        <w:trPr>
          <w:trHeight w:val="246"/>
        </w:trPr>
        <w:tc>
          <w:tcPr>
            <w:tcW w:w="2820" w:type="dxa"/>
            <w:vAlign w:val="bottom"/>
            <w:tcBorders>
              <w:left w:val="single" w:sz="8" w:color="auto"/>
              <w:bottom w:val="single" w:sz="8" w:color="auto"/>
              <w:right w:val="single" w:sz="8" w:color="auto"/>
            </w:tcBorders>
            <w:shd w:val="clear" w:color="auto" w:fill="EEECE1"/>
          </w:tcPr>
          <w:p>
            <w:pPr>
              <w:ind w:left="40"/>
              <w:spacing w:after="0"/>
              <w:rPr>
                <w:sz w:val="20"/>
                <w:szCs w:val="20"/>
                <w:color w:val="auto"/>
              </w:rPr>
            </w:pPr>
            <w:r>
              <w:rPr>
                <w:rFonts w:ascii="Times New Roman" w:cs="Times New Roman" w:eastAsia="Times New Roman" w:hAnsi="Times New Roman"/>
                <w:sz w:val="19"/>
                <w:szCs w:val="19"/>
                <w:color w:val="auto"/>
              </w:rPr>
              <w:t>Date of Grant</w:t>
            </w:r>
          </w:p>
        </w:tc>
        <w:tc>
          <w:tcPr>
            <w:tcW w:w="2440" w:type="dxa"/>
            <w:vAlign w:val="bottom"/>
            <w:tcBorders>
              <w:bottom w:val="single" w:sz="8" w:color="auto"/>
            </w:tcBorders>
            <w:gridSpan w:val="2"/>
            <w:shd w:val="clear" w:color="auto" w:fill="EEECE1"/>
          </w:tcPr>
          <w:p>
            <w:pPr>
              <w:ind w:left="20"/>
              <w:spacing w:after="0"/>
              <w:rPr>
                <w:sz w:val="20"/>
                <w:szCs w:val="20"/>
                <w:color w:val="auto"/>
              </w:rPr>
            </w:pPr>
            <w:r>
              <w:rPr>
                <w:rFonts w:ascii="Times New Roman" w:cs="Times New Roman" w:eastAsia="Times New Roman" w:hAnsi="Times New Roman"/>
                <w:sz w:val="19"/>
                <w:szCs w:val="19"/>
                <w:color w:val="auto"/>
              </w:rPr>
              <w:t>Number of Shares</w:t>
            </w:r>
          </w:p>
        </w:tc>
        <w:tc>
          <w:tcPr>
            <w:tcW w:w="720" w:type="dxa"/>
            <w:vAlign w:val="bottom"/>
            <w:tcBorders>
              <w:bottom w:val="single" w:sz="8" w:color="auto"/>
            </w:tcBorders>
            <w:shd w:val="clear" w:color="auto" w:fill="EEECE1"/>
          </w:tcPr>
          <w:p>
            <w:pPr>
              <w:spacing w:after="0"/>
              <w:rPr>
                <w:sz w:val="21"/>
                <w:szCs w:val="21"/>
                <w:color w:val="auto"/>
              </w:rPr>
            </w:pPr>
          </w:p>
        </w:tc>
        <w:tc>
          <w:tcPr>
            <w:tcW w:w="620" w:type="dxa"/>
            <w:vAlign w:val="bottom"/>
            <w:tcBorders>
              <w:bottom w:val="single" w:sz="8" w:color="auto"/>
              <w:right w:val="single" w:sz="8" w:color="auto"/>
            </w:tcBorders>
            <w:shd w:val="clear" w:color="auto" w:fill="EEECE1"/>
          </w:tcPr>
          <w:p>
            <w:pPr>
              <w:spacing w:after="0"/>
              <w:rPr>
                <w:sz w:val="21"/>
                <w:szCs w:val="21"/>
                <w:color w:val="auto"/>
              </w:rPr>
            </w:pPr>
          </w:p>
        </w:tc>
        <w:tc>
          <w:tcPr>
            <w:tcW w:w="2920" w:type="dxa"/>
            <w:vAlign w:val="bottom"/>
            <w:tcBorders>
              <w:bottom w:val="single" w:sz="8" w:color="auto"/>
              <w:right w:val="single" w:sz="8" w:color="auto"/>
            </w:tcBorders>
            <w:gridSpan w:val="2"/>
            <w:shd w:val="clear" w:color="auto" w:fill="EEECE1"/>
          </w:tcPr>
          <w:p>
            <w:pPr>
              <w:spacing w:after="0"/>
              <w:rPr>
                <w:sz w:val="20"/>
                <w:szCs w:val="20"/>
                <w:color w:val="auto"/>
              </w:rPr>
            </w:pPr>
            <w:r>
              <w:rPr>
                <w:rFonts w:ascii="Times New Roman" w:cs="Times New Roman" w:eastAsia="Times New Roman" w:hAnsi="Times New Roman"/>
                <w:sz w:val="19"/>
                <w:szCs w:val="19"/>
                <w:color w:val="auto"/>
              </w:rPr>
              <w:t>Exercise Price Per Share</w:t>
            </w:r>
          </w:p>
        </w:tc>
      </w:tr>
      <w:tr>
        <w:trPr>
          <w:trHeight w:val="251"/>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May 7, 2013</w:t>
            </w: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24,000</w:t>
            </w:r>
          </w:p>
        </w:tc>
        <w:tc>
          <w:tcPr>
            <w:tcW w:w="120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gridSpan w:val="2"/>
          </w:tcPr>
          <w:p>
            <w:pPr>
              <w:spacing w:after="0"/>
              <w:rPr>
                <w:sz w:val="21"/>
                <w:szCs w:val="21"/>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$12.79</w:t>
            </w:r>
          </w:p>
        </w:tc>
        <w:tc>
          <w:tcPr>
            <w:tcW w:w="2320" w:type="dxa"/>
            <w:vAlign w:val="bottom"/>
            <w:tcBorders>
              <w:bottom w:val="single" w:sz="8" w:color="auto"/>
              <w:right w:val="single" w:sz="8" w:color="auto"/>
            </w:tcBorders>
          </w:tcPr>
          <w:p>
            <w:pPr>
              <w:spacing w:after="0"/>
              <w:rPr>
                <w:sz w:val="21"/>
                <w:szCs w:val="21"/>
                <w:color w:val="auto"/>
              </w:rPr>
            </w:pPr>
          </w:p>
        </w:tc>
      </w:tr>
      <w:tr>
        <w:trPr>
          <w:trHeight w:val="251"/>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March 12, 2014</w:t>
            </w: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100,000</w:t>
            </w:r>
          </w:p>
        </w:tc>
        <w:tc>
          <w:tcPr>
            <w:tcW w:w="120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gridSpan w:val="2"/>
          </w:tcPr>
          <w:p>
            <w:pPr>
              <w:spacing w:after="0"/>
              <w:rPr>
                <w:sz w:val="21"/>
                <w:szCs w:val="21"/>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$18.04</w:t>
            </w:r>
          </w:p>
        </w:tc>
        <w:tc>
          <w:tcPr>
            <w:tcW w:w="2320" w:type="dxa"/>
            <w:vAlign w:val="bottom"/>
            <w:tcBorders>
              <w:bottom w:val="single" w:sz="8" w:color="auto"/>
              <w:right w:val="single" w:sz="8" w:color="auto"/>
            </w:tcBorders>
          </w:tcPr>
          <w:p>
            <w:pPr>
              <w:spacing w:after="0"/>
              <w:rPr>
                <w:sz w:val="21"/>
                <w:szCs w:val="21"/>
                <w:color w:val="auto"/>
              </w:rPr>
            </w:pPr>
          </w:p>
        </w:tc>
      </w:tr>
      <w:tr>
        <w:trPr>
          <w:trHeight w:val="251"/>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April 30, 2014</w:t>
            </w: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16,000</w:t>
            </w:r>
          </w:p>
        </w:tc>
        <w:tc>
          <w:tcPr>
            <w:tcW w:w="120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gridSpan w:val="2"/>
          </w:tcPr>
          <w:p>
            <w:pPr>
              <w:spacing w:after="0"/>
              <w:rPr>
                <w:sz w:val="21"/>
                <w:szCs w:val="21"/>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$19.10</w:t>
            </w:r>
          </w:p>
        </w:tc>
        <w:tc>
          <w:tcPr>
            <w:tcW w:w="2320" w:type="dxa"/>
            <w:vAlign w:val="bottom"/>
            <w:tcBorders>
              <w:bottom w:val="single" w:sz="8" w:color="auto"/>
              <w:right w:val="single" w:sz="8" w:color="auto"/>
            </w:tcBorders>
          </w:tcPr>
          <w:p>
            <w:pPr>
              <w:spacing w:after="0"/>
              <w:rPr>
                <w:sz w:val="21"/>
                <w:szCs w:val="21"/>
                <w:color w:val="auto"/>
              </w:rPr>
            </w:pPr>
          </w:p>
        </w:tc>
      </w:tr>
      <w:tr>
        <w:trPr>
          <w:trHeight w:val="251"/>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January 12, 2017</w:t>
            </w: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75,000</w:t>
            </w:r>
          </w:p>
        </w:tc>
        <w:tc>
          <w:tcPr>
            <w:tcW w:w="120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gridSpan w:val="2"/>
          </w:tcPr>
          <w:p>
            <w:pPr>
              <w:spacing w:after="0"/>
              <w:rPr>
                <w:sz w:val="21"/>
                <w:szCs w:val="21"/>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$16.60</w:t>
            </w:r>
          </w:p>
        </w:tc>
        <w:tc>
          <w:tcPr>
            <w:tcW w:w="232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240"/>
          </w:cols>
          <w:pgMar w:left="320" w:top="819" w:right="339" w:bottom="1440" w:gutter="0" w:footer="0" w:header="0"/>
        </w:sectPr>
      </w:pPr>
    </w:p>
    <w:bookmarkStart w:id="117" w:name="page118"/>
    <w:bookmarkEnd w:id="117"/>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8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Subsidiaries of the Registrant</w:t>
            </w:r>
          </w:p>
        </w:tc>
        <w:tc>
          <w:tcPr>
            <w:tcW w:w="38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Exhibit 21.1</w:t>
            </w:r>
          </w:p>
        </w:tc>
        <w:tc>
          <w:tcPr>
            <w:tcW w:w="0" w:type="dxa"/>
            <w:vAlign w:val="bottom"/>
          </w:tcPr>
          <w:p>
            <w:pPr>
              <w:spacing w:after="0"/>
              <w:rPr>
                <w:sz w:val="1"/>
                <w:szCs w:val="1"/>
                <w:color w:val="auto"/>
              </w:rPr>
            </w:pPr>
          </w:p>
        </w:tc>
      </w:tr>
      <w:tr>
        <w:trPr>
          <w:trHeight w:val="232"/>
        </w:trPr>
        <w:tc>
          <w:tcPr>
            <w:tcW w:w="6080" w:type="dxa"/>
            <w:vAlign w:val="bottom"/>
            <w:vMerge w:val="continue"/>
          </w:tcPr>
          <w:p>
            <w:pPr>
              <w:spacing w:after="0"/>
              <w:rPr>
                <w:sz w:val="20"/>
                <w:szCs w:val="20"/>
                <w:color w:val="auto"/>
              </w:rPr>
            </w:pPr>
          </w:p>
        </w:tc>
        <w:tc>
          <w:tcPr>
            <w:tcW w:w="3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380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State/Country of Incorporation</w:t>
            </w: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2"/>
        </w:trPr>
        <w:tc>
          <w:tcPr>
            <w:tcW w:w="60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Creative Tops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Europe B.V.</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Netherlands</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Grand Venture Enterprises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Hong Kong</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 Cafetiere (UK)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(Jersey)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Jersey, Channel Islands</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Europe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Global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Hong Kong</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Inc. (HK)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Hong Kong</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Global Trading (Shanghai) Company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China</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International Shanghai</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China</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Holdings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UK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Goal Development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Hong Kong</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Pfaltzgraff Factory Stores, Inc.</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Delaware</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Chef’n Corporation</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Washington</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Plant (Birmingham) Holdings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Wallace Silversmiths de Puerto Rico Ltd.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Cayman Islands</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Exacture LLC</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Delaware</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LTB Maquila Factory Imports I, LLC</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Delaware</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LTB Maquila Factory Imports II, LLC</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Delaware</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Maquila México, S. de R.L. de C.V.</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Mexico</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LTB de México, S.A. de C.V.</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Mexico</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8" w:name="page119"/>
    <w:bookmarkEnd w:id="118"/>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(Form S-8 Nos. 333-265931, 333-105382, 333-146017, 333-162734, 333-186208, 333-208961, 333-221613, 333-226666, 333-239539) pertaining to the Amended and Restated 2000 Long-Term Incentive Plan of Lifetime Brands, Inc. of our reports dated March 9, 2023, with respect to the consolidated financial statements and schedule of Lifetime Brands, Inc., and the effectiveness of internal control over financial reporting of Lifetime Brands, Inc. included in this Annual Report (Form 10-K) for the year ended December 31, 2022.</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Jericho, New York</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9, 2023</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Board of Directors and Stockholders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Grupo Vasconia, S.A.B.</w:t>
      </w:r>
    </w:p>
    <w:p>
      <w:pPr>
        <w:spacing w:after="0"/>
        <w:rPr>
          <w:sz w:val="20"/>
          <w:szCs w:val="20"/>
          <w:color w:val="auto"/>
        </w:rPr>
      </w:pPr>
      <w:r>
        <w:rPr>
          <w:rFonts w:ascii="Times New Roman" w:cs="Times New Roman" w:eastAsia="Times New Roman" w:hAnsi="Times New Roman"/>
          <w:sz w:val="17"/>
          <w:szCs w:val="17"/>
          <w:b w:val="1"/>
          <w:bCs w:val="1"/>
          <w:color w:val="auto"/>
        </w:rPr>
        <w:t>Avenida 16 de septiembre #346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Colonia El Partidor</w:t>
      </w:r>
    </w:p>
    <w:p>
      <w:pPr>
        <w:spacing w:after="0" w:line="237" w:lineRule="auto"/>
        <w:rPr>
          <w:sz w:val="20"/>
          <w:szCs w:val="20"/>
          <w:color w:val="auto"/>
        </w:rPr>
      </w:pPr>
      <w:r>
        <w:rPr>
          <w:rFonts w:ascii="Times New Roman" w:cs="Times New Roman" w:eastAsia="Times New Roman" w:hAnsi="Times New Roman"/>
          <w:sz w:val="17"/>
          <w:szCs w:val="17"/>
          <w:b w:val="1"/>
          <w:bCs w:val="1"/>
          <w:color w:val="auto"/>
        </w:rPr>
        <w:t>Cuautitlán, Estado de México,</w:t>
      </w:r>
    </w:p>
    <w:p>
      <w:pPr>
        <w:spacing w:after="0"/>
        <w:rPr>
          <w:sz w:val="20"/>
          <w:szCs w:val="20"/>
          <w:color w:val="auto"/>
        </w:rPr>
      </w:pPr>
      <w:r>
        <w:rPr>
          <w:rFonts w:ascii="Times New Roman" w:cs="Times New Roman" w:eastAsia="Times New Roman" w:hAnsi="Times New Roman"/>
          <w:sz w:val="17"/>
          <w:szCs w:val="17"/>
          <w:b w:val="1"/>
          <w:bCs w:val="1"/>
          <w:color w:val="auto"/>
        </w:rPr>
        <w:t>C.P. 54879</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on Form S-8 (Nos. 333-265931, 333-105382, 333-146017, 333-162734, 333-186208, 333-208961, 333-221613, 333-226666, 333-239539) of Lifetime Brands, Inc. of our report dated March 9, 2023 relating to the consolidated financial statements (not presented separately herein) of Grupo Vasconia, S.A.B. and subsidiaries (the “Company”) included in the December 31, 2022 annual report on Form 10-K of Lifetime Brands, Inc.</w:t>
      </w:r>
    </w:p>
    <w:p>
      <w:pPr>
        <w:spacing w:after="0" w:line="191"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7"/>
          <w:szCs w:val="17"/>
          <w:color w:val="auto"/>
        </w:rPr>
        <w:t>Our report dated March 9, 2023 contains an explanatory paragraph that states that International Financial Reporting Standards as issued by the IASB vary in certain significant respects from generally accepted accounting principles in the United States of America. Information relating to the nature and effect of such differences is presented in note 22 to the consolidated financial statements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Castillo Miranda y Compañía, S.C. (BDO México)</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C.P.C. Jose Luis Villalobos Zuazua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32912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329120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C.P.C. Jose Luis Villalobos Zuazua</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Partner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Mexico City, Mexico</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9, 2023</w:t>
      </w:r>
    </w:p>
    <w:p>
      <w:pPr>
        <w:sectPr>
          <w:pgSz w:w="11900" w:h="16838" w:orient="portrait"/>
          <w:cols w:equalWidth="0" w:num="1">
            <w:col w:w="11240"/>
          </w:cols>
          <w:pgMar w:left="320" w:top="1440"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B. Kay, certify that:</w:t>
      </w:r>
    </w:p>
    <w:p>
      <w:pPr>
        <w:spacing w:after="0" w:line="114" w:lineRule="exact"/>
        <w:rPr>
          <w:sz w:val="20"/>
          <w:szCs w:val="20"/>
          <w:color w:val="auto"/>
        </w:rPr>
      </w:pPr>
    </w:p>
    <w:p>
      <w:pPr>
        <w:ind w:left="560" w:hanging="170"/>
        <w:spacing w:after="0"/>
        <w:tabs>
          <w:tab w:leader="none" w:pos="5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Lifetime Brands, Inc. (“the registrant”);</w:t>
      </w:r>
    </w:p>
    <w:p>
      <w:pPr>
        <w:spacing w:after="0" w:line="113" w:lineRule="exact"/>
        <w:rPr>
          <w:rFonts w:ascii="Times New Roman" w:cs="Times New Roman" w:eastAsia="Times New Roman" w:hAnsi="Times New Roman"/>
          <w:sz w:val="17"/>
          <w:szCs w:val="17"/>
          <w:color w:val="auto"/>
        </w:rPr>
      </w:pPr>
    </w:p>
    <w:p>
      <w:pPr>
        <w:ind w:left="380" w:right="80" w:firstLine="10"/>
        <w:spacing w:after="0" w:line="270" w:lineRule="auto"/>
        <w:tabs>
          <w:tab w:leader="none" w:pos="55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2" w:lineRule="exact"/>
        <w:rPr>
          <w:rFonts w:ascii="Times New Roman" w:cs="Times New Roman" w:eastAsia="Times New Roman" w:hAnsi="Times New Roman"/>
          <w:sz w:val="17"/>
          <w:szCs w:val="17"/>
          <w:color w:val="auto"/>
        </w:rPr>
      </w:pPr>
    </w:p>
    <w:p>
      <w:pPr>
        <w:ind w:left="380" w:right="40" w:firstLine="10"/>
        <w:spacing w:after="0" w:line="287" w:lineRule="auto"/>
        <w:tabs>
          <w:tab w:leader="none" w:pos="55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8" w:lineRule="exact"/>
        <w:rPr>
          <w:rFonts w:ascii="Times New Roman" w:cs="Times New Roman" w:eastAsia="Times New Roman" w:hAnsi="Times New Roman"/>
          <w:sz w:val="17"/>
          <w:szCs w:val="17"/>
          <w:color w:val="auto"/>
        </w:rPr>
      </w:pPr>
    </w:p>
    <w:p>
      <w:pPr>
        <w:ind w:left="380" w:right="80" w:firstLine="10"/>
        <w:spacing w:after="0" w:line="270" w:lineRule="auto"/>
        <w:tabs>
          <w:tab w:leader="none" w:pos="55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780" w:right="100" w:hanging="3"/>
        <w:spacing w:after="0" w:line="270" w:lineRule="auto"/>
        <w:tabs>
          <w:tab w:leader="none" w:pos="942"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2" w:lineRule="exact"/>
        <w:rPr>
          <w:rFonts w:ascii="Times New Roman" w:cs="Times New Roman" w:eastAsia="Times New Roman" w:hAnsi="Times New Roman"/>
          <w:sz w:val="17"/>
          <w:szCs w:val="17"/>
          <w:color w:val="auto"/>
        </w:rPr>
      </w:pPr>
    </w:p>
    <w:p>
      <w:pPr>
        <w:ind w:left="780" w:right="80" w:hanging="3"/>
        <w:spacing w:after="0" w:line="270" w:lineRule="auto"/>
        <w:tabs>
          <w:tab w:leader="none" w:pos="952"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780" w:right="140" w:hanging="3"/>
        <w:spacing w:after="0" w:line="287" w:lineRule="auto"/>
        <w:tabs>
          <w:tab w:leader="none" w:pos="942"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780" w:hanging="3"/>
        <w:spacing w:after="0" w:line="287" w:lineRule="auto"/>
        <w:tabs>
          <w:tab w:leader="none" w:pos="952"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left="380" w:right="500" w:firstLine="10"/>
        <w:spacing w:after="0" w:line="287" w:lineRule="auto"/>
        <w:tabs>
          <w:tab w:leader="none" w:pos="55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780" w:right="80" w:hanging="3"/>
        <w:spacing w:after="0" w:line="287" w:lineRule="auto"/>
        <w:tabs>
          <w:tab w:leader="none" w:pos="942"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780" w:right="100" w:hanging="3"/>
        <w:spacing w:after="0" w:line="287" w:lineRule="auto"/>
        <w:tabs>
          <w:tab w:leader="none" w:pos="952"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Date: March 9, 2023</w:t>
      </w:r>
    </w:p>
    <w:p>
      <w:pPr>
        <w:spacing w:after="0" w:line="2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17145</wp:posOffset>
            </wp:positionV>
            <wp:extent cx="25869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Robert B. Kay</w:t>
      </w:r>
    </w:p>
    <w:p>
      <w:pPr>
        <w:ind w:left="780"/>
        <w:spacing w:after="0" w:line="197" w:lineRule="auto"/>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color w:val="auto"/>
        </w:rPr>
        <w:t>Chief Executive Officer and Director</w:t>
      </w:r>
    </w:p>
    <w:p>
      <w:pPr>
        <w:sectPr>
          <w:pgSz w:w="11900" w:h="16838" w:orient="portrait"/>
          <w:cols w:equalWidth="0" w:num="1">
            <w:col w:w="11240"/>
          </w:cols>
          <w:pgMar w:left="320" w:top="85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Laurence Winoker, certify that:</w:t>
      </w:r>
    </w:p>
    <w:p>
      <w:pPr>
        <w:spacing w:after="0" w:line="114" w:lineRule="exact"/>
        <w:rPr>
          <w:sz w:val="20"/>
          <w:szCs w:val="20"/>
          <w:color w:val="auto"/>
        </w:rPr>
      </w:pPr>
    </w:p>
    <w:p>
      <w:pPr>
        <w:ind w:left="560" w:hanging="170"/>
        <w:spacing w:after="0"/>
        <w:tabs>
          <w:tab w:leader="none" w:pos="5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Lifetime Brands, Inc. (“the registrant”);</w:t>
      </w:r>
    </w:p>
    <w:p>
      <w:pPr>
        <w:spacing w:after="0" w:line="113" w:lineRule="exact"/>
        <w:rPr>
          <w:rFonts w:ascii="Times New Roman" w:cs="Times New Roman" w:eastAsia="Times New Roman" w:hAnsi="Times New Roman"/>
          <w:sz w:val="17"/>
          <w:szCs w:val="17"/>
          <w:color w:val="auto"/>
        </w:rPr>
      </w:pPr>
    </w:p>
    <w:p>
      <w:pPr>
        <w:ind w:left="380" w:right="80" w:firstLine="10"/>
        <w:spacing w:after="0" w:line="270" w:lineRule="auto"/>
        <w:tabs>
          <w:tab w:leader="none" w:pos="55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2" w:lineRule="exact"/>
        <w:rPr>
          <w:rFonts w:ascii="Times New Roman" w:cs="Times New Roman" w:eastAsia="Times New Roman" w:hAnsi="Times New Roman"/>
          <w:sz w:val="17"/>
          <w:szCs w:val="17"/>
          <w:color w:val="auto"/>
        </w:rPr>
      </w:pPr>
    </w:p>
    <w:p>
      <w:pPr>
        <w:ind w:left="380" w:right="40" w:firstLine="10"/>
        <w:spacing w:after="0" w:line="287" w:lineRule="auto"/>
        <w:tabs>
          <w:tab w:leader="none" w:pos="55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8" w:lineRule="exact"/>
        <w:rPr>
          <w:rFonts w:ascii="Times New Roman" w:cs="Times New Roman" w:eastAsia="Times New Roman" w:hAnsi="Times New Roman"/>
          <w:sz w:val="17"/>
          <w:szCs w:val="17"/>
          <w:color w:val="auto"/>
        </w:rPr>
      </w:pPr>
    </w:p>
    <w:p>
      <w:pPr>
        <w:ind w:left="380" w:right="80" w:firstLine="10"/>
        <w:spacing w:after="0" w:line="270" w:lineRule="auto"/>
        <w:tabs>
          <w:tab w:leader="none" w:pos="55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780" w:right="100" w:hanging="3"/>
        <w:spacing w:after="0" w:line="270" w:lineRule="auto"/>
        <w:tabs>
          <w:tab w:leader="none" w:pos="942"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2" w:lineRule="exact"/>
        <w:rPr>
          <w:rFonts w:ascii="Times New Roman" w:cs="Times New Roman" w:eastAsia="Times New Roman" w:hAnsi="Times New Roman"/>
          <w:sz w:val="17"/>
          <w:szCs w:val="17"/>
          <w:color w:val="auto"/>
        </w:rPr>
      </w:pPr>
    </w:p>
    <w:p>
      <w:pPr>
        <w:ind w:left="780" w:right="80" w:hanging="3"/>
        <w:spacing w:after="0" w:line="270" w:lineRule="auto"/>
        <w:tabs>
          <w:tab w:leader="none" w:pos="952"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780" w:right="140" w:hanging="3"/>
        <w:spacing w:after="0" w:line="287" w:lineRule="auto"/>
        <w:tabs>
          <w:tab w:leader="none" w:pos="942"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780" w:hanging="3"/>
        <w:spacing w:after="0" w:line="287" w:lineRule="auto"/>
        <w:tabs>
          <w:tab w:leader="none" w:pos="952"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left="380" w:right="500" w:firstLine="10"/>
        <w:spacing w:after="0" w:line="287" w:lineRule="auto"/>
        <w:tabs>
          <w:tab w:leader="none" w:pos="55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780" w:right="80" w:hanging="3"/>
        <w:spacing w:after="0" w:line="287" w:lineRule="auto"/>
        <w:tabs>
          <w:tab w:leader="none" w:pos="942"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2120" w:right="100" w:hanging="1343"/>
        <w:spacing w:after="0" w:line="334" w:lineRule="auto"/>
        <w:tabs>
          <w:tab w:leader="none" w:pos="958"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Date: March 9, 2023</w:t>
      </w:r>
    </w:p>
    <w:p>
      <w:pPr>
        <w:spacing w:after="0" w:line="17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17145</wp:posOffset>
            </wp:positionV>
            <wp:extent cx="46501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4650105" cy="8255"/>
                    </a:xfrm>
                    <a:prstGeom prst="rect">
                      <a:avLst/>
                    </a:prstGeom>
                    <a:noFill/>
                  </pic:spPr>
                </pic:pic>
              </a:graphicData>
            </a:graphic>
          </wp:anchor>
        </w:drawing>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color w:val="auto"/>
        </w:rPr>
        <w:t>Laurence Winoker</w:t>
      </w:r>
    </w:p>
    <w:p>
      <w:pPr>
        <w:ind w:left="780"/>
        <w:spacing w:after="0" w:line="197" w:lineRule="auto"/>
        <w:rPr>
          <w:sz w:val="20"/>
          <w:szCs w:val="20"/>
          <w:color w:val="auto"/>
        </w:rPr>
      </w:pPr>
      <w:r>
        <w:rPr>
          <w:rFonts w:ascii="Times New Roman" w:cs="Times New Roman" w:eastAsia="Times New Roman" w:hAnsi="Times New Roman"/>
          <w:sz w:val="34"/>
          <w:szCs w:val="34"/>
          <w:color w:val="auto"/>
          <w:vertAlign w:val="subscript"/>
        </w:rPr>
        <w:t>financial reporting.</w:t>
      </w:r>
      <w:r>
        <w:rPr>
          <w:rFonts w:ascii="Times New Roman" w:cs="Times New Roman" w:eastAsia="Times New Roman" w:hAnsi="Times New Roman"/>
          <w:sz w:val="17"/>
          <w:szCs w:val="17"/>
          <w:color w:val="auto"/>
        </w:rPr>
        <w:t>Executive Vice President - Treasurer and Chief Financial Officer</w:t>
      </w:r>
    </w:p>
    <w:p>
      <w:pPr>
        <w:sectPr>
          <w:pgSz w:w="11900" w:h="16838" w:orient="portrait"/>
          <w:cols w:equalWidth="0" w:num="1">
            <w:col w:w="11240"/>
          </w:cols>
          <w:pgMar w:left="320" w:top="854"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27"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5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I, Robert B. Kay, Chief Executive Officer, and I, Laurence Winoker, Senior Vice President - Finance, Treasurer and Chief Financial Officer, of Lifetime Brands, Inc., a Delaware corporation (the “Company”), each hereby certifies that:</w:t>
      </w:r>
    </w:p>
    <w:p>
      <w:pPr>
        <w:spacing w:after="0" w:line="48" w:lineRule="exact"/>
        <w:rPr>
          <w:sz w:val="20"/>
          <w:szCs w:val="20"/>
          <w:color w:val="auto"/>
        </w:rPr>
      </w:pPr>
    </w:p>
    <w:p>
      <w:pPr>
        <w:ind w:left="620" w:right="680" w:hanging="307"/>
        <w:spacing w:after="0" w:line="287" w:lineRule="auto"/>
        <w:tabs>
          <w:tab w:leader="none" w:pos="61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year ended December 31, 2022 (the “Form 10-K”) fully complies with the requirements of Section 13(a) or 15(d) of the Securities Exchange Act of 1934, as amended; and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10-K fairly presents, in all material respects, the financial condition and results of operations of the Company.</w:t>
      </w:r>
    </w:p>
    <w:p>
      <w:pPr>
        <w:spacing w:after="0" w:line="49"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Robert B. Kay</w:t>
            </w: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Laurence Winoker</w:t>
            </w:r>
          </w:p>
        </w:tc>
      </w:tr>
      <w:tr>
        <w:trPr>
          <w:trHeight w:val="160"/>
        </w:trPr>
        <w:tc>
          <w:tcPr>
            <w:tcW w:w="5240" w:type="dxa"/>
            <w:vAlign w:val="bottom"/>
            <w:tcBorders>
              <w:top w:val="single" w:sz="8" w:color="auto"/>
            </w:tcBorders>
          </w:tcPr>
          <w:p>
            <w:pPr>
              <w:ind w:left="20"/>
              <w:spacing w:after="0" w:line="161" w:lineRule="exact"/>
              <w:rPr>
                <w:sz w:val="20"/>
                <w:szCs w:val="20"/>
                <w:color w:val="auto"/>
              </w:rPr>
            </w:pPr>
            <w:r>
              <w:rPr>
                <w:rFonts w:ascii="Times New Roman" w:cs="Times New Roman" w:eastAsia="Times New Roman" w:hAnsi="Times New Roman"/>
                <w:sz w:val="17"/>
                <w:szCs w:val="17"/>
                <w:color w:val="auto"/>
              </w:rPr>
              <w:t>Robert B. Kay</w:t>
            </w:r>
          </w:p>
        </w:tc>
        <w:tc>
          <w:tcPr>
            <w:tcW w:w="120" w:type="dxa"/>
            <w:vAlign w:val="bottom"/>
          </w:tcPr>
          <w:p>
            <w:pPr>
              <w:spacing w:after="0"/>
              <w:rPr>
                <w:sz w:val="13"/>
                <w:szCs w:val="13"/>
                <w:color w:val="auto"/>
              </w:rPr>
            </w:pPr>
          </w:p>
        </w:tc>
        <w:tc>
          <w:tcPr>
            <w:tcW w:w="5240" w:type="dxa"/>
            <w:vAlign w:val="bottom"/>
            <w:tcBorders>
              <w:top w:val="single" w:sz="8" w:color="auto"/>
            </w:tcBorders>
          </w:tcPr>
          <w:p>
            <w:pPr>
              <w:ind w:left="20"/>
              <w:spacing w:after="0" w:line="161" w:lineRule="exact"/>
              <w:rPr>
                <w:sz w:val="20"/>
                <w:szCs w:val="20"/>
                <w:color w:val="auto"/>
              </w:rPr>
            </w:pPr>
            <w:r>
              <w:rPr>
                <w:rFonts w:ascii="Times New Roman" w:cs="Times New Roman" w:eastAsia="Times New Roman" w:hAnsi="Times New Roman"/>
                <w:sz w:val="17"/>
                <w:szCs w:val="17"/>
                <w:color w:val="auto"/>
              </w:rPr>
              <w:t>Laurence Winoker</w:t>
            </w:r>
          </w:p>
        </w:tc>
      </w:tr>
      <w:tr>
        <w:trPr>
          <w:trHeight w:val="177"/>
        </w:trPr>
        <w:tc>
          <w:tcPr>
            <w:tcW w:w="53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7"/>
                <w:szCs w:val="17"/>
                <w:color w:val="auto"/>
              </w:rPr>
              <w:t>Chief Executive Officer and Director</w:t>
            </w:r>
          </w:p>
        </w:tc>
        <w:tc>
          <w:tcPr>
            <w:tcW w:w="52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Executive Vice President- Treasurer</w:t>
            </w:r>
          </w:p>
        </w:tc>
      </w:tr>
      <w:tr>
        <w:trPr>
          <w:trHeight w:val="223"/>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 Chief Financial Officer</w:t>
            </w:r>
          </w:p>
        </w:tc>
      </w:tr>
      <w:tr>
        <w:trPr>
          <w:trHeight w:val="477"/>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Date: March 9, 2023</w:t>
            </w: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March 9, 2023</w:t>
            </w: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signed original of this certification required by 18 U.S.C. Section 1350 has been provided to Lifetime Brands, Inc. and will be retained by Lifetime Brands,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furnished to the SEC or its staff upon request.</w:t>
      </w:r>
    </w:p>
    <w:p>
      <w:pPr>
        <w:spacing w:after="0" w:line="20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This certification is being furnished solely pursuant to 18 U.S.C. 1350, shall not be deemed “filed” with the Securities and Exchange Commission for purposes of Section 18 of the Securities Exchange Act of 1934 or otherwise subject to liability under that section, and shall not be deemed incorporated by reference into any filing of the Company under the Securities Act of 1933, as amended, or the Securities Exchange Act of 1934, as amended, irrespective of any general incorporation by reference language contained in such filing.</w:t>
      </w:r>
    </w:p>
    <w:p>
      <w:pPr>
        <w:sectPr>
          <w:pgSz w:w="11900" w:h="16838" w:orient="portrait"/>
          <w:cols w:equalWidth="0" w:num="1">
            <w:col w:w="11240"/>
          </w:cols>
          <w:pgMar w:left="320" w:top="1086"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and Board of Directors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Grupo Vasconia, S.A.B.</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financial position of Grupo Vasconia S.A.B. and Subsidiaries (the “Company”) as of December 31, 2022 and 2021, and the related consolidated statements of comprehensive income, changes in equity, and cash flows for each of the three years in the period ended December 31, 2022, and the related notes (collectively referred to as the “consolidated financial statements”) (not presented herein). In our opinion, the consolidated financial statements present fairly, in all material respects, the financial position of the Company as of December 31, 2022 and 2021, and the consolidated results of its operations and its cash flows for each of the three years in the period ended December 31, 2022, in conformity with International Financial Reporting Standards as issued by the International Accounting Standards Board (“IASB”).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Differences from U.S. generally accepted accounting principles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International Financial Reporting Standards as issued by the IASB vary in certain significant respects from U.S. generally accepted accounting principles.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relating to the nature and effect of such differences is presented in Note 23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and in accordance with International Standards on Auditing.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ectPr>
          <w:pgSz w:w="11900" w:h="16838" w:orient="portrait"/>
          <w:cols w:equalWidth="0" w:num="1">
            <w:col w:w="11240"/>
          </w:cols>
          <w:pgMar w:left="320" w:top="135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Critical audit matters are matters arising from the current period audit of the consolidated financial statements that were communicated or required to be communicated to the audit committee and that: relate to accounts or disclosures that are material to the consolidated financial statements and involved our especially challenging, subjective, or complex judgments. We determined that there are no critical 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CASTILLO MIRANDA Y COMPAÑÍA, S.C.</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 Jose Luis Villalobos Zuazua</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Jose Luis Villalobos Zuazua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Mexico City, Mexico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9, 2023</w:t>
      </w:r>
    </w:p>
    <w:sectPr>
      <w:pgSz w:w="11900" w:h="16838" w:orient="portrait"/>
      <w:cols w:equalWidth="0" w:num="1">
        <w:col w:w="11240"/>
      </w:cols>
      <w:pgMar w:left="320" w:top="13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lowerRoman"/>
      <w:start w:val="2"/>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5"/>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decimal"/>
      <w:start w:val="104"/>
    </w:lvl>
    <w:lvl w:ilvl="1">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2"/>
    </w:lvl>
  </w:abstractNum>
  <w:abstractNum w:abstractNumId="40">
    <w:nsid w:val="579478FE"/>
    <w:multiLevelType w:val="hybridMultilevel"/>
    <w:lvl w:ilvl="0">
      <w:lvlJc w:val="left"/>
      <w:lvlText w:val="(%1)"/>
      <w:numFmt w:val="lowerLetter"/>
      <w:start w:val="1"/>
    </w:lvl>
    <w:lvl w:ilvl="1">
      <w:lvlJc w:val="left"/>
      <w:lvlText w:val="(%2)"/>
      <w:numFmt w:val="lowerLetter"/>
      <w:start w:val="10"/>
    </w:lvl>
    <w:lvl w:ilvl="2">
      <w:lvlJc w:val="left"/>
      <w:lvlText w:val="(%3)"/>
      <w:numFmt w:val="lowerRoman"/>
      <w:start w:val="1"/>
    </w:lvl>
    <w:lvl w:ilvl="3">
      <w:lvlJc w:val="left"/>
      <w:lvlText w:val="(%4)"/>
      <w:numFmt w:val="lowerRoman"/>
      <w:start w:val="1"/>
    </w:lvl>
  </w:abstractNum>
  <w:abstractNum w:abstractNumId="41">
    <w:nsid w:val="749ABB4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42">
    <w:nsid w:val="3DC240F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43">
    <w:nsid w:val="1BA026FA"/>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lvl w:ilvl="3">
      <w:lvlJc w:val="left"/>
      <w:lvlText w:val="%4"/>
      <w:numFmt w:val="lowerRoman"/>
      <w:start w:val="1"/>
    </w:lvl>
  </w:abstractNum>
  <w:abstractNum w:abstractNumId="44">
    <w:nsid w:val="79A1DEAA"/>
    <w:multiLevelType w:val="hybridMultilevel"/>
    <w:lvl w:ilvl="0">
      <w:lvlJc w:val="left"/>
      <w:lvlText w:val="(%1)"/>
      <w:numFmt w:val="lowerLetter"/>
      <w:start w:val="11"/>
    </w:lvl>
    <w:lvl w:ilvl="1">
      <w:lvlJc w:val="left"/>
      <w:lvlText w:val="(%2)"/>
      <w:numFmt w:val="lowerLetter"/>
      <w:start w:val="9"/>
    </w:lvl>
    <w:lvl w:ilvl="2">
      <w:lvlJc w:val="left"/>
      <w:lvlText w:val="(%3)"/>
      <w:numFmt w:val="lowerRoman"/>
      <w:start w:val="2"/>
    </w:lvl>
    <w:lvl w:ilvl="3">
      <w:lvlJc w:val="left"/>
      <w:lvlText w:val="%4"/>
      <w:numFmt w:val="lowerRoman"/>
      <w:start w:val="1"/>
    </w:lvl>
  </w:abstractNum>
  <w:abstractNum w:abstractNumId="45">
    <w:nsid w:val="75C6C33A"/>
    <w:multiLevelType w:val="hybridMultilevel"/>
    <w:lvl w:ilvl="0">
      <w:lvlJc w:val="left"/>
      <w:lvlText w:val="(%1)"/>
      <w:numFmt w:val="lowerLetter"/>
      <w:start w:val="2"/>
    </w:lvl>
  </w:abstractNum>
  <w:abstractNum w:abstractNumId="46">
    <w:nsid w:val="12E685FB"/>
    <w:multiLevelType w:val="hybridMultilevel"/>
    <w:lvl w:ilvl="0">
      <w:lvlJc w:val="left"/>
      <w:lvlText w:val="(%1)"/>
      <w:numFmt w:val="lowerLetter"/>
      <w:start w:val="3"/>
    </w:lvl>
  </w:abstractNum>
  <w:abstractNum w:abstractNumId="47">
    <w:nsid w:val="70C6A52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48">
    <w:nsid w:val="520EEDD1"/>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abstractNum>
  <w:abstractNum w:abstractNumId="49">
    <w:nsid w:val="374A3FE6"/>
    <w:multiLevelType w:val="hybridMultilevel"/>
    <w:lvl w:ilvl="0">
      <w:lvlJc w:val="left"/>
      <w:lvlText w:val="(%1)"/>
      <w:numFmt w:val="decimal"/>
      <w:start w:val="1"/>
    </w:lvl>
    <w:lvl w:ilvl="1">
      <w:lvlJc w:val="left"/>
      <w:lvlText w:val="(%2)"/>
      <w:numFmt w:val="decimal"/>
      <w:start w:val="2"/>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lvl w:ilvl="1">
      <w:lvlJc w:val="left"/>
      <w:lvlText w:val="(%2)"/>
      <w:numFmt w:val="decimal"/>
      <w:start w:val="2"/>
    </w:lvl>
  </w:abstractNum>
  <w:abstractNum w:abstractNumId="52">
    <w:nsid w:val="649BB77C"/>
    <w:multiLevelType w:val="hybridMultilevel"/>
    <w:lvl w:ilvl="0">
      <w:lvlJc w:val="left"/>
      <w:lvlText w:val="(%1)"/>
      <w:numFmt w:val="decimal"/>
      <w:start w:val="3"/>
    </w:lvl>
    <w:lvl w:ilvl="1">
      <w:lvlJc w:val="left"/>
      <w:lvlText w:val="%2"/>
      <w:numFmt w:val="decimal"/>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110" Type="http://schemas.openxmlformats.org/officeDocument/2006/relationships/image" Target="media/image65.png"/><Relationship Id="rId111" Type="http://schemas.openxmlformats.org/officeDocument/2006/relationships/image" Target="media/image66.png"/><Relationship Id="rId118" Type="http://schemas.openxmlformats.org/officeDocument/2006/relationships/image" Target="media/image67.png"/><Relationship Id="rId119" Type="http://schemas.openxmlformats.org/officeDocument/2006/relationships/image" Target="media/image68.png"/><Relationship Id="rId120" Type="http://schemas.openxmlformats.org/officeDocument/2006/relationships/image" Target="media/image69.png"/><Relationship Id="rId121" Type="http://schemas.openxmlformats.org/officeDocument/2006/relationships/image" Target="media/image70.png"/><Relationship Id="rId122" Type="http://schemas.openxmlformats.org/officeDocument/2006/relationships/image" Target="media/image71.png"/><Relationship Id="rId123" Type="http://schemas.openxmlformats.org/officeDocument/2006/relationships/image" Target="media/image72.png"/><Relationship Id="rId124" Type="http://schemas.openxmlformats.org/officeDocument/2006/relationships/image" Target="media/image73.png"/><Relationship Id="rId125" Type="http://schemas.openxmlformats.org/officeDocument/2006/relationships/image" Target="media/image74.png"/><Relationship Id="rId126" Type="http://schemas.openxmlformats.org/officeDocument/2006/relationships/image" Target="media/image75.png"/><Relationship Id="rId127" Type="http://schemas.openxmlformats.org/officeDocument/2006/relationships/image" Target="media/image76.png"/><Relationship Id="rId128" Type="http://schemas.openxmlformats.org/officeDocument/2006/relationships/image" Target="media/image77.png"/><Relationship Id="rId129" Type="http://schemas.openxmlformats.org/officeDocument/2006/relationships/image" Target="media/image78.png"/><Relationship Id="rId130" Type="http://schemas.openxmlformats.org/officeDocument/2006/relationships/image" Target="media/image79.png"/><Relationship Id="rId131" Type="http://schemas.openxmlformats.org/officeDocument/2006/relationships/image" Target="media/image80.png"/><Relationship Id="rId132" Type="http://schemas.openxmlformats.org/officeDocument/2006/relationships/image" Target="media/image81.png"/><Relationship Id="rId133"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jpe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68" Type="http://schemas.openxmlformats.org/officeDocument/2006/relationships/hyperlink" Target="http://www.sec.gov/Archives/edgar/data/874396/000119312517383700/d467423dex21.htm" TargetMode="External"/><Relationship Id="rId69" Type="http://schemas.openxmlformats.org/officeDocument/2006/relationships/hyperlink" Target="https://www.sec.gov/Archives/edgar/data/874396/000091068006000214/ex3_2-f10k123105.txt" TargetMode="External"/><Relationship Id="rId70" Type="http://schemas.openxmlformats.org/officeDocument/2006/relationships/hyperlink" Target="https://www.sec.gov/Archives/edgar/data/874396/000119312516618978/d191127dex31.htm" TargetMode="External"/><Relationship Id="rId71" Type="http://schemas.openxmlformats.org/officeDocument/2006/relationships/hyperlink" Target="http://www.sec.gov/Archives/edgar/data/874396/000119312516788456/d255324dex31.htm" TargetMode="External"/><Relationship Id="rId72" Type="http://schemas.openxmlformats.org/officeDocument/2006/relationships/hyperlink" Target="https://www.sec.gov/Archives/edgar/data/874396/000162828020003560/lcutex4110k12312019.htm" TargetMode="External"/><Relationship Id="rId75" Type="http://schemas.openxmlformats.org/officeDocument/2006/relationships/hyperlink" Target="https://www.sec.gov/Archives/edgar/data/874396/000119312519186032/d37933dex101.htm" TargetMode="External"/><Relationship Id="rId76" Type="http://schemas.openxmlformats.org/officeDocument/2006/relationships/hyperlink" Target="http://www.sec.gov/Archives/edgar/data/874396/000119312519267308/d789732dex106.htm" TargetMode="External"/><Relationship Id="rId77" Type="http://schemas.openxmlformats.org/officeDocument/2006/relationships/hyperlink" Target="https://www.sec.gov/Archives/edgar/data/874396/000162828022028208/ex103transitionagreementda.htm" TargetMode="External"/><Relationship Id="rId78" Type="http://schemas.openxmlformats.org/officeDocument/2006/relationships/hyperlink" Target="https://www.sec.gov/Archives/edgar/data/874396/000162828020008225/exhibit102.htm" TargetMode="External"/><Relationship Id="rId79" Type="http://schemas.openxmlformats.org/officeDocument/2006/relationships/hyperlink" Target="https://www.sec.gov/Archives/edgar/data/874396/000091068006000404/ex99_1-f8k051006.txt" TargetMode="External"/><Relationship Id="rId80" Type="http://schemas.openxmlformats.org/officeDocument/2006/relationships/hyperlink" Target="http://www.sec.gov/Archives/edgar/data/874396/000091068006001070/ex10-1_f10q093006.htm" TargetMode="External"/><Relationship Id="rId81" Type="http://schemas.openxmlformats.org/officeDocument/2006/relationships/hyperlink" Target="http://www.sec.gov/Archives/edgar/data/874396/000119312518209648/d841646dex101.htm" TargetMode="External"/><Relationship Id="rId82" Type="http://schemas.openxmlformats.org/officeDocument/2006/relationships/hyperlink" Target="https://www.sec.gov/Archives/edgar/data/874396/000119312515283316/d82287dex101.htm" TargetMode="External"/><Relationship Id="rId83" Type="http://schemas.openxmlformats.org/officeDocument/2006/relationships/hyperlink" Target="https://www.sec.gov/Archives/edgar/data/874396/000119312515283316/d82287dex102.htm" TargetMode="External"/><Relationship Id="rId84" Type="http://schemas.openxmlformats.org/officeDocument/2006/relationships/hyperlink" Target="http://www.sec.gov/Archives/edgar/data/874396/000119312517211662/d403365dex101.htm" TargetMode="External"/><Relationship Id="rId85" Type="http://schemas.openxmlformats.org/officeDocument/2006/relationships/hyperlink" Target="https://www.sec.gov/Archives/edgar/data/874396/000119312520126185/d836663ddef14a.htm" TargetMode="External"/><Relationship Id="rId86" Type="http://schemas.openxmlformats.org/officeDocument/2006/relationships/hyperlink" Target="https://www.sec.gov/Archives/edgar/data/874396/000119312522127863/d350827ddef14a.htm#toc350827_14" TargetMode="External"/><Relationship Id="rId87" Type="http://schemas.openxmlformats.org/officeDocument/2006/relationships/hyperlink" Target="http://www.sec.gov/Archives/edgar/data/874396/000119312515321240/d95014dex101.htm" TargetMode="External"/><Relationship Id="rId88" Type="http://schemas.openxmlformats.org/officeDocument/2006/relationships/hyperlink" Target="http://www.sec.gov/Archives/edgar/data/874396/000119312517338917/d473962dex103.htm" TargetMode="External"/><Relationship Id="rId89" Type="http://schemas.openxmlformats.org/officeDocument/2006/relationships/hyperlink" Target="https://www.sec.gov/Archives/edgar/data/874396/000162828020008225/exhibit104.htm" TargetMode="External"/><Relationship Id="rId90" Type="http://schemas.openxmlformats.org/officeDocument/2006/relationships/hyperlink" Target="https://www.sec.gov/Archives/edgar/data/874396/000162828022021087/ex101thirdamendmenttoamend.htm" TargetMode="External"/><Relationship Id="rId91" Type="http://schemas.openxmlformats.org/officeDocument/2006/relationships/hyperlink" Target="https://www.sec.gov/Archives/edgar/data/874396/000091068007000540/ex99-1_f8k061107.htm" TargetMode="External"/><Relationship Id="rId94" Type="http://schemas.openxmlformats.org/officeDocument/2006/relationships/hyperlink" Target="https://www.sec.gov/Archives/edgar/data/874396/000091068009000143/ex10_17-f10k12312008.htm" TargetMode="External"/><Relationship Id="rId95" Type="http://schemas.openxmlformats.org/officeDocument/2006/relationships/hyperlink" Target="http://www.sec.gov/Archives/edgar/data/874396/000091068009000143/ex10_20-f10k12312008.htm" TargetMode="External"/><Relationship Id="rId96" Type="http://schemas.openxmlformats.org/officeDocument/2006/relationships/hyperlink" Target="http://www.sec.gov/Archives/edgar/data/874396/000119312517338917/d473962dex104.htm" TargetMode="External"/><Relationship Id="rId97" Type="http://schemas.openxmlformats.org/officeDocument/2006/relationships/hyperlink" Target="http://www.sec.gov/Archives/edgar/data/874396/000119312519267308/d789732dex105.htm" TargetMode="External"/><Relationship Id="rId98" Type="http://schemas.openxmlformats.org/officeDocument/2006/relationships/hyperlink" Target="https://www.sec.gov/Archives/edgar/data/874396/000162828021001505/ex102.htm" TargetMode="External"/><Relationship Id="rId99" Type="http://schemas.openxmlformats.org/officeDocument/2006/relationships/hyperlink" Target="http://www.sec.gov/Archives/edgar/data/874396/000119312516440068/d21586dex101.htm" TargetMode="External"/><Relationship Id="rId100" Type="http://schemas.openxmlformats.org/officeDocument/2006/relationships/hyperlink" Target="http://www.sec.gov/Archives/edgar/data/874396/000119312516730047/d228608dex101.htm" TargetMode="External"/><Relationship Id="rId101" Type="http://schemas.openxmlformats.org/officeDocument/2006/relationships/hyperlink" Target="http://www.sec.gov/Archives/edgar/data/874396/000119312517164340/d381143dex101.htm" TargetMode="External"/><Relationship Id="rId102" Type="http://schemas.openxmlformats.org/officeDocument/2006/relationships/hyperlink" Target="http://www.sec.gov/Archives/edgar/data/874396/000119312517383700/d467423dex101.htm" TargetMode="External"/><Relationship Id="rId103" Type="http://schemas.openxmlformats.org/officeDocument/2006/relationships/hyperlink" Target="http://www.sec.gov/Archives/edgar/data/874396/000119312517383700/d467423dex102.htm" TargetMode="External"/><Relationship Id="rId104" Type="http://schemas.openxmlformats.org/officeDocument/2006/relationships/hyperlink" Target="http://www.sec.gov/Archives/edgar/data/874396/000119312519267308/d789732dex102.htm" TargetMode="External"/><Relationship Id="rId105" Type="http://schemas.openxmlformats.org/officeDocument/2006/relationships/hyperlink" Target="https://www.sec.gov/Archives/edgar/data/874396/000162828020008225/exhibit101.htm" TargetMode="External"/><Relationship Id="rId106" Type="http://schemas.openxmlformats.org/officeDocument/2006/relationships/hyperlink" Target="https://www.sec.gov/Archives/edgar/data/874396/000162828021001505/ex101.htm" TargetMode="External"/><Relationship Id="rId107" Type="http://schemas.openxmlformats.org/officeDocument/2006/relationships/hyperlink" Target="http://www.sec.gov/Archives/edgar/data/874396/000119312518072132/d543564dex1001.htm" TargetMode="External"/><Relationship Id="rId108" Type="http://schemas.openxmlformats.org/officeDocument/2006/relationships/hyperlink" Target="http://www.sec.gov/Archives/edgar/data/874396/000119312519267308/d789732dex101.htm" TargetMode="External"/><Relationship Id="rId109" Type="http://schemas.openxmlformats.org/officeDocument/2006/relationships/hyperlink" Target="http://www.sec.gov/Archives/edgar/data/874396/000119312518327948/d619485dex1001.htm" TargetMode="External"/><Relationship Id="rId112" Type="http://schemas.openxmlformats.org/officeDocument/2006/relationships/hyperlink" Target="https://www.sec.gov/Archives/edgar/data/874396/000119312518072132/d543564dex1002.htm" TargetMode="External"/><Relationship Id="rId113" Type="http://schemas.openxmlformats.org/officeDocument/2006/relationships/hyperlink" Target="https://www.sec.gov/Archives/edgar/data/874396/000162828021025662/ex-1001.htm" TargetMode="External"/><Relationship Id="rId114" Type="http://schemas.openxmlformats.org/officeDocument/2006/relationships/hyperlink" Target="https://www.sec.gov/Archives/edgar/data/874396/000162828022023821/ex-1001.htm" TargetMode="External"/><Relationship Id="rId115" Type="http://schemas.openxmlformats.org/officeDocument/2006/relationships/hyperlink" Target="https://www.sec.gov/Archives/edgar/data/874396/000119312518072132/d543564dex1003.htm" TargetMode="External"/><Relationship Id="rId116" Type="http://schemas.openxmlformats.org/officeDocument/2006/relationships/hyperlink" Target="https://www.sec.gov/Archives/edgar/data/874396/000162828023000094/ex-1001amendmentno1toterml.htm" TargetMode="External"/><Relationship Id="rId117" Type="http://schemas.openxmlformats.org/officeDocument/2006/relationships/hyperlink" Target="https://www.sec.gov/Archives/edgar/data/874396/000162828021004467/lcutex104310k1231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2023-03-09T17:43:24Z</dcterms:created>
  <dcterms:modified xsi:type="dcterms:W3CDTF">2023-03-09T17:43:24Z</dcterms:modified>
</cp:coreProperties>
</file>