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b70aa84ce2e49568c6846294d5e844b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20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0-19254</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200" w:after="283"/>
        <w:jc w:val="center"/>
        <w:rPr>
          <w:rFonts w:ascii="Times New Roman;sans-serif" w:hAnsi="Times New Roman;sans-serif"/>
          <w:b/>
          <w:color w:val="000000"/>
          <w:sz w:val="48"/>
        </w:rPr>
      </w:pPr>
      <w:r>
        <w:rPr>
          <w:rFonts w:ascii="Times New Roman;sans-serif" w:hAnsi="Times New Roman;sans-serif"/>
          <w:b/>
          <w:color w:val="000000"/>
          <w:sz w:val="48"/>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tbl>
      <w:tblPr>
        <w:tblW w:w="3854" w:type="dxa"/>
        <w:jc w:val="center"/>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11-2682486</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1000 Stewart Avenue, Garden City, New York 11530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(516) 683-6000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7192" w:type="dxa"/>
        <w:jc w:val="center"/>
        <w:tblInd w:w="0" w:type="dxa"/>
        <w:tblLayout w:type="fixed"/>
        <w:tblCellMar>
          <w:top w:w="28" w:type="dxa"/>
          <w:left w:w="28" w:type="dxa"/>
          <w:bottom w:w="28" w:type="dxa"/>
          <w:right w:w="28" w:type="dxa"/>
        </w:tblCellMar>
      </w:tblPr>
      <w:tblGrid>
        <w:gridCol w:w="981"/>
        <w:gridCol w:w="861"/>
        <w:gridCol w:w="872"/>
        <w:gridCol w:w="109"/>
        <w:gridCol w:w="109"/>
        <w:gridCol w:w="109"/>
        <w:gridCol w:w="274"/>
        <w:gridCol w:w="274"/>
        <w:gridCol w:w="276"/>
        <w:gridCol w:w="109"/>
        <w:gridCol w:w="109"/>
        <w:gridCol w:w="109"/>
        <w:gridCol w:w="878"/>
        <w:gridCol w:w="878"/>
        <w:gridCol w:w="1244"/>
      </w:tblGrid>
      <w:tr>
        <w:trPr/>
        <w:tc>
          <w:tcPr>
            <w:tcW w:w="9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w:t>
              <w:br/>
              <w:t>on which registered</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Global Select Market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8"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shares of the registrant’s common stock outstanding as of April 30, 2025 was 22,414,005.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 ENDED 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87"/>
        <w:gridCol w:w="253"/>
        <w:gridCol w:w="256"/>
        <w:gridCol w:w="2890"/>
        <w:gridCol w:w="2849"/>
        <w:gridCol w:w="2856"/>
        <w:gridCol w:w="237"/>
        <w:gridCol w:w="237"/>
        <w:gridCol w:w="340"/>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70aa84ce2e49568c6846294d5e844b_10">
              <w:r>
                <w:rPr>
                  <w:rStyle w:val="InternetLink"/>
                  <w:rFonts w:ascii="Times New Roman;sans-serif" w:hAnsi="Times New Roman;sans-serif"/>
                  <w:b/>
                  <w:color w:val="0000FF"/>
                  <w:sz w:val="20"/>
                  <w:u w:val="single"/>
                </w:rPr>
                <w:t>Financial Information</w:t>
              </w:r>
            </w:hyperlink>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70aa84ce2e49568c6846294d5e844b_13">
              <w:r>
                <w:rPr>
                  <w:rStyle w:val="InternetLink"/>
                  <w:rFonts w:ascii="Times New Roman;sans-serif" w:hAnsi="Times New Roman;sans-serif"/>
                  <w:b w:val="false"/>
                  <w:color w:val="0000FF"/>
                  <w:sz w:val="20"/>
                  <w:u w:val="single"/>
                </w:rPr>
                <w:t>Financial Statements</w:t>
              </w:r>
            </w:hyperlink>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70aa84ce2e49568c6846294d5e844b_16">
              <w:r>
                <w:rPr>
                  <w:rStyle w:val="InternetLink"/>
                  <w:rFonts w:ascii="Times New Roman;sans-serif" w:hAnsi="Times New Roman;sans-serif"/>
                  <w:b w:val="false"/>
                  <w:color w:val="000080"/>
                  <w:sz w:val="20"/>
                  <w:u w:val="single"/>
                </w:rPr>
                <w:t xml:space="preserve">Condensed Consolidated Balance Sheets – </w:t>
              </w:r>
            </w:hyperlink>
            <w:r>
              <w:rPr>
                <w:rFonts w:ascii="Times New Roman;sans-serif" w:hAnsi="Times New Roman;sans-serif"/>
                <w:b w:val="false"/>
                <w:color w:val="0000FF"/>
                <w:sz w:val="20"/>
                <w:u w:val="single"/>
              </w:rPr>
              <w:t>March 31, 2025</w:t>
            </w:r>
            <w:hyperlink w:anchor="iab70aa84ce2e49568c6846294d5e844b_16">
              <w:r>
                <w:rPr>
                  <w:rStyle w:val="InternetLink"/>
                  <w:rFonts w:ascii="Times New Roman;sans-serif" w:hAnsi="Times New Roman;sans-serif"/>
                  <w:b w:val="false"/>
                  <w:color w:val="000080"/>
                  <w:sz w:val="20"/>
                  <w:u w:val="single"/>
                </w:rPr>
                <w:t xml:space="preserve"> (unaudited) and </w:t>
              </w:r>
            </w:hyperlink>
            <w:r>
              <w:rPr>
                <w:rFonts w:ascii="Times New Roman;sans-serif" w:hAnsi="Times New Roman;sans-serif"/>
                <w:b w:val="false"/>
                <w:color w:val="0000FF"/>
                <w:sz w:val="20"/>
                <w:u w:val="single"/>
              </w:rPr>
              <w:t>December 31, 2024</w:t>
            </w:r>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70aa84ce2e49568c6846294d5e844b_16">
              <w:r>
                <w:rPr>
                  <w:rStyle w:val="InternetLink"/>
                  <w:rFonts w:ascii="Times New Roman;sans-serif" w:hAnsi="Times New Roman;sans-serif"/>
                  <w:b w:val="false"/>
                  <w:color w:val="0000FF"/>
                  <w:sz w:val="20"/>
                  <w:u w:val="single"/>
                </w:rPr>
                <w:t>2</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70aa84ce2e49568c6846294d5e844b_19">
              <w:r>
                <w:rPr>
                  <w:rStyle w:val="InternetLink"/>
                  <w:rFonts w:ascii="Times New Roman;sans-serif" w:hAnsi="Times New Roman;sans-serif"/>
                  <w:b w:val="false"/>
                  <w:color w:val="000080"/>
                  <w:sz w:val="20"/>
                  <w:u w:val="single"/>
                </w:rPr>
                <w:t xml:space="preserve">Condensed Consolidated Statements of Operations (unaudited) – </w:t>
              </w:r>
            </w:hyperlink>
            <w:r>
              <w:rPr>
                <w:rFonts w:ascii="Times New Roman;sans-serif" w:hAnsi="Times New Roman;sans-serif"/>
                <w:b w:val="false"/>
                <w:color w:val="0000FF"/>
                <w:sz w:val="20"/>
                <w:u w:val="single"/>
              </w:rPr>
              <w:t>Three Months Ended</w:t>
            </w:r>
            <w:hyperlink w:anchor="iab70aa84ce2e49568c6846294d5e844b_19">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000FF"/>
                <w:sz w:val="20"/>
                <w:u w:val="single"/>
              </w:rPr>
              <w:t>March 31, 2025</w:t>
            </w:r>
            <w:hyperlink w:anchor="iab70aa84ce2e49568c6846294d5e844b_19">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2024</w:t>
            </w:r>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70aa84ce2e49568c6846294d5e844b_19">
              <w:r>
                <w:rPr>
                  <w:rStyle w:val="InternetLink"/>
                  <w:rFonts w:ascii="Times New Roman;sans-serif" w:hAnsi="Times New Roman;sans-serif"/>
                  <w:b w:val="false"/>
                  <w:color w:val="0000FF"/>
                  <w:sz w:val="20"/>
                  <w:u w:val="single"/>
                </w:rPr>
                <w:t>3</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70aa84ce2e49568c6846294d5e844b_22">
              <w:r>
                <w:rPr>
                  <w:rStyle w:val="InternetLink"/>
                  <w:rFonts w:ascii="Times New Roman;sans-serif" w:hAnsi="Times New Roman;sans-serif"/>
                  <w:b w:val="false"/>
                  <w:color w:val="000080"/>
                  <w:sz w:val="20"/>
                  <w:u w:val="single"/>
                </w:rPr>
                <w:t xml:space="preserve">Condensed Consolidated Statements of Comprehensive </w:t>
              </w:r>
            </w:hyperlink>
            <w:r>
              <w:rPr>
                <w:rFonts w:ascii="Times New Roman;sans-serif" w:hAnsi="Times New Roman;sans-serif"/>
                <w:b w:val="false"/>
                <w:color w:val="0000FF"/>
                <w:sz w:val="20"/>
                <w:u w:val="single"/>
              </w:rPr>
              <w:t>Loss</w:t>
            </w:r>
            <w:hyperlink w:anchor="iab70aa84ce2e49568c6846294d5e844b_22">
              <w:r>
                <w:rPr>
                  <w:rStyle w:val="InternetLink"/>
                  <w:rFonts w:ascii="Times New Roman;sans-serif" w:hAnsi="Times New Roman;sans-serif"/>
                  <w:b w:val="false"/>
                  <w:color w:val="000080"/>
                  <w:sz w:val="20"/>
                  <w:u w:val="single"/>
                </w:rPr>
                <w:t xml:space="preserve"> (unaudited) –</w:t>
              </w:r>
            </w:hyperlink>
            <w:r>
              <w:rPr>
                <w:rFonts w:ascii="Times New Roman;sans-serif" w:hAnsi="Times New Roman;sans-serif"/>
                <w:b w:val="false"/>
                <w:color w:val="0000FF"/>
                <w:sz w:val="20"/>
                <w:u w:val="single"/>
              </w:rPr>
              <w:t xml:space="preserve"> Three Months Ended March 31, 2025 and 2024</w:t>
            </w:r>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70aa84ce2e49568c6846294d5e844b_22">
              <w:r>
                <w:rPr>
                  <w:rStyle w:val="InternetLink"/>
                  <w:rFonts w:ascii="Times New Roman;sans-serif" w:hAnsi="Times New Roman;sans-serif"/>
                  <w:b w:val="false"/>
                  <w:color w:val="0000FF"/>
                  <w:sz w:val="20"/>
                  <w:u w:val="single"/>
                </w:rPr>
                <w:t>4</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70aa84ce2e49568c6846294d5e844b_25">
              <w:r>
                <w:rPr>
                  <w:rStyle w:val="InternetLink"/>
                  <w:rFonts w:ascii="Times New Roman;sans-serif" w:hAnsi="Times New Roman;sans-serif"/>
                  <w:b w:val="false"/>
                  <w:color w:val="000080"/>
                  <w:sz w:val="20"/>
                  <w:u w:val="single"/>
                </w:rPr>
                <w:t>Condensed Consolidated Statements of Stockholders’ Equity (unaudited) –</w:t>
              </w:r>
            </w:hyperlink>
            <w:r>
              <w:rPr>
                <w:rFonts w:ascii="Times New Roman;sans-serif" w:hAnsi="Times New Roman;sans-serif"/>
                <w:b w:val="false"/>
                <w:color w:val="0000FF"/>
                <w:sz w:val="20"/>
                <w:u w:val="single"/>
              </w:rPr>
              <w:t>Three Months Ended March 31, 2025 and 2024</w:t>
            </w:r>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70aa84ce2e49568c6846294d5e844b_25">
              <w:r>
                <w:rPr>
                  <w:rStyle w:val="InternetLink"/>
                  <w:rFonts w:ascii="Times New Roman;sans-serif" w:hAnsi="Times New Roman;sans-serif"/>
                  <w:b w:val="false"/>
                  <w:color w:val="0000FF"/>
                  <w:sz w:val="20"/>
                  <w:u w:val="single"/>
                </w:rPr>
                <w:t>5</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70aa84ce2e49568c6846294d5e844b_28">
              <w:r>
                <w:rPr>
                  <w:rStyle w:val="InternetLink"/>
                  <w:rFonts w:ascii="Times New Roman;sans-serif" w:hAnsi="Times New Roman;sans-serif"/>
                  <w:b w:val="false"/>
                  <w:color w:val="000080"/>
                  <w:sz w:val="20"/>
                  <w:u w:val="single"/>
                </w:rPr>
                <w:t>Condensed Consolidated Statements of Cash Flows (unaudited) –</w:t>
              </w:r>
            </w:hyperlink>
            <w:r>
              <w:rPr>
                <w:rFonts w:ascii="Times New Roman;sans-serif" w:hAnsi="Times New Roman;sans-serif"/>
                <w:b w:val="false"/>
                <w:color w:val="0000FF"/>
                <w:sz w:val="20"/>
                <w:u w:val="single"/>
              </w:rPr>
              <w:t xml:space="preserve"> Three Months Ended March 31, 2025 and 2024</w:t>
            </w:r>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70aa84ce2e49568c6846294d5e844b_28">
              <w:r>
                <w:rPr>
                  <w:rStyle w:val="InternetLink"/>
                  <w:rFonts w:ascii="Times New Roman;sans-serif" w:hAnsi="Times New Roman;sans-serif"/>
                  <w:b w:val="false"/>
                  <w:color w:val="0000FF"/>
                  <w:sz w:val="20"/>
                  <w:u w:val="single"/>
                </w:rPr>
                <w:t>6</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70aa84ce2e49568c6846294d5e844b_31">
              <w:r>
                <w:rPr>
                  <w:rStyle w:val="InternetLink"/>
                  <w:rFonts w:ascii="Times New Roman;sans-serif" w:hAnsi="Times New Roman;sans-serif"/>
                  <w:b w:val="false"/>
                  <w:color w:val="0000FF"/>
                  <w:sz w:val="20"/>
                  <w:u w:val="single"/>
                </w:rPr>
                <w:t>Notes to Condensed Consolidated Financial Statements (unaudited)</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70aa84ce2e49568c6846294d5e844b_31">
              <w:r>
                <w:rPr>
                  <w:rStyle w:val="InternetLink"/>
                  <w:rFonts w:ascii="Times New Roman;sans-serif" w:hAnsi="Times New Roman;sans-serif"/>
                  <w:b w:val="false"/>
                  <w:color w:val="0000FF"/>
                  <w:sz w:val="20"/>
                  <w:u w:val="single"/>
                </w:rPr>
                <w:t>7</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70aa84ce2e49568c6846294d5e844b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70aa84ce2e49568c6846294d5e844b_76">
              <w:r>
                <w:rPr>
                  <w:rStyle w:val="InternetLink"/>
                  <w:rFonts w:ascii="Times New Roman;sans-serif" w:hAnsi="Times New Roman;sans-serif"/>
                  <w:b w:val="false"/>
                  <w:color w:val="0000FF"/>
                  <w:sz w:val="20"/>
                  <w:u w:val="single"/>
                </w:rPr>
                <w:t>28</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70aa84ce2e49568c6846294d5e844b_109">
              <w:r>
                <w:rPr>
                  <w:rStyle w:val="InternetLink"/>
                  <w:rFonts w:ascii="Times New Roman;sans-serif" w:hAnsi="Times New Roman;sans-serif"/>
                  <w:b w:val="false"/>
                  <w:color w:val="0000FF"/>
                  <w:sz w:val="20"/>
                  <w:u w:val="single"/>
                </w:rPr>
                <w:t>Quantitative and Qualitative Disclosures About Market Risk</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70aa84ce2e49568c6846294d5e844b_109">
              <w:r>
                <w:rPr>
                  <w:rStyle w:val="InternetLink"/>
                  <w:rFonts w:ascii="Times New Roman;sans-serif" w:hAnsi="Times New Roman;sans-serif"/>
                  <w:b w:val="false"/>
                  <w:color w:val="0000FF"/>
                  <w:sz w:val="20"/>
                  <w:u w:val="single"/>
                </w:rPr>
                <w:t>38</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70aa84ce2e49568c6846294d5e844b_112">
              <w:r>
                <w:rPr>
                  <w:rStyle w:val="InternetLink"/>
                  <w:rFonts w:ascii="Times New Roman;sans-serif" w:hAnsi="Times New Roman;sans-serif"/>
                  <w:b w:val="false"/>
                  <w:color w:val="0000FF"/>
                  <w:sz w:val="20"/>
                  <w:u w:val="single"/>
                </w:rPr>
                <w:t>Controls and Procedures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70aa84ce2e49568c6846294d5e844b_112">
              <w:r>
                <w:rPr>
                  <w:rStyle w:val="InternetLink"/>
                  <w:rFonts w:ascii="Times New Roman;sans-serif" w:hAnsi="Times New Roman;sans-serif"/>
                  <w:b w:val="false"/>
                  <w:color w:val="0000FF"/>
                  <w:sz w:val="20"/>
                  <w:u w:val="single"/>
                </w:rPr>
                <w:t>38</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70aa84ce2e49568c6846294d5e844b_115">
              <w:r>
                <w:rPr>
                  <w:rStyle w:val="InternetLink"/>
                  <w:rFonts w:ascii="Times New Roman;sans-serif" w:hAnsi="Times New Roman;sans-serif"/>
                  <w:b/>
                  <w:color w:val="0000FF"/>
                  <w:sz w:val="20"/>
                  <w:u w:val="single"/>
                </w:rPr>
                <w:t>Other Information</w:t>
              </w:r>
            </w:hyperlink>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70aa84ce2e49568c6846294d5e844b_118">
              <w:r>
                <w:rPr>
                  <w:rStyle w:val="InternetLink"/>
                  <w:rFonts w:ascii="Times New Roman;sans-serif" w:hAnsi="Times New Roman;sans-serif"/>
                  <w:b w:val="false"/>
                  <w:color w:val="0000FF"/>
                  <w:sz w:val="20"/>
                  <w:u w:val="single"/>
                </w:rPr>
                <w:t>Legal Proceedings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70aa84ce2e49568c6846294d5e844b_115">
              <w:r>
                <w:rPr>
                  <w:rStyle w:val="InternetLink"/>
                  <w:rFonts w:ascii="Times New Roman;sans-serif" w:hAnsi="Times New Roman;sans-serif"/>
                  <w:b w:val="false"/>
                  <w:color w:val="0000FF"/>
                  <w:sz w:val="20"/>
                  <w:u w:val="single"/>
                </w:rPr>
                <w:t>38</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595" w:type="dxa"/>
            <w:gridSpan w:val="3"/>
            <w:tcBorders/>
            <w:tcMar>
              <w:top w:w="0" w:type="dxa"/>
              <w:left w:w="0" w:type="dxa"/>
              <w:bottom w:w="0" w:type="dxa"/>
              <w:right w:w="0" w:type="dxa"/>
            </w:tcMar>
            <w:vAlign w:val="center"/>
          </w:tcPr>
          <w:p>
            <w:pPr>
              <w:pStyle w:val="TableContents"/>
              <w:bidi w:val="0"/>
              <w:spacing w:lineRule="auto" w:line="240" w:before="360" w:after="283"/>
              <w:jc w:val="left"/>
              <w:rPr/>
            </w:pPr>
            <w:hyperlink w:anchor="iab70aa84ce2e49568c6846294d5e844b_121">
              <w:r>
                <w:rPr>
                  <w:rStyle w:val="InternetLink"/>
                  <w:rFonts w:ascii="Times New Roman;sans-serif" w:hAnsi="Times New Roman;sans-serif"/>
                  <w:b w:val="false"/>
                  <w:color w:val="0000FF"/>
                  <w:sz w:val="20"/>
                  <w:u w:val="single"/>
                </w:rPr>
                <w:t>Risk Factors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70aa84ce2e49568c6846294d5e844b_121">
              <w:r>
                <w:rPr>
                  <w:rStyle w:val="InternetLink"/>
                  <w:rFonts w:ascii="Times New Roman;sans-serif" w:hAnsi="Times New Roman;sans-serif"/>
                  <w:b w:val="false"/>
                  <w:color w:val="0000FF"/>
                  <w:sz w:val="20"/>
                  <w:u w:val="single"/>
                </w:rPr>
                <w:t>38</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70aa84ce2e49568c6846294d5e844b_124">
              <w:r>
                <w:rPr>
                  <w:rStyle w:val="InternetLink"/>
                  <w:rFonts w:ascii="Times New Roman;sans-serif" w:hAnsi="Times New Roman;sans-serif"/>
                  <w:b w:val="false"/>
                  <w:color w:val="0000FF"/>
                  <w:sz w:val="20"/>
                  <w:u w:val="single"/>
                </w:rPr>
                <w:t>Unregistered Sales of Equity Securities and Use of Proceeds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70aa84ce2e49568c6846294d5e844b_124">
              <w:r>
                <w:rPr>
                  <w:rStyle w:val="InternetLink"/>
                  <w:rFonts w:ascii="Times New Roman;sans-serif" w:hAnsi="Times New Roman;sans-serif"/>
                  <w:b w:val="false"/>
                  <w:color w:val="0000FF"/>
                  <w:sz w:val="20"/>
                  <w:u w:val="single"/>
                </w:rPr>
                <w:t>39</w:t>
              </w:r>
            </w:hyperlink>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859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70aa84ce2e49568c6846294d5e844b_127">
              <w:r>
                <w:rPr>
                  <w:rStyle w:val="InternetLink"/>
                  <w:rFonts w:ascii="Times New Roman;sans-serif" w:hAnsi="Times New Roman;sans-serif"/>
                  <w:b w:val="false"/>
                  <w:color w:val="0000FF"/>
                  <w:sz w:val="20"/>
                  <w:u w:val="single"/>
                </w:rPr>
                <w:t>Other Information</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70aa84ce2e49568c6846294d5e844b_127">
              <w:r>
                <w:rPr>
                  <w:rStyle w:val="InternetLink"/>
                  <w:rFonts w:ascii="Times New Roman;sans-serif" w:hAnsi="Times New Roman;sans-serif"/>
                  <w:b w:val="false"/>
                  <w:color w:val="0000FF"/>
                  <w:sz w:val="20"/>
                  <w:u w:val="single"/>
                </w:rPr>
                <w:t>39</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70aa84ce2e49568c6846294d5e844b_130">
              <w:r>
                <w:rPr>
                  <w:rStyle w:val="InternetLink"/>
                  <w:rFonts w:ascii="Times New Roman;sans-serif" w:hAnsi="Times New Roman;sans-serif"/>
                  <w:b w:val="false"/>
                  <w:color w:val="0000FF"/>
                  <w:sz w:val="20"/>
                  <w:u w:val="single"/>
                </w:rPr>
                <w:t>Exhibits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70aa84ce2e49568c6846294d5e844b_130">
              <w:r>
                <w:rPr>
                  <w:rStyle w:val="InternetLink"/>
                  <w:rFonts w:ascii="Times New Roman;sans-serif" w:hAnsi="Times New Roman;sans-serif"/>
                  <w:b w:val="false"/>
                  <w:color w:val="0000FF"/>
                  <w:sz w:val="20"/>
                  <w:u w:val="single"/>
                </w:rPr>
                <w:t>40</w:t>
              </w:r>
            </w:hyperlink>
          </w:p>
        </w:tc>
      </w:tr>
      <w:tr>
        <w:trPr/>
        <w:tc>
          <w:tcPr>
            <w:tcW w:w="93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b70aa84ce2e49568c6846294d5e844b_133">
              <w:r>
                <w:rPr>
                  <w:rStyle w:val="InternetLink"/>
                  <w:rFonts w:ascii="Times New Roman;sans-serif" w:hAnsi="Times New Roman;sans-serif"/>
                  <w:b w:val="false"/>
                  <w:color w:val="0000FF"/>
                  <w:sz w:val="20"/>
                  <w:u w:val="single"/>
                </w:rPr>
                <w:t>Signatures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70aa84ce2e49568c6846294d5e844b_133">
              <w:r>
                <w:rPr>
                  <w:rStyle w:val="InternetLink"/>
                  <w:rFonts w:ascii="Times New Roman;sans-serif" w:hAnsi="Times New Roman;sans-serif"/>
                  <w:b w:val="false"/>
                  <w:color w:val="0000FF"/>
                  <w:sz w:val="20"/>
                  <w:u w:val="single"/>
                </w:rPr>
                <w:t>41</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3027"/>
        <w:gridCol w:w="2251"/>
        <w:gridCol w:w="2261"/>
        <w:gridCol w:w="211"/>
        <w:gridCol w:w="826"/>
        <w:gridCol w:w="109"/>
        <w:gridCol w:w="109"/>
        <w:gridCol w:w="109"/>
        <w:gridCol w:w="109"/>
        <w:gridCol w:w="211"/>
        <w:gridCol w:w="826"/>
        <w:gridCol w:w="156"/>
      </w:tblGrid>
      <w:tr>
        <w:trPr/>
        <w:tc>
          <w:tcPr>
            <w:tcW w:w="3027"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allowances of $13,861 at March 31, 2025 and $14,093 at December 31, 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634,310 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maturity of term loan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 LONG-TERM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$1.00 par value, shares authorized: 100 shares of Series A and 2,000,000 shares of Series B; none issued and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shares authorized: 50,000,000 at March 31, 2025 and December 31, 2024; shares issued and outstanding: 22,414,005 at March 31, 2025 and 22,155,735 at December 31, 2024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634,310 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- 2 -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- 2 -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7124" w:type="dxa"/>
        <w:jc w:val="center"/>
        <w:tblInd w:w="0" w:type="dxa"/>
        <w:tblLayout w:type="fixed"/>
        <w:tblCellMar>
          <w:top w:w="28" w:type="dxa"/>
          <w:left w:w="28" w:type="dxa"/>
          <w:bottom w:w="28" w:type="dxa"/>
          <w:right w:w="28" w:type="dxa"/>
        </w:tblCellMar>
      </w:tblPr>
      <w:tblGrid>
        <w:gridCol w:w="1421"/>
        <w:gridCol w:w="1239"/>
        <w:gridCol w:w="1255"/>
        <w:gridCol w:w="211"/>
        <w:gridCol w:w="826"/>
        <w:gridCol w:w="109"/>
        <w:gridCol w:w="109"/>
        <w:gridCol w:w="109"/>
        <w:gridCol w:w="109"/>
        <w:gridCol w:w="211"/>
        <w:gridCol w:w="826"/>
        <w:gridCol w:w="109"/>
        <w:gridCol w:w="109"/>
        <w:gridCol w:w="109"/>
        <w:gridCol w:w="109"/>
        <w:gridCol w:w="109"/>
        <w:gridCol w:w="154"/>
      </w:tblGrid>
      <w:tr>
        <w:trPr/>
        <w:tc>
          <w:tcPr>
            <w:tcW w:w="142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loss on interest rate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equity in losses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net of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BASIC LOSS PER COMMON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DILUTED LOSS PER COMMON SHARE</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6399" w:type="dxa"/>
        <w:jc w:val="center"/>
        <w:tblInd w:w="0" w:type="dxa"/>
        <w:tblLayout w:type="fixed"/>
        <w:tblCellMar>
          <w:top w:w="28" w:type="dxa"/>
          <w:left w:w="28" w:type="dxa"/>
          <w:bottom w:w="28" w:type="dxa"/>
          <w:right w:w="28" w:type="dxa"/>
        </w:tblCellMar>
      </w:tblPr>
      <w:tblGrid>
        <w:gridCol w:w="1292"/>
        <w:gridCol w:w="1128"/>
        <w:gridCol w:w="1149"/>
        <w:gridCol w:w="211"/>
        <w:gridCol w:w="691"/>
        <w:gridCol w:w="109"/>
        <w:gridCol w:w="109"/>
        <w:gridCol w:w="109"/>
        <w:gridCol w:w="109"/>
        <w:gridCol w:w="211"/>
        <w:gridCol w:w="691"/>
        <w:gridCol w:w="109"/>
        <w:gridCol w:w="109"/>
        <w:gridCol w:w="109"/>
        <w:gridCol w:w="109"/>
        <w:gridCol w:w="154"/>
      </w:tblGrid>
      <w:tr>
        <w:trPr/>
        <w:tc>
          <w:tcPr>
            <w:tcW w:w="12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translation adjustment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flow hedges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retirement benefit obligations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30"/>
        <w:gridCol w:w="648"/>
        <w:gridCol w:w="651"/>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237"/>
        <w:gridCol w:w="801"/>
        <w:gridCol w:w="132"/>
        <w:gridCol w:w="109"/>
        <w:gridCol w:w="109"/>
        <w:gridCol w:w="109"/>
        <w:gridCol w:w="252"/>
        <w:gridCol w:w="853"/>
        <w:gridCol w:w="141"/>
        <w:gridCol w:w="109"/>
        <w:gridCol w:w="109"/>
        <w:gridCol w:w="109"/>
        <w:gridCol w:w="196"/>
        <w:gridCol w:w="736"/>
        <w:gridCol w:w="157"/>
      </w:tblGrid>
      <w:tr>
        <w:trPr/>
        <w:tc>
          <w:tcPr>
            <w:tcW w:w="83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comprehensive</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22,156 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(32,550)</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(18,315)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229,923 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restricted shares granted to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effectively repurchased for required employee withholding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Dividends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22,414 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(37,736)</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(18,023)</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225,676 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30"/>
        <w:gridCol w:w="648"/>
        <w:gridCol w:w="651"/>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237"/>
        <w:gridCol w:w="801"/>
        <w:gridCol w:w="132"/>
        <w:gridCol w:w="109"/>
        <w:gridCol w:w="109"/>
        <w:gridCol w:w="109"/>
        <w:gridCol w:w="252"/>
        <w:gridCol w:w="853"/>
        <w:gridCol w:w="141"/>
        <w:gridCol w:w="109"/>
        <w:gridCol w:w="109"/>
        <w:gridCol w:w="109"/>
        <w:gridCol w:w="196"/>
        <w:gridCol w:w="736"/>
        <w:gridCol w:w="157"/>
      </w:tblGrid>
      <w:tr>
        <w:trPr/>
        <w:tc>
          <w:tcPr>
            <w:tcW w:w="83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6"/>
              </w:rPr>
              <w:t>Total</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21,813 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(13,568)</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(33,499)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230,879 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shares issued to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restricted shares granted to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effectively repurchased for required employee withholding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Dividends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22,073 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(20,771)</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(33,245)</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223,701 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Cash dividends declared per share of common stock were $0.0425 and $0.0425 in the three months ended March 31, 2025 and 2024, respectively.</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LIFETIME BRANDS,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(unaudited)</w:t>
      </w:r>
    </w:p>
    <w:tbl>
      <w:tblPr>
        <w:tblW w:w="8859" w:type="dxa"/>
        <w:jc w:val="center"/>
        <w:tblInd w:w="0" w:type="dxa"/>
        <w:tblLayout w:type="fixed"/>
        <w:tblCellMar>
          <w:top w:w="28" w:type="dxa"/>
          <w:left w:w="28" w:type="dxa"/>
          <w:bottom w:w="28" w:type="dxa"/>
          <w:right w:w="28" w:type="dxa"/>
        </w:tblCellMar>
      </w:tblPr>
      <w:tblGrid>
        <w:gridCol w:w="2332"/>
        <w:gridCol w:w="2049"/>
        <w:gridCol w:w="2054"/>
        <w:gridCol w:w="211"/>
        <w:gridCol w:w="721"/>
        <w:gridCol w:w="109"/>
        <w:gridCol w:w="109"/>
        <w:gridCol w:w="109"/>
        <w:gridCol w:w="109"/>
        <w:gridCol w:w="211"/>
        <w:gridCol w:w="691"/>
        <w:gridCol w:w="154"/>
      </w:tblGrid>
      <w:tr>
        <w:trPr/>
        <w:tc>
          <w:tcPr>
            <w:tcW w:w="2332"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loss on interest rate derivatives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doubtful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net of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other current assets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color w:val="000000"/>
                <w:sz w:val="20"/>
              </w:rPr>
              <w:t xml:space="preserve">NET CASH PROVIDED BY OPERATING ACTIVITIES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finance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tax withholding for stock 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on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INCREASE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 BASIS OF PRESENTATION AND SUMMARY OF ACCOUNTING POLICIES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Organization and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Lifetime Brands, Inc. (“the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nearly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U.S. generally accepted accounting principles (“U.S. GAAP”) for interim financial information and with the instructions to Quarterly Reports on Form 10-Q and Article 10 of Regulation S-X. Accordingly, they do not include all of the information and footnotes required by U.S. GAAP for complete financial statements. In the opinion of management, all adjustments, which consist of normal recurring accruals and non-recurring adjustments, considered necessary for a fair presentation have been included.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condensed consolidated financial statements should be read in conjunction with the consolidated financial statements and footnotes thereto included in the Company’s Annual Report on Form 10-K for the fiscal year ended December 31,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results for the three months ended March 31, 2025 are not necessarily indicative of the results that may be expected for the year ending December 31, 2025.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business and working capital needs are seasonal, with a majority of sales occurring in the third and fourth quarters. In 2024 and 2023, net sales for the third and fourth quarters accounted for 58% and 57% of total annual net sales, respectively. In anticipation of the pre-holiday shipping season, inventory levels increase primarily in the June through October time period. The increase in inventory levels at March 31, 2025 compared to December 31, 2024 was due to preemptive measures taken in anticipation of, and designed to mitigate, the impact of the tariffs that went into effective in April 2025.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current estimates contemplate current and expected future conditions, as applicable; however it is reasonably possible that actual conditions could differ from expectations, which could materially affect the Company’s results of operations and financial position.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an estimate for products expected to be returned are reflected as reductions of revenue at the time of sale. See NOTE 2 —REVENUE to the unaudited condensed consolidated financial statements included in this Quarterly Report on Form 10-Q for additional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Cost of sales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consist primarily of costs associated with the production and procurement of product, inbound freight costs, purchasing costs, handling costs, duties and tariffs, royalties, and other product procurement related charges.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Distribution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 consist primarily of warehousing expenses and freight-out expenses.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reviews the collectability of its accounts receivable and establishes allowances for estimated credit losses that could result from the inability of its customers to make required payments, taking into consideration customer credit history and financial condition, industry and market segment information, credit reports, and expectations of current and future economic conditions. A considerable amount of judgment is required to assess the ultimate realization of these receivables including assessing the initial and on-going creditworthiness of the Company’s customers.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maintains an allowance for anticipated customer deductions. Contractual deductions for incentives and promotions granted to customers such as cooperative advertising, are recorded as a reduction to accounts receivable at the time of sale. These deductions are primarily fixed amounts; however, in certain cases, these deductions are not fixed and, therefore, the allowance is estimated based on currently available information and historical trends of deductions.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Receivable purchase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an uncommitted Receivables Purchase Agreement with HSBC Bank USA, National Association (“HSBC”) as Purchaser (the “Receivables Purchase Agreement”). The sale of accounts receivable, under the Receivables Purchase Agreement with HSBC, is excluded from the Company’s unaudited condensed consolidated balance sheets at the time of sale and the related sale expense is included in selling, general and administrative expenses in the Company’s unaudited condensed consolidated statements of operations. The Company did not sell receivables to HSBC during the three months ended March 31, 2025 and March 31, 2024.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$16.0 million of accounts receivables were available for sale to HSBC, net of applicable charges.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Inventory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product-by-product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inventory were as follows (in thousands):</w:t>
      </w:r>
    </w:p>
    <w:tbl>
      <w:tblPr>
        <w:tblW w:w="4441" w:type="dxa"/>
        <w:jc w:val="left"/>
        <w:tblInd w:w="0" w:type="dxa"/>
        <w:tblLayout w:type="fixed"/>
        <w:tblCellMar>
          <w:top w:w="28" w:type="dxa"/>
          <w:left w:w="28" w:type="dxa"/>
          <w:bottom w:w="28" w:type="dxa"/>
          <w:right w:w="28" w:type="dxa"/>
        </w:tblCellMar>
      </w:tblPr>
      <w:tblGrid>
        <w:gridCol w:w="516"/>
        <w:gridCol w:w="453"/>
        <w:gridCol w:w="455"/>
        <w:gridCol w:w="211"/>
        <w:gridCol w:w="826"/>
        <w:gridCol w:w="109"/>
        <w:gridCol w:w="109"/>
        <w:gridCol w:w="109"/>
        <w:gridCol w:w="109"/>
        <w:gridCol w:w="273"/>
        <w:gridCol w:w="1072"/>
        <w:gridCol w:w="199"/>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192,480 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202,408 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(each as defined in NOTE 6 — DEBT to the unaudited condensed consolidated financial statements included in this Quarterly Report on Form 10-Q) approximate fair value since such borrowings bear interest at variable market rates.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Derivatives</w:t>
      </w:r>
    </w:p>
    <w:p>
      <w:pPr>
        <w:pStyle w:val="TextBody"/>
        <w:bidi w:val="0"/>
        <w:spacing w:lineRule="auto" w:line="288" w:before="120" w:after="283"/>
        <w:jc w:val="left"/>
        <w:rPr/>
      </w:pPr>
      <w:r>
        <w:rPr>
          <w:rFonts w:ascii="Times New Roman;sans-serif" w:hAnsi="Times New Roman;sans-serif"/>
          <w:b w:val="false"/>
          <w:color w:val="000000"/>
          <w:sz w:val="20"/>
        </w:rPr>
        <w:t xml:space="preserve">The Company accounts for derivative instruments in accordance with Accounting Standard Codification (“ASC”) Topic 815, </w:t>
      </w:r>
      <w:r>
        <w:rPr>
          <w:rFonts w:ascii="Times New Roman;sans-serif" w:hAnsi="Times New Roman;sans-serif"/>
          <w:b w:val="false"/>
          <w:i/>
          <w:color w:val="000000"/>
          <w:sz w:val="20"/>
        </w:rPr>
        <w:t>Derivatives and Hedging (</w:t>
      </w:r>
      <w:r>
        <w:rPr>
          <w:color w:val="000000"/>
        </w:rPr>
        <w:t>“</w:t>
      </w:r>
      <w:r>
        <w:rPr>
          <w:rFonts w:ascii="Times New Roman;sans-serif" w:hAnsi="Times New Roman;sans-serif"/>
          <w:b w:val="false"/>
          <w:color w:val="000000"/>
          <w:sz w:val="20"/>
        </w:rPr>
        <w:t>ASC 815”</w:t>
      </w:r>
      <w:r>
        <w:rPr>
          <w:rFonts w:ascii="Times New Roman;sans-serif" w:hAnsi="Times New Roman;sans-serif"/>
          <w:b w:val="false"/>
          <w:i/>
          <w:color w:val="000000"/>
          <w:sz w:val="20"/>
        </w:rPr>
        <w:t>)</w:t>
      </w:r>
      <w:r>
        <w:rPr>
          <w:rFonts w:ascii="Times New Roman;sans-serif" w:hAnsi="Times New Roman;sans-serif"/>
          <w:b w:val="false"/>
          <w:color w:val="000000"/>
          <w:sz w:val="20"/>
        </w:rPr>
        <w:t>. ASC 815 requires that all derivative instruments be recognized on the balance sheet at fair value as either an asset or liability. Changes in the fair value of derivatives that qualify as hedges and have been designated as part of a hedging relationship for accounting purposes are included in accumulated other comprehensive loss and are subsequently recognized in the Company’s unaudited condensed consolidated statements of operations in the same period that the hedged items are recognized in earnings. Changes in fair value of derivatives that do not qualify as hedging instruments for accounting purposes are recorded in the Company’s unaudited condensed consolidated statements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Goodwill, intangible assets and long-lived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is not amortized but, instead, subject to an annual impairment assessment on October 1 or more frequently if events or conditions were to indicate the carrying value of a reporting unit may not be recoverable.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Financial Accounting Standards Board's (“FASB”) ASC Topic 350, Intangibles – Goodwill and Other. If, after assessing qualitative factors, the Company determines that it is more likely than not that the fair value of a reporting unit exceeds its carrying amount, then no further testing is performed for that reporting unit.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 Impairment testing is based upon the best information available, including estimates of fair value which incorporate assumptions marketplace participants would use in making their estimates of fair value. The Company performed its annual impairment assessment of its U.S. reporting unit as of October 1, 2024 by comparing the fair value of the reporting unit with its carrying value. The Company performed the analysis using a discounted cash flow and market multiple method. As of October 1, 2024, the fair value of the U.S. reporting unit exceeded the carrying value of goodwill by 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significant assumptions used under the income approach, or discounted cash flow method, are projected net sales, projected earnings before interest, tax, depreciation and amortization (“EBITDA”), and the cost of capital. Projected net sales and projected EBITDA were determined to be significant assumptions because they are the primary drivers of the projected cash flows in the discounted cash flow fair value model. Cost of capital was also determined to be a significant assumption as it is the discount rate used to calculate the current fair value of those projected cash flows. The calculation of cost of capital includes a number of subjective inputs, including a company-specific risk premium to capture the perceived risks associated with the reporting unit’s projected cash flows used in the discounted cash flow method.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fair value using a market approach considers multiples of financial metrics based on both acquisitions and trading multiples of a selected peer group of companies. From the comparable companies, a representative market multiple is determined which is applied to financial metrics to estimate the fair value of a reporting unit.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purchases almost all of its product from third-party manufacturers outside the U.S., primarily in China. This concentration in suppliers exposes the Company to risks associated with doing business globally, including risks relating to the tariffs recently implemented and that may be implemented in the future.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9, 2025, the U.S. has imposed an aggregate 145% tariff on imports from China. Other recent tariff policy updates that went into effect in April 2025 include a 10% universal tariff for all countries and reciprocal tariffs for specific countries, which have been paused for 90 days. As the Company sources almost all of its products from suppliers located outside the United States, primarily in China, any new or increased tariffs, quotas, embargoes, or other trade barriers could impact our supply chain and cost structure. Additionally, retaliatory measures by affected countries, could further disrupt operations or reduce our competitiveness in international markets. The Company continues to monitor these changing tariffs and trade restrictions. The Company is developing a plan to mitigate the impact of the increase price of goods imported by the Company into the U.S. The Company may seek to increase prices to its customers, negotiate product costs with its suppliers and further diversify its imports to countries that are expected to be subject to lower tariffs. To the extent the tariffs remain in place and the Company cannot mitigate the impact of the increase on the price of goods imported by the Company into the U.S., it may result in lower gross margin that the Company realizes from the sale of its products which could materially adversely affect the Company’s results of operations and financial condition and result in an impairment of our long-lived assets, including goodwill within the U.S. segment reporting unit.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5 — INTANGIBLE ASSETS to the unaudited condensed consolidated financial statements included in this Quarterly Report on Form 10-Q for additional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are included in property and equipment, net, accrued expenses and other long-term liabilities. The Company’s finance leases are not material to the Company’s condensed consolidated balance sheets.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Periods to extend the lease are included in the lease term when the Company is reasonably certain that the extension option would be exercised, and the associated lease payments for such periods are reflected in the ROU asset and lease liability. Lease expense for minimum lease payments is recognized on a straight-line basis over the lease term.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certain equipment leases, the Company applies a portfolio approach to effectively account for any ROU assets and lease liabilities. Leases with an initial term of twelve months or less are not recorded on the balance sheet.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the practical expedient to account for each separate lease component of a contract and its associated non-lease components as a single lease component, thus causing all fixed payments to be capitalized.</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Updates not listed below were assessed and either determined to not be applicable or are expected to have a minimal effect on the Company’s financial position, results of operations, and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This guidance is intended to enhance the transparency and decision usefulness of income tax disclosures. The amendments in ASU 2023-09 address investor requests for enhanced income tax information primarily through changes to the rate reconciliation and income taxes paid information. Early adoption is permitted. The new guidance is effective for public business entities for annual periods beginning after December 15, 2024 on a prospective basis. Retrospective application is permitted. Management is currently evaluating the impact of this standard on its consolidated financial statements and related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Income Statement—Reporting Comprehensive Income—Expense Disaggregation Disclosures (Subtopic 220-40): Disaggregation of Income Statement Expenses. The guidance requires additional disclosure in the notes to the financial statements for specified information about certain costs and expenses. The new guidance is effective for public business entities for annual periods beginning after December 15, 2026, and interim periods beginning after December 15, 2027. Early adoption is permitted. The amendments in this ASU may be applied either (1) prospectively to financial statements issued for reporting periods after the effective date of this ASU or (2) retrospectively to all prior periods presented in the financial statements. Management is currently evaluating the impact of this standard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2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sells products wholesale, to retailers and distributors, and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$0.7 million and $0.6 million for the three months ended March 31, 2025 and 2024, respectively. Net sales exclude taxes that are collected from customers and remitted to the taxing authorities.</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sales incentives and promotions represent variable consideration and are reflected as reductions in net sales in the Company’s unaudited condensed consolidated statements of operations. While many of the sales incentives and promotions are contractually agreed upon with the Company’s customers, certain of the sales incentives and promotions are non-contractual and require the Company to estimate the amount of variable consideration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 </w:t>
      </w:r>
      <w:r>
        <w:rPr>
          <w:rFonts w:ascii="Times New Roman;sans-serif" w:hAnsi="Times New Roman;sans-serif"/>
          <w:b w:val="false"/>
          <w:color w:val="000000"/>
          <w:sz w:val="20"/>
          <w:shd w:fill="FFFFFF" w:val="clear"/>
        </w:rPr>
        <w:t>Payment terms vary by customer, but generally range from 30 to 90 days or at the point of sale for the Company’s retail direct sale</w:t>
      </w:r>
      <w:r>
        <w:rPr>
          <w:rFonts w:ascii="Times New Roman;sans-serif" w:hAnsi="Times New Roman;sans-serif"/>
          <w:b w:val="false"/>
          <w:color w:val="000000"/>
          <w:sz w:val="20"/>
        </w:rPr>
        <w: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 Company incurs certain direct incremental costs to obtain contracts with customers, such as sales-related co</w:t>
      </w:r>
      <w:r>
        <w:rPr>
          <w:rFonts w:ascii="Times New Roman;sans-serif" w:hAnsi="Times New Roman;sans-serif"/>
          <w:b w:val="false"/>
          <w:color w:val="000000"/>
          <w:sz w:val="20"/>
        </w:rPr>
        <w:t>mmissions, where the recognition period for the related revenue is less than one year. These costs are expensed as incurred and recorded within selling, general and administrative expenses in the unaudited condensed consolidated statements of operations. Incidental items that are immaterial in the context of the contract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net sales disaggregated by segment, product category and geographic region for the three months ended March 31, 2025 and 2024 (in thousands):</w:t>
      </w:r>
    </w:p>
    <w:tbl>
      <w:tblPr>
        <w:tblW w:w="5079" w:type="dxa"/>
        <w:jc w:val="left"/>
        <w:tblInd w:w="0" w:type="dxa"/>
        <w:tblLayout w:type="fixed"/>
        <w:tblCellMar>
          <w:top w:w="28" w:type="dxa"/>
          <w:left w:w="28" w:type="dxa"/>
          <w:bottom w:w="28" w:type="dxa"/>
          <w:right w:w="28" w:type="dxa"/>
        </w:tblCellMar>
      </w:tblPr>
      <w:tblGrid>
        <w:gridCol w:w="716"/>
        <w:gridCol w:w="631"/>
        <w:gridCol w:w="632"/>
        <w:gridCol w:w="211"/>
        <w:gridCol w:w="826"/>
        <w:gridCol w:w="109"/>
        <w:gridCol w:w="109"/>
        <w:gridCol w:w="109"/>
        <w:gridCol w:w="109"/>
        <w:gridCol w:w="211"/>
        <w:gridCol w:w="826"/>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U.S. segment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Kitchenware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Solutions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U.S. segment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International 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3 — LEASES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for corporate offices, distribution facilities, a manufacturing plant, and certain vehicles.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for the three months ended March 31, 2025 and 2024 were as follows (in thousands):</w:t>
      </w:r>
    </w:p>
    <w:tbl>
      <w:tblPr>
        <w:tblW w:w="5282" w:type="dxa"/>
        <w:jc w:val="left"/>
        <w:tblInd w:w="0" w:type="dxa"/>
        <w:tblLayout w:type="fixed"/>
        <w:tblCellMar>
          <w:top w:w="28" w:type="dxa"/>
          <w:left w:w="28" w:type="dxa"/>
          <w:bottom w:w="28" w:type="dxa"/>
          <w:right w:w="28" w:type="dxa"/>
        </w:tblCellMar>
      </w:tblPr>
      <w:tblGrid>
        <w:gridCol w:w="863"/>
        <w:gridCol w:w="758"/>
        <w:gridCol w:w="763"/>
        <w:gridCol w:w="211"/>
        <w:gridCol w:w="616"/>
        <w:gridCol w:w="109"/>
        <w:gridCol w:w="109"/>
        <w:gridCol w:w="109"/>
        <w:gridCol w:w="109"/>
        <w:gridCol w:w="211"/>
        <w:gridCol w:w="616"/>
        <w:gridCol w:w="109"/>
        <w:gridCol w:w="109"/>
        <w:gridCol w:w="109"/>
        <w:gridCol w:w="109"/>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 expenses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lease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Expenses are recorded within distribution expenses and selling, general and administrative expenses on the unaudited condensed consolidated statement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for lease related liabilities and assets for the three months ended March 31, 2025 and 2024 were as follows (in thousands):</w:t>
      </w:r>
    </w:p>
    <w:tbl>
      <w:tblPr>
        <w:tblW w:w="8657" w:type="dxa"/>
        <w:jc w:val="left"/>
        <w:tblInd w:w="0" w:type="dxa"/>
        <w:tblLayout w:type="fixed"/>
        <w:tblCellMar>
          <w:top w:w="28" w:type="dxa"/>
          <w:left w:w="28" w:type="dxa"/>
          <w:bottom w:w="28" w:type="dxa"/>
          <w:right w:w="28" w:type="dxa"/>
        </w:tblCellMar>
      </w:tblPr>
      <w:tblGrid>
        <w:gridCol w:w="2197"/>
        <w:gridCol w:w="1933"/>
        <w:gridCol w:w="1944"/>
        <w:gridCol w:w="246"/>
        <w:gridCol w:w="721"/>
        <w:gridCol w:w="127"/>
        <w:gridCol w:w="127"/>
        <w:gridCol w:w="127"/>
        <w:gridCol w:w="127"/>
        <w:gridCol w:w="127"/>
        <w:gridCol w:w="211"/>
        <w:gridCol w:w="616"/>
        <w:gridCol w:w="154"/>
      </w:tblGrid>
      <w:tr>
        <w:trPr/>
        <w:tc>
          <w:tcPr>
            <w:tcW w:w="219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981" w:type="dxa"/>
            <w:gridSpan w:val="3"/>
            <w:tcBorders/>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Cash paid for amounts included in the measurement of</w:t>
            </w:r>
            <w:r>
              <w:rPr>
                <w:color w:val="000000"/>
              </w:rPr>
              <w:t xml:space="preserve"> </w:t>
            </w:r>
            <w:r>
              <w:rPr>
                <w:rFonts w:ascii="Times New Roman;sans-serif" w:hAnsi="Times New Roman;sans-serif"/>
                <w:b/>
                <w:color w:val="000000"/>
                <w:sz w:val="20"/>
              </w:rPr>
              <w:t>lease liabilities:</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683" w:type="dxa"/>
        <w:jc w:val="left"/>
        <w:tblInd w:w="0" w:type="dxa"/>
        <w:tblLayout w:type="fixed"/>
        <w:tblCellMar>
          <w:top w:w="28" w:type="dxa"/>
          <w:left w:w="28" w:type="dxa"/>
          <w:bottom w:w="28" w:type="dxa"/>
          <w:right w:w="28" w:type="dxa"/>
        </w:tblCellMar>
      </w:tblPr>
      <w:tblGrid>
        <w:gridCol w:w="1923"/>
        <w:gridCol w:w="1691"/>
        <w:gridCol w:w="1696"/>
        <w:gridCol w:w="291"/>
        <w:gridCol w:w="561"/>
        <w:gridCol w:w="150"/>
        <w:gridCol w:w="150"/>
        <w:gridCol w:w="150"/>
        <w:gridCol w:w="150"/>
        <w:gridCol w:w="150"/>
        <w:gridCol w:w="211"/>
        <w:gridCol w:w="406"/>
        <w:gridCol w:w="154"/>
      </w:tblGrid>
      <w:tr>
        <w:trPr/>
        <w:tc>
          <w:tcPr>
            <w:tcW w:w="1923"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771" w:type="dxa"/>
            <w:gridSpan w:val="3"/>
            <w:tcBorders/>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Right-of-use assets obtained in exchange for lease obligations:</w:t>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future lease payments for operating leases as of March 31, 2025 were as follows (in thousands):</w:t>
      </w:r>
    </w:p>
    <w:tbl>
      <w:tblPr>
        <w:tblW w:w="5886" w:type="dxa"/>
        <w:jc w:val="left"/>
        <w:tblInd w:w="0" w:type="dxa"/>
        <w:tblLayout w:type="fixed"/>
        <w:tblCellMar>
          <w:top w:w="28" w:type="dxa"/>
          <w:left w:w="28" w:type="dxa"/>
          <w:bottom w:w="28" w:type="dxa"/>
          <w:right w:w="28" w:type="dxa"/>
        </w:tblCellMar>
      </w:tblPr>
      <w:tblGrid>
        <w:gridCol w:w="1737"/>
        <w:gridCol w:w="1527"/>
        <w:gridCol w:w="1536"/>
        <w:gridCol w:w="211"/>
        <w:gridCol w:w="721"/>
        <w:gridCol w:w="154"/>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(excluding the three months ended March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payments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lease terms and discount rates were as follows:</w:t>
      </w:r>
    </w:p>
    <w:tbl>
      <w:tblPr>
        <w:tblW w:w="5218" w:type="dxa"/>
        <w:jc w:val="left"/>
        <w:tblInd w:w="0" w:type="dxa"/>
        <w:tblLayout w:type="fixed"/>
        <w:tblCellMar>
          <w:top w:w="28" w:type="dxa"/>
          <w:left w:w="28" w:type="dxa"/>
          <w:bottom w:w="28" w:type="dxa"/>
          <w:right w:w="28" w:type="dxa"/>
        </w:tblCellMar>
      </w:tblPr>
      <w:tblGrid>
        <w:gridCol w:w="1416"/>
        <w:gridCol w:w="1243"/>
        <w:gridCol w:w="1255"/>
        <w:gridCol w:w="264"/>
        <w:gridCol w:w="264"/>
        <w:gridCol w:w="776"/>
      </w:tblGrid>
      <w:tr>
        <w:trPr/>
        <w:tc>
          <w:tcPr>
            <w:tcW w:w="141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23, 2025, the Company entered into a lease agreement for a new distribution center in Hagerstown, Maryland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(“Hagerstown Facility”). The term of the lease is 180 months following the rent commencement date, which will occur in the first quarter of 2026. Base rent for the first year of the lease is $7.3 million, escalating by 3% annually. A portion of the base rent will be abated for the first 36 months at the annual prevailing rate for a total rent abatement of $7.2 million. The lease agreement also includes a total tenant improvement allowance of $5.1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4 —INVESTMENT</w:t>
      </w:r>
    </w:p>
    <w:p>
      <w:pPr>
        <w:pStyle w:val="TextBody"/>
        <w:bidi w:val="0"/>
        <w:spacing w:lineRule="auto" w:line="288" w:before="120" w:after="283"/>
        <w:jc w:val="left"/>
        <w:rPr/>
      </w:pPr>
      <w:r>
        <w:rPr>
          <w:rFonts w:ascii="Times New Roman;sans-serif" w:hAnsi="Times New Roman;sans-serif"/>
          <w:b w:val="false"/>
          <w:color w:val="000000"/>
          <w:sz w:val="20"/>
        </w:rPr>
        <w:t>As of March 31, 2025, the Company has a 24.7% interest in Grupo Vasconia S.A.B. (“Vasconia”), an integrated manufacturer of aluminum products and a housewares company in Mexico. Shares of Vasconia’s capital stock are traded on the Bolsa Mexicana de Valores, the Mexican Stock Exchange. The Quotation Key is VASCONI. During the second quarter of 2024, Vasconia’s shareholders approved a resolution to a reorganization process in terms of the Law of Commercial Bankruptcy in Mexico and subsequently a bankruptcy suit was filed against Vasconia by one of its largest suppliers. The Company concluded that the recent events constituted a loss of significant influence and resulted in the discontinuation of the equity method of accounting.</w:t>
      </w:r>
      <w:r>
        <w:rPr>
          <w:color w:val="000000"/>
        </w:rPr>
        <w:t xml:space="preserve"> </w:t>
      </w:r>
      <w:r>
        <w:rPr>
          <w:rFonts w:ascii="Times New Roman;sans-serif" w:hAnsi="Times New Roman;sans-serif"/>
          <w:b w:val="false"/>
          <w:color w:val="000000"/>
          <w:sz w:val="20"/>
        </w:rPr>
        <w:t xml:space="preserve">The Company accounts for its Vasconia investment at fair value in accordance with Accounting Standards Codification (“ASC”) </w:t>
      </w:r>
      <w:r>
        <w:rPr>
          <w:rFonts w:ascii="Times New Roman;sans-serif" w:hAnsi="Times New Roman;sans-serif"/>
          <w:b w:val="false"/>
          <w:i/>
          <w:color w:val="000000"/>
          <w:sz w:val="20"/>
        </w:rPr>
        <w:t>Topic 321: Investments — Equity Securities</w:t>
      </w:r>
      <w:r>
        <w:rPr>
          <w:rFonts w:ascii="Times New Roman;sans-serif" w:hAnsi="Times New Roman;sans-serif"/>
          <w:b w:val="false"/>
          <w:color w:val="000000"/>
          <w:sz w:val="20"/>
        </w:rPr>
        <w:t>, with any changes in fair value recorded within income (loss) on equity securities on the consolidated statements of operations. The fair value of the Vasconia investment was not material as of March 31, 2025.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Given Vasconia's limited trading activity, recent operating results of Vasconia and impact of the bankruptcy related activity, the fair value of the Vasconia investment was measured using the income approach based on Level 3 unobservable inputs.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accounting for the investment in Vasconia at fair value, equity in losses, net of taxes recognized for the three months ended March 31, 2024 was $2.1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13, 2025, the Company and Vasconia entered into Amendment No. 6 of the Shares Subscription Agreement, which among other items, terminated the Company’s rights to designate individuals to be nominated as members of the Vasconia board of directors. The Company did not have any designated members nominated to the Vasconia board of directors as of the date of the amendment.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5 — INTANGIBLE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as of March 31, 2025 and December 31, 2024 (in thousands):</w:t>
      </w:r>
    </w:p>
    <w:tbl>
      <w:tblPr>
        <w:tblW w:w="10205" w:type="dxa"/>
        <w:jc w:val="left"/>
        <w:tblInd w:w="0" w:type="dxa"/>
        <w:tblLayout w:type="fixed"/>
        <w:tblCellMar>
          <w:top w:w="28" w:type="dxa"/>
          <w:left w:w="28" w:type="dxa"/>
          <w:bottom w:w="28" w:type="dxa"/>
          <w:right w:w="28" w:type="dxa"/>
        </w:tblCellMar>
      </w:tblPr>
      <w:tblGrid>
        <w:gridCol w:w="637"/>
        <w:gridCol w:w="541"/>
        <w:gridCol w:w="546"/>
        <w:gridCol w:w="196"/>
        <w:gridCol w:w="736"/>
        <w:gridCol w:w="109"/>
        <w:gridCol w:w="109"/>
        <w:gridCol w:w="109"/>
        <w:gridCol w:w="109"/>
        <w:gridCol w:w="109"/>
        <w:gridCol w:w="109"/>
        <w:gridCol w:w="196"/>
        <w:gridCol w:w="794"/>
        <w:gridCol w:w="109"/>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794"/>
        <w:gridCol w:w="109"/>
        <w:gridCol w:w="109"/>
        <w:gridCol w:w="109"/>
        <w:gridCol w:w="109"/>
        <w:gridCol w:w="196"/>
        <w:gridCol w:w="736"/>
        <w:gridCol w:w="157"/>
      </w:tblGrid>
      <w:tr>
        <w:trPr/>
        <w:tc>
          <w:tcPr>
            <w:tcW w:w="6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2624" w:type="dxa"/>
            <w:gridSpan w:val="10"/>
            <w:tcBorders/>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Goodwill</w:t>
            </w:r>
            <w:r>
              <w:rPr>
                <w:rFonts w:ascii="Times New Roman;sans-serif" w:hAnsi="Times New Roman;sans-serif"/>
                <w:b/>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Finite-lived intangible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183,527 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The gross and net value at March 31, 2025 and December 31, 2024 reflect a reduction of $79.8 million impairment charges within U.S. segment and $11.9 million impairment charges within International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6 —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The ABL Agreement provides for a senior secured asset-based revolving credit facility in the maximum aggregate principal amount of $200.0 million, which facility will mature on August 26, 2027.</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14, 2023, the Company entered into Amendment No. 2 to amend the Loan Agreement, dated as of March 2, 2018, among the Company, as borrower, the other loan parties from time to time party thereto, the lenders from time to time party thereto, and JPMorgan Chase Bank, N.A., as Administrative Agent (as amended, the “Term Loan” and together with the ABL Agreement, the “Debt Agreements”). The Term Loan has a principal amount of $150.0 million, and matures on August 26, 2027.</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requires the Company to make quarterly payments of principal each equal to 1.25% of the aggregate principal amount of the Term Loan, which commenced on March 31, 2024, with the remaining balance payable on the maturity date. The Term Loan requires the Company to make an annual prepayment of principal, beginning with those for the fiscal year ending December 31, 2024,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Per the Term Loan, when the Company makes an Excess Cash Flow prepayment, the payment is first applied to satisfy the next eight (8) scheduled future quarterly required payments of the Term Loan in order of maturity and then to the remaining scheduled installments on a pro rata basis.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maximum borrowing amount under the ABL Agreement may be increased to up to $250.0 million if certain conditions are met. One or more tranches of additional term loans (the “Incremental Term Facilities”) may be added under the Term Loan if certain conditions are met. The Incremental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3.25 to 1.00, subject to certain limitations and for the period defined pursuant to the Term Loan but not to mature earlier than the maturity date of the then existing term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total availability under the ABL Agreement were as follows (in thousands):</w:t>
      </w:r>
    </w:p>
    <w:tbl>
      <w:tblPr>
        <w:tblW w:w="7329" w:type="dxa"/>
        <w:jc w:val="left"/>
        <w:tblInd w:w="0" w:type="dxa"/>
        <w:tblLayout w:type="fixed"/>
        <w:tblCellMar>
          <w:top w:w="28" w:type="dxa"/>
          <w:left w:w="28" w:type="dxa"/>
          <w:bottom w:w="28" w:type="dxa"/>
          <w:right w:w="28" w:type="dxa"/>
        </w:tblCellMar>
      </w:tblPr>
      <w:tblGrid>
        <w:gridCol w:w="1375"/>
        <w:gridCol w:w="1206"/>
        <w:gridCol w:w="1214"/>
        <w:gridCol w:w="109"/>
        <w:gridCol w:w="109"/>
        <w:gridCol w:w="109"/>
        <w:gridCol w:w="243"/>
        <w:gridCol w:w="912"/>
        <w:gridCol w:w="135"/>
        <w:gridCol w:w="109"/>
        <w:gridCol w:w="109"/>
        <w:gridCol w:w="109"/>
        <w:gridCol w:w="287"/>
        <w:gridCol w:w="1077"/>
        <w:gridCol w:w="226"/>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Maximum aggregate principal allowed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150,571 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176,329 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borrowings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(39,328)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(42,693)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Standby 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availability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99,679 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124,808 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the Company may have greater borrowing availability during the third and fourth quarters of each year. Consequently, the $200.0 million commitment thereunder may not represent actual borrowing capacity. The Company’s borrowing capacity may be further limited by the Term Loan financial covenant of 5.00 to 1.00 maximum Total Net Leverage Ratio. As of March 31, 2025, the availability under the ABL Agreement, limited by the Term Loan financial covenant, was $63.2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and non-current portions of the Company’s Term Loan included in the condensed consolidated balance sheets were as follows (in thousands):</w:t>
      </w:r>
    </w:p>
    <w:tbl>
      <w:tblPr>
        <w:tblW w:w="7007" w:type="dxa"/>
        <w:jc w:val="left"/>
        <w:tblInd w:w="0" w:type="dxa"/>
        <w:tblLayout w:type="fixed"/>
        <w:tblCellMar>
          <w:top w:w="28" w:type="dxa"/>
          <w:left w:w="28" w:type="dxa"/>
          <w:bottom w:w="28" w:type="dxa"/>
          <w:right w:w="28" w:type="dxa"/>
        </w:tblCellMar>
      </w:tblPr>
      <w:tblGrid>
        <w:gridCol w:w="1177"/>
        <w:gridCol w:w="1034"/>
        <w:gridCol w:w="1044"/>
        <w:gridCol w:w="109"/>
        <w:gridCol w:w="109"/>
        <w:gridCol w:w="109"/>
        <w:gridCol w:w="243"/>
        <w:gridCol w:w="912"/>
        <w:gridCol w:w="135"/>
        <w:gridCol w:w="109"/>
        <w:gridCol w:w="109"/>
        <w:gridCol w:w="109"/>
        <w:gridCol w:w="291"/>
        <w:gridCol w:w="1093"/>
        <w:gridCol w:w="161"/>
        <w:gridCol w:w="109"/>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133,125 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Non-current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129,707 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130,949 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2024 excess cash flow payment of $1.2 million was paid on April 4, 2025 and reduces the scheduled quarterly payment due on June 30, 2025. As of March 31, 2025, the Company estimates no excess cash flow payment will be due for 2025.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Secured Overnight Financing Rate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March 31, 2025 was between 3.79% and 5.86%. The Company paid a commitment fee of 0.25% on the unused portion of the ABL Agreement during the three months ended March 31, 2025.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bears interest, at the Company’s option, at one of the following rates: (i) alternate base rate, defined, for any day, as the greater of (x) the prime rate, (y) a federal funds and overnight bank funding based rate plus 0.5% or (z) one-month Adjusted Term SOFR, but not less than 1.0%, plus 1.0%, plus a margin of 4.5% or (ii) Adjusted Term SOFR (Term SOFR plus the Term SOFR Adjustment) for the applicable interest period, but not less than 1.0%, plus a margin of 5.5%. The interest rate on outstanding borrowings under the Term Loan at March 31, 2025 was 9.94%.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Debt Agreements provide for customary restrictions and events of default. Restrictions include limitations on additional indebtedness, liens, acquisitions, investments and payment of dividends, among other things. Under the Term Loan, the Total Net Leverage Ratio is not permitted to be greater than 5.00 to 1.00 determined as of the end of each fiscal quarters.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the covenants of the Debt Agreements at March 31, 2025.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that it will continue to borrow, subject to availability, and repay funds under the ABL Agreement based on working capital and other corporate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NOTE 7</w:t>
      </w:r>
      <w:r>
        <w:rPr>
          <w:color w:val="000000"/>
        </w:rPr>
        <w:t xml:space="preserve"> — </w:t>
      </w:r>
      <w:r>
        <w:rPr>
          <w:rFonts w:ascii="Times New Roman;sans-serif" w:hAnsi="Times New Roman;sans-serif"/>
          <w:b/>
          <w:color w:val="000000"/>
          <w:sz w:val="20"/>
        </w:rPr>
        <w:t xml:space="preserve">DERIVATIVES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risk management strategy includes the use derivative financial instruments to manage its exposure to interest rate movements and to reduce the volatility of earnings and cash flows associated with changes in foreign currency exchange rates primarily to offset the earnings impact related to inventory purchases. The Company does not enter into derivative transactions for trading purposes. The Company classifies cash flows from its derivative transactions as cash flows from operating activities in the consolidated statements of cash flows.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derivatives expose it to credit risks from possible non-performance by counterparties. The Company has limited its credit risk by entering into derivative transactions exclusively with investment-grade rated financial institutions and monitors the creditworthiness of these financial institutions on an ongoing basis. The Company utilizes standard counterparty master netting agreements that net certain foreign currency and interest rate swap transactions in the event of the insolvency of 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anticipate non-performance by any of its counterparties.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Swap Agreements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manage its exposures to interest rate movements, the Company primarily uses interest rate swaps as part of its interest rate risk management strategy. These interest rate swaps involve the receipt of variable amounts from a counterparty in exchange for the Company making fixed-rate payments over the life of the agreements without exchange of the underlying notional amount.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and October 2024, the Company entered into interest rate swap agreements, each with an aggregate notional value of $25.0 million and expire in August 2027. These non-designated interest rate swaps serve as cash flow hedges of the Company’s exposure to the variability of the payment of interest on a portion of its Term Loan borrowings. The Company’s total outstanding notional value of interest rate swaps was $50.0 million at March 31, 2025.</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Foreign Exchange Contracts </w:t>
      </w:r>
    </w:p>
    <w:p>
      <w:pPr>
        <w:pStyle w:val="TextBody"/>
        <w:bidi w:val="0"/>
        <w:spacing w:lineRule="auto" w:line="268" w:before="120" w:after="283"/>
        <w:jc w:val="left"/>
        <w:rPr/>
      </w:pPr>
      <w:r>
        <w:rPr>
          <w:rFonts w:ascii="Times New Roman;sans-serif" w:hAnsi="Times New Roman;sans-serif"/>
          <w:b w:val="false"/>
          <w:color w:val="000000"/>
          <w:sz w:val="20"/>
        </w:rPr>
        <w:t>To reduce the impact of changes in foreign currency exchange rates on its results, from time to time the Company is a party to certain foreign exchange contracts, primarily to offset the earnings impact related to fluctuations in foreign currency exchange rates associated with inventory purchases.</w:t>
      </w:r>
      <w:r>
        <w:rPr>
          <w:color w:val="000000"/>
        </w:rPr>
        <w:t xml:space="preserve"> </w:t>
      </w:r>
      <w:r>
        <w:rPr>
          <w:rFonts w:ascii="Times New Roman;sans-serif" w:hAnsi="Times New Roman;sans-serif"/>
          <w:b w:val="false"/>
          <w:color w:val="000000"/>
          <w:sz w:val="20"/>
        </w:rPr>
        <w:t>The Company designates these contracts for accounting purposes as cash flow hedges. The Company purchases foreign currency forward contracts with terms less than 18 months. The aggregate gross notional value of foreign exchange contracts at March 31, 2025 was $9.3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derivative financial instruments included in the condensed consolidated balance sheets are presented as follows (in thousands):</w:t>
      </w:r>
    </w:p>
    <w:tbl>
      <w:tblPr>
        <w:tblW w:w="9953" w:type="dxa"/>
        <w:jc w:val="left"/>
        <w:tblInd w:w="0" w:type="dxa"/>
        <w:tblLayout w:type="fixed"/>
        <w:tblCellMar>
          <w:top w:w="28" w:type="dxa"/>
          <w:left w:w="28" w:type="dxa"/>
          <w:bottom w:w="28" w:type="dxa"/>
          <w:right w:w="28" w:type="dxa"/>
        </w:tblCellMar>
      </w:tblPr>
      <w:tblGrid>
        <w:gridCol w:w="1249"/>
        <w:gridCol w:w="1098"/>
        <w:gridCol w:w="1102"/>
        <w:gridCol w:w="1014"/>
        <w:gridCol w:w="1014"/>
        <w:gridCol w:w="1017"/>
        <w:gridCol w:w="109"/>
        <w:gridCol w:w="109"/>
        <w:gridCol w:w="109"/>
        <w:gridCol w:w="388"/>
        <w:gridCol w:w="656"/>
        <w:gridCol w:w="216"/>
        <w:gridCol w:w="109"/>
        <w:gridCol w:w="109"/>
        <w:gridCol w:w="109"/>
        <w:gridCol w:w="392"/>
        <w:gridCol w:w="843"/>
        <w:gridCol w:w="310"/>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designated as hedging instruments</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w:t>
            </w:r>
          </w:p>
        </w:tc>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346"/>
        <w:gridCol w:w="1184"/>
        <w:gridCol w:w="1188"/>
        <w:gridCol w:w="1010"/>
        <w:gridCol w:w="1009"/>
        <w:gridCol w:w="1012"/>
        <w:gridCol w:w="109"/>
        <w:gridCol w:w="109"/>
        <w:gridCol w:w="109"/>
        <w:gridCol w:w="346"/>
        <w:gridCol w:w="718"/>
        <w:gridCol w:w="192"/>
        <w:gridCol w:w="109"/>
        <w:gridCol w:w="109"/>
        <w:gridCol w:w="109"/>
        <w:gridCol w:w="391"/>
        <w:gridCol w:w="841"/>
        <w:gridCol w:w="314"/>
      </w:tblGrid>
      <w:tr>
        <w:trPr/>
        <w:tc>
          <w:tcPr>
            <w:tcW w:w="134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not designated as hedging instruments</w:t>
            </w:r>
          </w:p>
        </w:tc>
        <w:tc>
          <w:tcPr>
            <w:tcW w:w="3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7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0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0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interest rate swaps have been obtained from the counterparties to the agreements and were based on Level 2 observable inputs using proprietary models and estimates about relevant future market conditions. The fair values of the foreign exchange contracts were based on Level 2 observable inputs using quoted market prices for similar assets in an active market.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amounts of gains and losses, realized and unrealized, related to the Company’s derivative financial instruments designated as hedging instruments are recognized in other comprehensive income, net of taxes, as follows (in thousands):</w:t>
      </w:r>
    </w:p>
    <w:tbl>
      <w:tblPr>
        <w:tblW w:w="6024" w:type="dxa"/>
        <w:jc w:val="left"/>
        <w:tblInd w:w="0" w:type="dxa"/>
        <w:tblLayout w:type="fixed"/>
        <w:tblCellMar>
          <w:top w:w="28" w:type="dxa"/>
          <w:left w:w="28" w:type="dxa"/>
          <w:bottom w:w="28" w:type="dxa"/>
          <w:right w:w="28" w:type="dxa"/>
        </w:tblCellMar>
      </w:tblPr>
      <w:tblGrid>
        <w:gridCol w:w="1338"/>
        <w:gridCol w:w="1172"/>
        <w:gridCol w:w="1179"/>
        <w:gridCol w:w="196"/>
        <w:gridCol w:w="496"/>
        <w:gridCol w:w="109"/>
        <w:gridCol w:w="109"/>
        <w:gridCol w:w="109"/>
        <w:gridCol w:w="109"/>
        <w:gridCol w:w="196"/>
        <w:gridCol w:w="421"/>
        <w:gridCol w:w="109"/>
        <w:gridCol w:w="109"/>
        <w:gridCol w:w="109"/>
        <w:gridCol w:w="109"/>
        <w:gridCol w:w="154"/>
      </w:tblGrid>
      <w:tr>
        <w:trPr/>
        <w:tc>
          <w:tcPr>
            <w:tcW w:w="13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designated as hedging instruments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and losses on foreign exchange contracts that are reported in other comprehensive income are reclassified into cost of sales as the underlying inventory purchased is sold.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the Company reclassified $0.1 million of cash flow hedges in accumulated other comprehensive losses to earnings, related to foreign exchange contracts recognized in cost of sales. At March 31, 2025, the estimated amount of existing net gains expected to be reclassified into earnings within the next 12 months was below $0.1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mark to market losses related to the Company’s derivative financial instruments not designated as hedging instruments that were recognized in earnings are as follows (in thousands):</w:t>
      </w:r>
    </w:p>
    <w:tbl>
      <w:tblPr>
        <w:tblW w:w="10146" w:type="dxa"/>
        <w:jc w:val="left"/>
        <w:tblInd w:w="0" w:type="dxa"/>
        <w:tblLayout w:type="fixed"/>
        <w:tblCellMar>
          <w:top w:w="28" w:type="dxa"/>
          <w:left w:w="28" w:type="dxa"/>
          <w:bottom w:w="28" w:type="dxa"/>
          <w:right w:w="28" w:type="dxa"/>
        </w:tblCellMar>
      </w:tblPr>
      <w:tblGrid>
        <w:gridCol w:w="1446"/>
        <w:gridCol w:w="1268"/>
        <w:gridCol w:w="1275"/>
        <w:gridCol w:w="1139"/>
        <w:gridCol w:w="1139"/>
        <w:gridCol w:w="1142"/>
        <w:gridCol w:w="109"/>
        <w:gridCol w:w="109"/>
        <w:gridCol w:w="109"/>
        <w:gridCol w:w="196"/>
        <w:gridCol w:w="496"/>
        <w:gridCol w:w="109"/>
        <w:gridCol w:w="109"/>
        <w:gridCol w:w="109"/>
        <w:gridCol w:w="109"/>
        <w:gridCol w:w="196"/>
        <w:gridCol w:w="496"/>
        <w:gridCol w:w="109"/>
        <w:gridCol w:w="109"/>
        <w:gridCol w:w="109"/>
        <w:gridCol w:w="109"/>
        <w:gridCol w:w="154"/>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to market loss on 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NOTE 8</w:t>
      </w:r>
      <w:r>
        <w:rPr>
          <w:color w:val="000000"/>
        </w:rPr>
        <w:t xml:space="preserve"> — </w:t>
      </w:r>
      <w:r>
        <w:rPr>
          <w:rFonts w:ascii="Times New Roman;sans-serif" w:hAnsi="Times New Roman;sans-serif"/>
          <w:b/>
          <w:color w:val="000000"/>
          <w:sz w:val="20"/>
        </w:rPr>
        <w:t>STOCK COMPENSATION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were 1,142,889 shares available for the grant of awards under the Company’s Amended and Restated 2000 Long Term Incentive Plan (“Plan”), assuming maximum performance of performance-based awards.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Option Awards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stock option activity and related information for the three months ended March 31, 2025 is as follows:</w:t>
      </w:r>
    </w:p>
    <w:tbl>
      <w:tblPr>
        <w:tblW w:w="10205" w:type="dxa"/>
        <w:jc w:val="left"/>
        <w:tblInd w:w="0" w:type="dxa"/>
        <w:tblLayout w:type="fixed"/>
        <w:tblCellMar>
          <w:top w:w="28" w:type="dxa"/>
          <w:left w:w="28" w:type="dxa"/>
          <w:bottom w:w="28" w:type="dxa"/>
          <w:right w:w="28" w:type="dxa"/>
        </w:tblCellMar>
      </w:tblPr>
      <w:tblGrid>
        <w:gridCol w:w="1835"/>
        <w:gridCol w:w="1596"/>
        <w:gridCol w:w="1600"/>
        <w:gridCol w:w="233"/>
        <w:gridCol w:w="503"/>
        <w:gridCol w:w="109"/>
        <w:gridCol w:w="109"/>
        <w:gridCol w:w="109"/>
        <w:gridCol w:w="109"/>
        <w:gridCol w:w="252"/>
        <w:gridCol w:w="717"/>
        <w:gridCol w:w="142"/>
        <w:gridCol w:w="109"/>
        <w:gridCol w:w="109"/>
        <w:gridCol w:w="109"/>
        <w:gridCol w:w="325"/>
        <w:gridCol w:w="325"/>
        <w:gridCol w:w="326"/>
        <w:gridCol w:w="109"/>
        <w:gridCol w:w="109"/>
        <w:gridCol w:w="109"/>
        <w:gridCol w:w="325"/>
        <w:gridCol w:w="676"/>
        <w:gridCol w:w="260"/>
      </w:tblGrid>
      <w:tr>
        <w:trPr/>
        <w:tc>
          <w:tcPr>
            <w:tcW w:w="1835"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w:t>
              <w:br/>
              <w:t xml:space="preserve">value </w:t>
              <w:br/>
              <w:t>(in thousands)</w:t>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Options outstanding, January 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503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503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Options outstanding, March 31, 2025</w:t>
            </w:r>
            <w:r>
              <w:rPr>
                <w:rFonts w:ascii="Times New Roman;sans-serif" w:hAnsi="Times New Roman;sans-serif"/>
                <w:b/>
                <w:color w:val="000000"/>
                <w:sz w:val="12"/>
              </w:rPr>
              <w:t>(1)</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Options exercisable, March 31, 2025</w:t>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688,750 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unrecognized stock option expense remaining (in thousands)</w:t>
            </w:r>
          </w:p>
        </w:tc>
        <w:tc>
          <w:tcPr>
            <w:tcW w:w="2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years expected to be recognized over</w:t>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Includes a non-plan stock option award of 15,000 stock options granted in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in the table above represents the total pre-tax intrinsic value that would have been received by the option holders had all option holders exercised their exercisable in-the-money stock options on March 31, 2025. The intrinsic value is calculated for each in-the-money stock option as the difference between the closing price of the Company’s common stock on March 31, 2025 and the exercise price.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restricted stock activity and related information for the three months ended March 31, 2025 is as follows:</w:t>
      </w:r>
    </w:p>
    <w:tbl>
      <w:tblPr>
        <w:tblW w:w="7791" w:type="dxa"/>
        <w:jc w:val="left"/>
        <w:tblInd w:w="0" w:type="dxa"/>
        <w:tblLayout w:type="fixed"/>
        <w:tblCellMar>
          <w:top w:w="28" w:type="dxa"/>
          <w:left w:w="28" w:type="dxa"/>
          <w:bottom w:w="28" w:type="dxa"/>
          <w:right w:w="28" w:type="dxa"/>
        </w:tblCellMar>
      </w:tblPr>
      <w:tblGrid>
        <w:gridCol w:w="1934"/>
        <w:gridCol w:w="1698"/>
        <w:gridCol w:w="1708"/>
        <w:gridCol w:w="210"/>
        <w:gridCol w:w="600"/>
        <w:gridCol w:w="113"/>
        <w:gridCol w:w="109"/>
        <w:gridCol w:w="109"/>
        <w:gridCol w:w="109"/>
        <w:gridCol w:w="288"/>
        <w:gridCol w:w="685"/>
        <w:gridCol w:w="228"/>
      </w:tblGrid>
      <w:tr>
        <w:trPr/>
        <w:tc>
          <w:tcPr>
            <w:tcW w:w="1934"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grant</w:t>
              <w:br/>
              <w:t>date fair</w:t>
              <w:br/>
              <w:t>value</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restricted shares, January 1, 2025</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593,526 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338,705 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(193,096)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Forfeitures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restricted shares, March 31, 2025</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738,947 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unrecognized compensation expense remaining (in thousands)</w:t>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4,564 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years expected to be recognized over</w:t>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fair value of restricted stock that vested during the three months ended March 31, 2025 was $1.0 million.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shares</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Company’s board of directors (the “Board of Directors”). The shares are subject to the terms and conditions of the Company’s Plan.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performance-based award activity and related information for the three months ended March 31, 2025 is as follows:</w:t>
      </w:r>
    </w:p>
    <w:tbl>
      <w:tblPr>
        <w:tblW w:w="8007" w:type="dxa"/>
        <w:jc w:val="left"/>
        <w:tblInd w:w="0" w:type="dxa"/>
        <w:tblLayout w:type="fixed"/>
        <w:tblCellMar>
          <w:top w:w="28" w:type="dxa"/>
          <w:left w:w="28" w:type="dxa"/>
          <w:bottom w:w="28" w:type="dxa"/>
          <w:right w:w="28" w:type="dxa"/>
        </w:tblCellMar>
      </w:tblPr>
      <w:tblGrid>
        <w:gridCol w:w="1935"/>
        <w:gridCol w:w="1699"/>
        <w:gridCol w:w="1706"/>
        <w:gridCol w:w="259"/>
        <w:gridCol w:w="736"/>
        <w:gridCol w:w="144"/>
        <w:gridCol w:w="109"/>
        <w:gridCol w:w="109"/>
        <w:gridCol w:w="109"/>
        <w:gridCol w:w="288"/>
        <w:gridCol w:w="685"/>
        <w:gridCol w:w="228"/>
      </w:tblGrid>
      <w:tr>
        <w:trPr/>
        <w:tc>
          <w:tcPr>
            <w:tcW w:w="1935"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Performance-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based stock</w:t>
            </w:r>
          </w:p>
          <w:p>
            <w:pPr>
              <w:pStyle w:val="TableContents"/>
              <w:bidi w:val="0"/>
              <w:spacing w:lineRule="auto" w:line="240" w:before="0" w:after="0"/>
              <w:jc w:val="center"/>
              <w:rPr/>
            </w:pPr>
            <w:r>
              <w:rPr>
                <w:rFonts w:ascii="Times New Roman;sans-serif" w:hAnsi="Times New Roman;sans-serif"/>
                <w:b/>
                <w:color w:val="000000"/>
                <w:sz w:val="18"/>
              </w:rPr>
              <w:t xml:space="preserve">awards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grant</w:t>
              <w:br/>
              <w:t>date fair</w:t>
              <w:br/>
              <w:t>value</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performance-based awards, January 1, 2025</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529,407 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331,561 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Forfeitures</w:t>
            </w:r>
            <w:r>
              <w:rPr>
                <w:rFonts w:ascii="Times New Roman;sans-serif" w:hAnsi="Times New Roman;sans-serif"/>
                <w:b w:val="false"/>
                <w:color w:val="000000"/>
                <w:sz w:val="12"/>
              </w:rPr>
              <w:t>(2)</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(123,069)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performance-based awards, March 31, 2025</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737,899 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unrecognized compensation expense remaining (in thousands)</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3,197 </w:t>
            </w:r>
          </w:p>
        </w:tc>
        <w:tc>
          <w:tcPr>
            <w:tcW w:w="14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years expected to be recognized over</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Represents the target number of shares to be issued for each performance-based award.</w:t>
      </w:r>
    </w:p>
    <w:p>
      <w:pPr>
        <w:pStyle w:val="TextBody"/>
        <w:bidi w:val="0"/>
        <w:spacing w:lineRule="auto" w:line="288" w:before="60" w:after="283"/>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16"/>
        </w:rPr>
        <w:t>Includes the forfeiture of performance-based awards granted in 2022 as the performance metric was not attained.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Cash-settled performance-based awards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cash-settled performance-based award represents the right to receive up to 150% of the target number of deferred stock units with payment in cash equivalent to the value of one share of the Company's common stock. The number of deferred stock units earned will be determined based on the attainment of specified performance goals at the end of the performance period, as determined by the Compensation Committee of the Board of Directors. The cash-settled performance-based awards are subject to the terms and conditions of the Company’s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cash-settled performance-based awards activity and related information for the three months ended March 31, 2025 is as follows:</w:t>
      </w:r>
    </w:p>
    <w:tbl>
      <w:tblPr>
        <w:tblW w:w="10180" w:type="dxa"/>
        <w:jc w:val="left"/>
        <w:tblInd w:w="0" w:type="dxa"/>
        <w:tblLayout w:type="fixed"/>
        <w:tblCellMar>
          <w:top w:w="28" w:type="dxa"/>
          <w:left w:w="28" w:type="dxa"/>
          <w:bottom w:w="28" w:type="dxa"/>
          <w:right w:w="28" w:type="dxa"/>
        </w:tblCellMar>
      </w:tblPr>
      <w:tblGrid>
        <w:gridCol w:w="1957"/>
        <w:gridCol w:w="1718"/>
        <w:gridCol w:w="1725"/>
        <w:gridCol w:w="937"/>
        <w:gridCol w:w="1943"/>
        <w:gridCol w:w="524"/>
        <w:gridCol w:w="109"/>
        <w:gridCol w:w="109"/>
        <w:gridCol w:w="109"/>
        <w:gridCol w:w="252"/>
        <w:gridCol w:w="599"/>
        <w:gridCol w:w="198"/>
      </w:tblGrid>
      <w:tr>
        <w:trPr/>
        <w:tc>
          <w:tcPr>
            <w:tcW w:w="1957"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Cash-settled performance-based awards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fair</w:t>
              <w:br/>
              <w:t>value</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cash-settled performance-based awards, January 1, 2025</w:t>
            </w:r>
          </w:p>
        </w:tc>
        <w:tc>
          <w:tcPr>
            <w:tcW w:w="2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82,176 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Forfeitures</w:t>
            </w:r>
            <w:r>
              <w:rPr>
                <w:rFonts w:ascii="Times New Roman;sans-serif" w:hAnsi="Times New Roman;sans-serif"/>
                <w:b w:val="false"/>
                <w:color w:val="000000"/>
                <w:sz w:val="12"/>
              </w:rPr>
              <w:t>(2)</w:t>
            </w:r>
          </w:p>
        </w:tc>
        <w:tc>
          <w:tcPr>
            <w:tcW w:w="2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(82,176)</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cash-settled performance-based awards, March 31, 2025</w:t>
            </w:r>
          </w:p>
        </w:tc>
        <w:tc>
          <w:tcPr>
            <w:tcW w:w="2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unrecognized compensation expense remaining (in thousands)</w:t>
            </w:r>
          </w:p>
        </w:tc>
        <w:tc>
          <w:tcPr>
            <w:tcW w:w="9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years expected to be recognized over</w:t>
            </w:r>
          </w:p>
        </w:tc>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Represents the target number of units to be settled in cash. </w:t>
      </w:r>
    </w:p>
    <w:p>
      <w:pPr>
        <w:pStyle w:val="TextBody"/>
        <w:bidi w:val="0"/>
        <w:spacing w:lineRule="auto" w:line="288" w:before="60" w:after="283"/>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Includes the forfeiture of performance-based awards granted in 2022 as the performance metric was not attained.</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stock compensation expense as follows (in thousands):</w:t>
      </w:r>
    </w:p>
    <w:tbl>
      <w:tblPr>
        <w:tblW w:w="6609" w:type="dxa"/>
        <w:jc w:val="left"/>
        <w:tblInd w:w="0" w:type="dxa"/>
        <w:tblLayout w:type="fixed"/>
        <w:tblCellMar>
          <w:top w:w="28" w:type="dxa"/>
          <w:left w:w="28" w:type="dxa"/>
          <w:bottom w:w="28" w:type="dxa"/>
          <w:right w:w="28" w:type="dxa"/>
        </w:tblCellMar>
      </w:tblPr>
      <w:tblGrid>
        <w:gridCol w:w="1526"/>
        <w:gridCol w:w="1342"/>
        <w:gridCol w:w="1346"/>
        <w:gridCol w:w="196"/>
        <w:gridCol w:w="556"/>
        <w:gridCol w:w="109"/>
        <w:gridCol w:w="109"/>
        <w:gridCol w:w="109"/>
        <w:gridCol w:w="109"/>
        <w:gridCol w:w="196"/>
        <w:gridCol w:w="421"/>
        <w:gridCol w:w="109"/>
        <w:gridCol w:w="109"/>
        <w:gridCol w:w="109"/>
        <w:gridCol w:w="109"/>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 Compensation Expense Components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based stock option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and performance-based stock awards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 compensation expense for equity based awards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based stock option expense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 Compensation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9 —LOSS PER COMMON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loss per common share has been computed by dividing net loss by the weighted-average number of shares of the Company’s common stock outstanding during the relevant period. Diluted loss per common share adjusts net loss and basic loss per common share for the effect of all potentially dilutive shares of the Company’s common stock. Anti-dilutive securities are not included in the computation of diluted earnings per share under the treasury stock method.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calculations of basic and diluted loss per common share for the three months ended March 31, 2025 and 2024 are as follows:</w:t>
      </w:r>
    </w:p>
    <w:tbl>
      <w:tblPr>
        <w:tblW w:w="7242" w:type="dxa"/>
        <w:jc w:val="left"/>
        <w:tblInd w:w="0" w:type="dxa"/>
        <w:tblLayout w:type="fixed"/>
        <w:tblCellMar>
          <w:top w:w="28" w:type="dxa"/>
          <w:left w:w="28" w:type="dxa"/>
          <w:bottom w:w="28" w:type="dxa"/>
          <w:right w:w="28" w:type="dxa"/>
        </w:tblCellMar>
      </w:tblPr>
      <w:tblGrid>
        <w:gridCol w:w="1362"/>
        <w:gridCol w:w="1199"/>
        <w:gridCol w:w="1204"/>
        <w:gridCol w:w="267"/>
        <w:gridCol w:w="861"/>
        <w:gridCol w:w="148"/>
        <w:gridCol w:w="148"/>
        <w:gridCol w:w="148"/>
        <w:gridCol w:w="148"/>
        <w:gridCol w:w="267"/>
        <w:gridCol w:w="861"/>
        <w:gridCol w:w="148"/>
        <w:gridCol w:w="109"/>
        <w:gridCol w:w="109"/>
        <w:gridCol w:w="109"/>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per share amounts)</w:t>
            </w:r>
          </w:p>
        </w:tc>
        <w:tc>
          <w:tcPr>
            <w:tcW w:w="481" w:type="dxa"/>
            <w:gridSpan w:val="4"/>
            <w:tcBorders/>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loss – Basic and 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Weighted-average shares outstanding – Basic </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21,592 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Effect of dilutive securities:</w:t>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18"/>
              </w:rPr>
              <w:t>Stock options and other stock awards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shares outstanding – Diluted</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21,592 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Basic loss per common share</w:t>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(0.29)</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Diluted loss per common share</w:t>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w:t>
            </w:r>
          </w:p>
        </w:tc>
        <w:tc>
          <w:tcPr>
            <w:tcW w:w="1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(0.29)</w:t>
            </w:r>
          </w:p>
        </w:tc>
        <w:tc>
          <w:tcPr>
            <w:tcW w:w="1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Antidilutive Securities</w:t>
            </w:r>
            <w:r>
              <w:rPr>
                <w:rFonts w:ascii="Times New Roman;sans-serif" w:hAnsi="Times New Roman;sans-serif"/>
                <w:b/>
                <w:color w:val="000000"/>
                <w:sz w:val="12"/>
              </w:rPr>
              <w:t>(1)</w:t>
            </w:r>
          </w:p>
        </w:tc>
        <w:tc>
          <w:tcPr>
            <w:tcW w:w="12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Stock options and other stock awards that have been excluded from the denominator as their inclusion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10—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of $0.1 million and provision of $0.2 million for the three months ended March 31, 2025 and 2024, respectively, represent taxes on both U.S. and foreign earnings at a combined effective income tax benefit rate of 3.3% and provision rate of (5.3)%, respectively. The negative rate for the three months ended March 31, 2024 reflects tax expense on a pretax financial reporting loss. The effective tax rate for the three months ended March 31, 2025 differs from the federal statutory income tax rate of 21.0% primarily due to foreign losses for which no tax benefit is recognized as such amounts are fully offset with a valuation allowance. The effective tax rate for the three months ended March 31, 2024 differs from the federal statutory income tax rate of 21.0% primarily due to the expiration of non-qualified stock options and the vesting of equity-based awards, where the book expense exceeded the tax deduction upon vesting, and foreign losses for which no tax benefit is recognized as such amounts are fully offset with a valuation allowance.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identified the following jurisdictions as “major” tax jurisdictions: U.S. Federal, California, Massachusetts, New Jersey, New York and the United Kingdom.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tax positions on a quarterly basis and revises its estimates accordingly. There were no material changes to the Company’s uncertain tax positions, interest, or penalties during the three-month periods ended March 31, 2025 and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11 – BUSINESS SEGMENTS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Segment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in two reportable segments: U.S. and International. The U.S. segment is the Company’s domestic business that designs, markets and distributes its products to retailers and distributors, as well as directly to consumers through third parties and its own internet websites primarily in the U.S.. The International segment is the Company’s international business that sells and distributes products to consumers primarily in the U.K., the European Union and the Asia Pacific region.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chief operation decision maker (“CODM”) is the Company’s Chief Executive Officer. The Company has segmented its operations to reflect the manner in which the CODM reviews and evaluates the results of its operations. The CODM allocates operating and capital resources and evaluates the performance of the Company’s segments based on segment net sales, segment gross margin, and segment income from operations. Such measures give recognition to specifically identifiable operating costs. Significant segment expenses that are included in segment operating income consist of cost of sales, distribution expenses (which include freight-out expenses and warehouse expenses) and selling, general and administrative expenses.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general and administrative expenses are not allocated to the Company’s segments as these represent corporate level activities and are reflected below as unallocated corporate expenses. These costs primarily include senior executive salaries and benefits, stock compensation, director fees and accounting, legal fees and consulting fees.</w:t>
      </w:r>
    </w:p>
    <w:tbl>
      <w:tblPr>
        <w:tblW w:w="6729" w:type="dxa"/>
        <w:jc w:val="left"/>
        <w:tblInd w:w="0" w:type="dxa"/>
        <w:tblLayout w:type="fixed"/>
        <w:tblCellMar>
          <w:top w:w="28" w:type="dxa"/>
          <w:left w:w="28" w:type="dxa"/>
          <w:bottom w:w="28" w:type="dxa"/>
          <w:right w:w="28" w:type="dxa"/>
        </w:tblCellMar>
      </w:tblPr>
      <w:tblGrid>
        <w:gridCol w:w="1315"/>
        <w:gridCol w:w="1155"/>
        <w:gridCol w:w="1159"/>
        <w:gridCol w:w="211"/>
        <w:gridCol w:w="826"/>
        <w:gridCol w:w="109"/>
        <w:gridCol w:w="109"/>
        <w:gridCol w:w="109"/>
        <w:gridCol w:w="109"/>
        <w:gridCol w:w="211"/>
        <w:gridCol w:w="826"/>
        <w:gridCol w:w="109"/>
        <w:gridCol w:w="109"/>
        <w:gridCol w:w="109"/>
        <w:gridCol w:w="109"/>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Performance Measures:</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margin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Unallocated corporate income (expenses)</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Unallocated corporate income for the three months ended March 31, 2025 included a net legal settlement gain of $6.4 million. Details see NOTE 12 — CONTINGENCIES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8035" w:type="dxa"/>
        <w:jc w:val="left"/>
        <w:tblInd w:w="0" w:type="dxa"/>
        <w:tblLayout w:type="fixed"/>
        <w:tblCellMar>
          <w:top w:w="28" w:type="dxa"/>
          <w:left w:w="28" w:type="dxa"/>
          <w:bottom w:w="28" w:type="dxa"/>
          <w:right w:w="28" w:type="dxa"/>
        </w:tblCellMar>
      </w:tblPr>
      <w:tblGrid>
        <w:gridCol w:w="1863"/>
        <w:gridCol w:w="1637"/>
        <w:gridCol w:w="1645"/>
        <w:gridCol w:w="211"/>
        <w:gridCol w:w="721"/>
        <w:gridCol w:w="109"/>
        <w:gridCol w:w="109"/>
        <w:gridCol w:w="109"/>
        <w:gridCol w:w="109"/>
        <w:gridCol w:w="211"/>
        <w:gridCol w:w="721"/>
        <w:gridCol w:w="109"/>
        <w:gridCol w:w="109"/>
        <w:gridCol w:w="109"/>
        <w:gridCol w:w="109"/>
        <w:gridCol w:w="154"/>
      </w:tblGrid>
      <w:tr>
        <w:trPr/>
        <w:tc>
          <w:tcPr>
            <w:tcW w:w="1863"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information for significant segment expenses:</w:t>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sales: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Freight-out expenses: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freight-out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Warehouse expenses: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warehouse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Selling, general and administrative expenses: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Unallocated corporate (income) expenses</w:t>
            </w:r>
            <w:r>
              <w:rPr>
                <w:rFonts w:ascii="Times New Roman;sans-serif" w:hAnsi="Times New Roman;sans-serif"/>
                <w:b w:val="false"/>
                <w:color w:val="000000"/>
                <w:sz w:val="10"/>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selling, general and administrative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Unallocated corporate income for the three months ended March 31, 2025 included a net legal settlement gain of $6.4 million. Details see NOTE 12 — CONTINGENCIES</w:t>
      </w:r>
    </w:p>
    <w:tbl>
      <w:tblPr>
        <w:tblW w:w="5288" w:type="dxa"/>
        <w:jc w:val="left"/>
        <w:tblInd w:w="0" w:type="dxa"/>
        <w:tblLayout w:type="fixed"/>
        <w:tblCellMar>
          <w:top w:w="28" w:type="dxa"/>
          <w:left w:w="28" w:type="dxa"/>
          <w:bottom w:w="28" w:type="dxa"/>
          <w:right w:w="28" w:type="dxa"/>
        </w:tblCellMar>
      </w:tblPr>
      <w:tblGrid>
        <w:gridCol w:w="1103"/>
        <w:gridCol w:w="969"/>
        <w:gridCol w:w="972"/>
        <w:gridCol w:w="211"/>
        <w:gridCol w:w="616"/>
        <w:gridCol w:w="109"/>
        <w:gridCol w:w="109"/>
        <w:gridCol w:w="109"/>
        <w:gridCol w:w="109"/>
        <w:gridCol w:w="211"/>
        <w:gridCol w:w="616"/>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696" w:type="dxa"/>
        <w:jc w:val="left"/>
        <w:tblInd w:w="0" w:type="dxa"/>
        <w:tblLayout w:type="fixed"/>
        <w:tblCellMar>
          <w:top w:w="28" w:type="dxa"/>
          <w:left w:w="28" w:type="dxa"/>
          <w:bottom w:w="28" w:type="dxa"/>
          <w:right w:w="28" w:type="dxa"/>
        </w:tblCellMar>
      </w:tblPr>
      <w:tblGrid>
        <w:gridCol w:w="693"/>
        <w:gridCol w:w="611"/>
        <w:gridCol w:w="615"/>
        <w:gridCol w:w="211"/>
        <w:gridCol w:w="826"/>
        <w:gridCol w:w="109"/>
        <w:gridCol w:w="109"/>
        <w:gridCol w:w="109"/>
        <w:gridCol w:w="109"/>
        <w:gridCol w:w="231"/>
        <w:gridCol w:w="905"/>
        <w:gridCol w:w="168"/>
      </w:tblGrid>
      <w:tr>
        <w:trPr/>
        <w:tc>
          <w:tcPr>
            <w:tcW w:w="69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542,420 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634,310 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pPr>
      <w:r>
        <w:rPr>
          <w:rFonts w:ascii="Times New Roman;sans-serif" w:hAnsi="Times New Roman;sans-serif"/>
          <w:b/>
          <w:color w:val="000000"/>
          <w:sz w:val="20"/>
        </w:rPr>
        <w:t>NOTE 12</w:t>
      </w:r>
      <w:r>
        <w:rPr>
          <w:color w:val="000000"/>
        </w:rPr>
        <w:t xml:space="preserve"> — </w:t>
      </w:r>
      <w:r>
        <w:rPr>
          <w:rFonts w:ascii="Times New Roman;sans-serif" w:hAnsi="Times New Roman;sans-serif"/>
          <w:b/>
          <w:color w:val="000000"/>
          <w:sz w:val="20"/>
        </w:rPr>
        <w:t>CONTINGENCIES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Wallace EPA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Wallace Silversmiths de Puerto Rico, Ltd. (“WSPR”), a wholly-owned subsidiary of the Company, operates a manufacturing facility in San Germán, Puerto Rico that is leased from the Puerto Rico Industrial Development Company (“PRIDCO”). In March 2008, the U.S. Environmental Protection Agency (the “EPA”) announced that the San Germán Ground Water Contamination site in Puerto Rico (the “Site”) had been added to the Superfund National Priorities List due to organic compounds present in the local drinking water supply.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In order to protect the health of its employees and continue its business operations, WSPR has implemented corrective action measures to respond to vapor intrusion, such as sealing the floors of the building and conducting periodic air monitoring to address potential exposure.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13, 2015, the EPA released its remedial investigation and feasibility study (“RI/FS”) for the Site. On December 11, 2015, the EPA issued the Record of Decision (“ROD”) for an initial operable unit (“OU-1”),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In February 2017, the EPA indicated that it planned to expand its field investigation for the RI/FS to a second operable unit (“OU-2”) to determine the nature and extent of the groundwater damage at and from the Site and to determine the nature of the remedial action needed to address the damage. The EPA requested access to the property occupied by WSPR to install monitoring wells and to undertake groundwater sampling as part of this expanded investigation. WSPR consented to the EPA’s access request, provided that the EPA received PRIDCO’s consent as the property owner. The EPA has also issued notices of potential liability to a number of other entities affiliated with the Site, which used the organic compounds of concern.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2018, the Company, WSPR, and other identified potentially responsible parties affiliated with the Site entered into tolling agreements with the U.S. government to extend the statute of limitations for potential claims for the recovery of response costs for the initial operable unit under Section 107 of CERCLA. The tolling agreements have been extended multiple times and currently expire in November 2025. The tolling agreements do not constitute in any way an admission or acknowledgment of any fact, conclusion of law, or liability by the parties to the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EPA released its proposed plan for OU-2 in July 2019, and on September 30, 2019, the EPA issued the ROD for OU-2. The EPA elected to implement its preferred remedy consisting of in-situ treatment of groundwater and a monitored natural attenuation program including monitoring of the plume fringe at the Site. The EPA’s estimated total net present worth cost for its selected remedy for OU-2 is $17.3 million, and the EPA is currently leading remediation of OU-2.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WSPR received a Notice of Liability for the Site from the Department of Justice on behalf of the EPA, and in September 2021, WSPR responded with a good faith offer to conduct additional testing and remedial design work for OU-1. WSPR has actively participated in negotiations among the U.S. Government (the Department of Justice and the EPA) and other potentially responsible parties with respect to the remedial work at OU-1, which negotiations culminated in the finalization of a Consent Decree for Remedial Design and Remedial Action at Operable Unit One of the San German Groundwater Contamination Site (“Decree”). On July 26, 2023, the U.S. Government filed a complaint in United States District Court for the District of Puerto Rico for the purpose of seeking judicial approval of the Decree. As required by applicable regulations, the U.S. Government simultaneously lodged the Decree for public comment. No comments were received during the public comment period. On September 6, 2023, at the conclusion of the public comment period, the U.S. Government filed a Motion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pPr>
      <w:r>
        <w:rPr>
          <w:rFonts w:ascii="Times New Roman;sans-serif" w:hAnsi="Times New Roman;sans-serif"/>
          <w:b w:val="false"/>
          <w:color w:val="000000"/>
          <w:sz w:val="20"/>
        </w:rPr>
        <w:t>to Enter the Decree, and the court entered the Decree into order on December 14, 2023, thereby effectuating the Decree. On January 10, 2024, EPA issued a notice to proceed with the OU-1 remedial work.</w:t>
      </w:r>
      <w:r>
        <w:rPr>
          <w:color w:val="000000"/>
        </w:rPr>
        <w:t xml:space="preserve"> </w:t>
      </w:r>
      <w:r>
        <w:rPr>
          <w:rFonts w:ascii="Times New Roman;sans-serif" w:hAnsi="Times New Roman;sans-serif"/>
          <w:b w:val="false"/>
          <w:color w:val="000000"/>
          <w:sz w:val="20"/>
        </w:rPr>
        <w:t>The Company thereafter commenced remedial work on OU-1 in accordance with the Decree.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reserved $5.6 million to cover probable and estimable liabilities with respect to the above remedial design and remedial action for the initial operable unit. However, it is not possible at this time for the Company to estimate its share of its ultimate liability for the Site. In the event of one or more adverse determinations related to this matter, it is possible that the ultimate liability resulting from this matter and the impact on the Company’s results of operations could be material. As of March 31, 2025, the remaining liability is $5.4 million.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Settlement Gain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2015, Taylor Precision Products, Inc. (“Taylor” and/or the “Plaintiff”), acquired by the Company on March 2, 2018, commenced a legal action related to a 2013 acquisition, alleging that the seller failed to sufficiently disclose certain adverse information as part of the acquisition. In February 2025, the Company received a net settlement of $6.4 million, which consisted of a $7.0 million settlement less $0.6 million in legal fees related to this case. The Company recognized the gain in selling, general and administrative expenses in the condensed consolidated statement of operations for the quarter ended March 31, 2025.</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pPr>
      <w:r>
        <w:rPr>
          <w:rFonts w:ascii="Times New Roman;sans-serif" w:hAnsi="Times New Roman;sans-serif"/>
          <w:b/>
          <w:color w:val="000000"/>
          <w:sz w:val="20"/>
        </w:rPr>
        <w:t>NOTE 13 </w:t>
      </w:r>
      <w:r>
        <w:rPr>
          <w:color w:val="000000"/>
        </w:rPr>
        <w:t>— </w:t>
      </w:r>
      <w:r>
        <w:rPr>
          <w:rFonts w:ascii="Times New Roman;sans-serif" w:hAnsi="Times New Roman;sans-serif"/>
          <w:b/>
          <w:color w:val="000000"/>
          <w:sz w:val="20"/>
        </w:rPr>
        <w:t>OTHER</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Cash dividends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declared in the three months ended March 31, 2025 were as follows: </w:t>
      </w:r>
    </w:p>
    <w:tbl>
      <w:tblPr>
        <w:tblW w:w="6130" w:type="dxa"/>
        <w:jc w:val="left"/>
        <w:tblInd w:w="0" w:type="dxa"/>
        <w:tblLayout w:type="fixed"/>
        <w:tblCellMar>
          <w:top w:w="28" w:type="dxa"/>
          <w:left w:w="28" w:type="dxa"/>
          <w:bottom w:w="28" w:type="dxa"/>
          <w:right w:w="28" w:type="dxa"/>
        </w:tblCellMar>
      </w:tblPr>
      <w:tblGrid>
        <w:gridCol w:w="576"/>
        <w:gridCol w:w="507"/>
        <w:gridCol w:w="508"/>
        <w:gridCol w:w="109"/>
        <w:gridCol w:w="109"/>
        <w:gridCol w:w="109"/>
        <w:gridCol w:w="385"/>
        <w:gridCol w:w="385"/>
        <w:gridCol w:w="386"/>
        <w:gridCol w:w="109"/>
        <w:gridCol w:w="109"/>
        <w:gridCol w:w="109"/>
        <w:gridCol w:w="400"/>
        <w:gridCol w:w="400"/>
        <w:gridCol w:w="401"/>
        <w:gridCol w:w="109"/>
        <w:gridCol w:w="109"/>
        <w:gridCol w:w="109"/>
        <w:gridCol w:w="351"/>
        <w:gridCol w:w="351"/>
        <w:gridCol w:w="499"/>
      </w:tblGrid>
      <w:tr>
        <w:trPr/>
        <w:tc>
          <w:tcPr>
            <w:tcW w:w="57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Date of record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Payment date</w:t>
            </w:r>
          </w:p>
        </w:tc>
      </w:tr>
      <w:tr>
        <w:trPr/>
        <w:tc>
          <w:tcPr>
            <w:tcW w:w="1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5/15/2025</w:t>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Company paid dividends of $1.0 million. This included payments made on February 14, 2025 of $0.9 million to stockholders of record on January 31, 2025 and payments of $0.1 million for dividends payable upon the vesting of restricted shares.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2025, the Company reduced retained earnings for the accrual of $1.0 million relating to the dividend payable on May 15, 2025.</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repurchase program</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14, 2022, the Company announced that its Board of Directors of the Company authorized the repurchase of up to $20.0 million of the Company’s common stock, replacing the Company’s previously-authorized $10.0 million share repurchase program. The repurchase authorization permits the Company to effect repurchases from time to time through open market purchases and privately negotiated transactions. No shares were repurchased during the three months ended March 31, 2025. As of March 31, 2025, the remaining dollar amount available for repurchases under the Board of Directors’ authorized plan was $11.1 million.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bl>
      <w:tblPr>
        <w:tblW w:w="6068" w:type="dxa"/>
        <w:jc w:val="left"/>
        <w:tblInd w:w="0" w:type="dxa"/>
        <w:tblLayout w:type="fixed"/>
        <w:tblCellMar>
          <w:top w:w="28" w:type="dxa"/>
          <w:left w:w="28" w:type="dxa"/>
          <w:bottom w:w="28" w:type="dxa"/>
          <w:right w:w="28" w:type="dxa"/>
        </w:tblCellMar>
      </w:tblPr>
      <w:tblGrid>
        <w:gridCol w:w="1441"/>
        <w:gridCol w:w="1263"/>
        <w:gridCol w:w="1270"/>
        <w:gridCol w:w="196"/>
        <w:gridCol w:w="556"/>
        <w:gridCol w:w="109"/>
        <w:gridCol w:w="109"/>
        <w:gridCol w:w="109"/>
        <w:gridCol w:w="109"/>
        <w:gridCol w:w="196"/>
        <w:gridCol w:w="55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 net of refunds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accumulated other comprehensive loss, net</w:t>
      </w:r>
    </w:p>
    <w:tbl>
      <w:tblPr>
        <w:tblW w:w="7885" w:type="dxa"/>
        <w:jc w:val="left"/>
        <w:tblInd w:w="0" w:type="dxa"/>
        <w:tblLayout w:type="fixed"/>
        <w:tblCellMar>
          <w:top w:w="28" w:type="dxa"/>
          <w:left w:w="28" w:type="dxa"/>
          <w:bottom w:w="28" w:type="dxa"/>
          <w:right w:w="28" w:type="dxa"/>
        </w:tblCellMar>
      </w:tblPr>
      <w:tblGrid>
        <w:gridCol w:w="1818"/>
        <w:gridCol w:w="1601"/>
        <w:gridCol w:w="1606"/>
        <w:gridCol w:w="196"/>
        <w:gridCol w:w="721"/>
        <w:gridCol w:w="109"/>
        <w:gridCol w:w="109"/>
        <w:gridCol w:w="109"/>
        <w:gridCol w:w="109"/>
        <w:gridCol w:w="196"/>
        <w:gridCol w:w="721"/>
        <w:gridCol w:w="109"/>
        <w:gridCol w:w="109"/>
        <w:gridCol w:w="109"/>
        <w:gridCol w:w="109"/>
        <w:gridCol w:w="154"/>
      </w:tblGrid>
      <w:tr>
        <w:trPr/>
        <w:tc>
          <w:tcPr>
            <w:tcW w:w="181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Accumulated translation adjustment:</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Translation adjustment during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Accumulated deferred gains on cash flow hedges:</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unrealized (losses) gains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loss: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Settlement of cash flow hedge </w:t>
            </w:r>
            <w:r>
              <w:rPr>
                <w:rFonts w:ascii="Times New Roman;sans-serif" w:hAnsi="Times New Roman;sans-serif"/>
                <w:b w:val="false"/>
                <w:color w:val="000000"/>
                <w:sz w:val="12"/>
              </w:rPr>
              <w:t>(1)</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change in cash flow hedges, net of taxes of $0, $0 </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Accumulated effect of retirement benefit obligations:</w:t>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Amounts reclassified from accumulated other comprehensive loss:</w:t>
            </w:r>
            <w:r>
              <w:rPr>
                <w:color w:val="000000"/>
              </w:rPr>
              <w:t xml:space="preserve"> </w:t>
            </w:r>
            <w:r>
              <w:rPr>
                <w:rFonts w:ascii="Times New Roman;sans-serif" w:hAnsi="Times New Roman;sans-serif"/>
                <w:b w:val="false"/>
                <w:color w:val="000000"/>
                <w:sz w:val="12"/>
              </w:rPr>
              <w:t>(2)</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actuarial loss, net of taxes of $(1), $(4)</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accumulated other comprehensive loss at end of period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(33,245)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Amounts reclassified are recorded in cost of sales on the unaudited condensed consolidated statement of operations.</w:t>
      </w:r>
    </w:p>
    <w:p>
      <w:pPr>
        <w:pStyle w:val="TextBody"/>
        <w:bidi w:val="0"/>
        <w:spacing w:lineRule="auto" w:line="288" w:before="60" w:after="283"/>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16"/>
        </w:rPr>
        <w:t>Amounts are recorded in selling, general and administrative expense on the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jc w:val="left"/>
        <w:rPr/>
      </w:pPr>
      <w:r>
        <w:rPr>
          <w:rFonts w:ascii="Times New Roman;sans-serif" w:hAnsi="Times New Roman;sans-serif"/>
          <w:b w:val="false"/>
          <w:color w:val="000000"/>
          <w:sz w:val="20"/>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All statements other than statements of historical facts contained in this Quarterly Report on Form 10-Q are forward-looking statements.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When used in this Quarterly Report on Form 10-Q, the words “estimates,” “expects,” “intends,” “predicts,” “plans,” “believes,” “may,” “should,” “would,”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pStyle w:val="TextBody"/>
        <w:bidi w:val="0"/>
        <w:spacing w:lineRule="auto" w:line="288" w:before="240" w:after="283"/>
        <w:jc w:val="left"/>
        <w:rPr/>
      </w:pPr>
      <w:r>
        <w:rPr>
          <w:rFonts w:ascii="Times New Roman;sans-serif" w:hAnsi="Times New Roman;sans-serif"/>
          <w:b w:val="false"/>
          <w:color w:val="000000"/>
          <w:sz w:val="20"/>
        </w:rPr>
        <w:t xml:space="preserve">There are a number of risks and uncertainties that could cause the Company’s actual results to differ materially from the forward-looking statements contained in this Quarterly Report on Form 10-Q. Important factors that could cause the Company’s actual results to differ materially from those expressed as forward-looking statements include, without limitation, those set forth in the Company’s Annual Report on Form 10-K for the fiscal year ended December 31, 2024 (the “2024 Annual Report on Form 10-K”) in Part I, Item 1A under the heading </w:t>
      </w:r>
      <w:r>
        <w:rPr>
          <w:rFonts w:ascii="Times New Roman;sans-serif" w:hAnsi="Times New Roman;sans-serif"/>
          <w:b w:val="false"/>
          <w:i/>
          <w:color w:val="000000"/>
          <w:sz w:val="20"/>
        </w:rPr>
        <w:t xml:space="preserve">Risk Factors, </w:t>
      </w:r>
      <w:r>
        <w:rPr>
          <w:rFonts w:ascii="Times New Roman;sans-serif" w:hAnsi="Times New Roman;sans-serif"/>
          <w:b w:val="false"/>
          <w:color w:val="000000"/>
          <w:sz w:val="20"/>
        </w:rPr>
        <w:t>and in the Company’s subsequent filings with the U.S. Securities and Exchange Commission (the “SEC”). Such risks, uncertainties and other important factors include, among others, risks related to:</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Macroeconomic conditions, including labor disputes, depreciation of the U.S. dollar, volatility in the capital markets, inflationary impacts and disruptions to the global supply chain;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Increase in supply chain costs, including raw materials, sourcing, transportation and energy;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of tariffs and trade policies, particularly with respect to China;</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Indebtedness, compliance with credit agreements, and access to credit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Access to the capital markets and credit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seasonality of the Company’s cash flows;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Company’s ability to complete acquisitions or successfully integrate acquisitions;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Intense market competition, changing customer practices or preferences and inventory rationalization among retailers;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Dependence on third-party manufacturers;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Technology, cybersecurity and data privacy risks;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Geopolitical conditions, including political instability in the U.S. and abroad, unrest and sanctions, war, conflict, including the ongoing conflicts between Russia and the Ukraine, conflicts in the Middle East, and increasing tensions between China and Taiwan;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Product liability claims;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Reputational risks.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is required to file its Annual Reports on Forms 10-K, Quarterly Reports on Forms 10-Q, Current Reports on Form 8-K, and other reports and documents as required from time to time with the SEC. The Company also maintains a website at </w:t>
      </w:r>
      <w:r>
        <w:rPr>
          <w:rFonts w:ascii="Times New Roman;sans-serif" w:hAnsi="Times New Roman;sans-serif"/>
          <w:b w:val="false"/>
          <w:i/>
          <w:color w:val="000000"/>
          <w:sz w:val="20"/>
          <w:u w:val="single"/>
        </w:rPr>
        <w:t>http://www.lifetimebrands.com</w:t>
      </w:r>
      <w:r>
        <w:rPr>
          <w:rFonts w:ascii="Times New Roman;sans-serif" w:hAnsi="Times New Roman;sans-serif"/>
          <w:b w:val="false"/>
          <w:color w:val="000000"/>
          <w:sz w:val="20"/>
        </w:rPr>
        <w:t xml:space="preserve">. Information contained on this website is not a part of or incorporated by reference into this Quarterly Report on Form 10-Q. The Company makes available on its website the Company’s Annual Report on Form 10-K, Quarterly Reports on Form 10-Q, Current Reports on Form 8-K and any amendments to these reports as soon as reasonably practicable after these reports are filed with or furnished to the SEC. Users can access these reports free of charge on the Company’s website. The SEC also maintains a website that contains reports, proxy and information statements, and other information regarding the Company’s electronic filings with the SEC at </w:t>
      </w:r>
      <w:r>
        <w:rPr>
          <w:rFonts w:ascii="Times New Roman;sans-serif" w:hAnsi="Times New Roman;sans-serif"/>
          <w:b w:val="false"/>
          <w:i/>
          <w:color w:val="000000"/>
          <w:sz w:val="20"/>
          <w:u w:val="single"/>
        </w:rPr>
        <w:t>http://www.sec.gov.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ABOUT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designs, sources and sells branded kitchenware, tableware and other products used in the home. The Company’s product categories include two categories of products used to prepare, serve, and consume foods: Kitchenware (kitchen tools,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w:t>
      </w:r>
    </w:p>
    <w:p>
      <w:pPr>
        <w:pStyle w:val="TextBody"/>
        <w:bidi w:val="0"/>
        <w:spacing w:lineRule="auto" w:line="288" w:before="240" w:after="283"/>
        <w:jc w:val="left"/>
        <w:rPr/>
      </w:pPr>
      <w:r>
        <w:rPr>
          <w:rFonts w:ascii="Times New Roman;sans-serif" w:hAnsi="Times New Roman;sans-serif"/>
          <w:b w:val="false"/>
          <w:color w:val="000000"/>
          <w:sz w:val="20"/>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Times New Roman;sans-serif" w:hAnsi="Times New Roman;sans-serif"/>
          <w:b w:val="false"/>
          <w:color w:val="000000"/>
          <w:sz w:val="13"/>
        </w:rPr>
        <w:t>®</w:t>
      </w:r>
      <w:r>
        <w:rPr>
          <w:rFonts w:ascii="Times New Roman;sans-serif" w:hAnsi="Times New Roman;sans-serif"/>
          <w:b w:val="false"/>
          <w:color w:val="000000"/>
          <w:sz w:val="20"/>
        </w:rPr>
        <w:t>, KitchenAid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Mikasa</w:t>
      </w:r>
      <w:r>
        <w:rPr>
          <w:rFonts w:ascii="Times New Roman;sans-serif" w:hAnsi="Times New Roman;sans-serif"/>
          <w:b w:val="false"/>
          <w:color w:val="000000"/>
          <w:sz w:val="13"/>
        </w:rPr>
        <w:t>®</w:t>
      </w:r>
      <w:r>
        <w:rPr>
          <w:rFonts w:ascii="Times New Roman;sans-serif" w:hAnsi="Times New Roman;sans-serif"/>
          <w:b w:val="false"/>
          <w:color w:val="000000"/>
          <w:sz w:val="20"/>
        </w:rPr>
        <w:t>, Taylor</w:t>
      </w:r>
      <w:r>
        <w:rPr>
          <w:rFonts w:ascii="Times New Roman;sans-serif" w:hAnsi="Times New Roman;sans-serif"/>
          <w:b w:val="false"/>
          <w:color w:val="000000"/>
          <w:sz w:val="13"/>
        </w:rPr>
        <w:t>®</w:t>
      </w:r>
      <w:r>
        <w:rPr>
          <w:rFonts w:ascii="Times New Roman;sans-serif" w:hAnsi="Times New Roman;sans-serif"/>
          <w:b w:val="false"/>
          <w:color w:val="000000"/>
          <w:sz w:val="20"/>
        </w:rPr>
        <w:t>, Pfaltzgraff</w:t>
      </w:r>
      <w:r>
        <w:rPr>
          <w:rFonts w:ascii="Times New Roman;sans-serif" w:hAnsi="Times New Roman;sans-serif"/>
          <w:b w:val="false"/>
          <w:color w:val="000000"/>
          <w:sz w:val="13"/>
        </w:rPr>
        <w:t>®</w:t>
      </w:r>
      <w:r>
        <w:rPr>
          <w:rFonts w:ascii="Times New Roman;sans-serif" w:hAnsi="Times New Roman;sans-serif"/>
          <w:b w:val="false"/>
          <w:color w:val="000000"/>
          <w:sz w:val="20"/>
        </w:rPr>
        <w:t>, Built NY</w:t>
      </w:r>
      <w:r>
        <w:rPr>
          <w:rFonts w:ascii="Times New Roman;sans-serif" w:hAnsi="Times New Roman;sans-serif"/>
          <w:b w:val="false"/>
          <w:color w:val="000000"/>
          <w:sz w:val="13"/>
        </w:rPr>
        <w:t>®</w:t>
      </w:r>
      <w:r>
        <w:rPr>
          <w:rFonts w:ascii="Times New Roman;sans-serif" w:hAnsi="Times New Roman;sans-serif"/>
          <w:b w:val="false"/>
          <w:color w:val="000000"/>
          <w:sz w:val="20"/>
        </w:rPr>
        <w:t>, S’well</w:t>
      </w:r>
      <w:r>
        <w:rPr>
          <w:rFonts w:ascii="Times New Roman;sans-serif" w:hAnsi="Times New Roman;sans-serif"/>
          <w:b w:val="false"/>
          <w:color w:val="000000"/>
          <w:sz w:val="13"/>
        </w:rPr>
        <w:t>®</w:t>
      </w:r>
      <w:r>
        <w:rPr>
          <w:rFonts w:ascii="Times New Roman;sans-serif" w:hAnsi="Times New Roman;sans-serif"/>
          <w:b w:val="false"/>
          <w:color w:val="000000"/>
          <w:sz w:val="20"/>
        </w:rPr>
        <w:t>, Fred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&amp; Friends, KitchenCraft</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 Rabbit</w:t>
      </w:r>
      <w:r>
        <w:rPr>
          <w:rFonts w:ascii="Times New Roman;sans-serif" w:hAnsi="Times New Roman;sans-serif"/>
          <w:b w:val="false"/>
          <w:color w:val="000000"/>
          <w:sz w:val="13"/>
        </w:rPr>
        <w:t>®</w:t>
      </w:r>
      <w:r>
        <w:rPr>
          <w:rFonts w:ascii="Times New Roman;sans-serif" w:hAnsi="Times New Roman;sans-serif"/>
          <w:b w:val="false"/>
          <w:color w:val="000000"/>
          <w:sz w:val="20"/>
        </w:rPr>
        <w:t>, Kamenstein</w:t>
      </w:r>
      <w:r>
        <w:rPr>
          <w:rFonts w:ascii="Times New Roman;sans-serif" w:hAnsi="Times New Roman;sans-serif"/>
          <w:b w:val="false"/>
          <w:color w:val="000000"/>
          <w:sz w:val="13"/>
        </w:rPr>
        <w:t>®</w:t>
      </w:r>
      <w:r>
        <w:rPr>
          <w:rFonts w:ascii="Times New Roman;sans-serif" w:hAnsi="Times New Roman;sans-serif"/>
          <w:b w:val="false"/>
          <w:color w:val="000000"/>
          <w:sz w:val="20"/>
        </w:rPr>
        <w:t>, and Dolly</w:t>
      </w:r>
      <w:r>
        <w:rPr>
          <w:rFonts w:ascii="Times New Roman;sans-serif" w:hAnsi="Times New Roman;sans-serif"/>
          <w:b w:val="false"/>
          <w:color w:val="000000"/>
          <w:sz w:val="13"/>
        </w:rPr>
        <w:t>®</w:t>
      </w:r>
      <w:r>
        <w:rPr>
          <w:rFonts w:ascii="Times New Roman;sans-serif" w:hAnsi="Times New Roman;sans-serif"/>
          <w:b w:val="false"/>
          <w:color w:val="000000"/>
          <w:sz w:val="20"/>
        </w:rPr>
        <w:t>.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purchases almost all of its product from third-party manufacturers outside the U.S., primarily in China. This concentration in suppliers exposes the Company to risks associated with doing business globally, including risks relating to the tariffs recently implemented and that may be implemented in the future.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9, 2025, the U.S. has imposed an aggregate 145% tariff on imports from China. Other recent tariff policy updates that went into effect in April 2025 include a 10% universal tariff for all countries and reciprocal tariffs for specific countries, which have been paused for 90 days. As the Company sources almost all of its products from suppliers located outside the United States, primarily in China, any new or increased tariffs, quotas, embargoes, or other trade barriers could impact our supply chain and cost structure. Additionally, retaliatory measures by affected countries, could further disrupt operations or reduce our competitiveness in international markets. The Company continues to monitor these changing tariffs and trade restrictions. The Company is developing a plan to mitigate the impact of the increase price of goods imported by the Company into the U.S. The Company may seek to increase prices to its customers, negotiate product costs with its suppliers and further diversify its imports to countries that are expected to be subject to lower tariffs. To the extent the tariffs remain in place and the Company cannot mitigate the impact of the increase on the price of goods imported by the Company into the U.S., it may result in lower gross margin that the Company realizes from the sale of its products which could materially adversely affect the Company’s results of operations and financial condition and result in an impairment of our long-lived assets, including goodwill within the U.S. segment reporting unit.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2025, the Company announced the relocation of the Company’s east coast distribution facility currently located in Robbinsville, NJ (the “Robbinsville Facility”) to a warehouse and distribution space in Hagerstown, Maryland (the “Hagerstown Facility”). In connection with the relocation, the Company will exit the Robbinsville Facility. The Company expects to incur one-time exit costs up to $7.0 million for employee severance, certain employee relocation costs, and remaining lease costs for the Robbinsville Facility, which costs are expected to be incurred in 2025 and 2026.</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Hagerstown Facility will require capital expenditures for equipment and certain leasehold improvements of approximately $10.0 million. One-time relocation costs are estimated to be up to $7.0 million, which includes recruitment, relocation of inventory, set up costs and lease expenses prior to the Hagerstown Facility being fully operational. These one-time costs are expected to be incurred in 2026. The Company expects that the Hagerstown Facility will be operational by the second quarter of 2026. Additionally, in connection with the relocation to the Hagerstown Facility, the Company will receive tax abatement and incentives over the term of the Lease from the State of Maryland and Washington County, Maryland totaling approximately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$13.1 million. These incentives include real property tax abatement, employee state withholding tax credit, conditional grants and income tax credits.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2025, the Company launched Project Concord, management's comprehensive plan to propel growth and streamline the cost structure of the International segment. The Company expects this plan to improve future results in its International segment through sales growth and the identification costs efficiencies.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BUSINESS SEGMENTS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in two reportable segments: U.S. and International. The U.S. segment is the Company’s domestic business that designs, markets and distributes its products to retailers and distributors, as well as directly to consumers through third parties and its own internet websites primarily in the U.S.. The International segment is the Company’s international business that sells and distributes products to consumers primarily in the U.K., the European Union and the Asia Pacific region.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regarding the Company’s reportable segments is included in NOTE 11 – BUSINESS SEGMENTS of the Notes to the condensed consolidated financial statements included in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business and working capital needs are seasonal, with a majority of sales occurring in the third and fourth quarters. In 2024 and 2023, net sales for the third and fourth quarters accounted for 58% and 57% of total annual net sales, respectively. In anticipation of the pre-holiday shipping season, inventory levels increase primarily in the June through October time period. The increase in inventory levels at March 31, 2025 compared to December 31, 2024 was due to preemptive measures taken in anticipation of, and designed to mitigate, the impact of the tariffs that went into effective in April 2025.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Consistent with the seasonality of the Company’s net sales and inventory levels, the Company also experiences seasonality in its inventory turnover and turnover days from one quarter to the next.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jc w:val="left"/>
        <w:rPr/>
      </w:pPr>
      <w:r>
        <w:rPr>
          <w:rFonts w:ascii="Times New Roman;sans-serif" w:hAnsi="Times New Roman;sans-serif"/>
          <w:b w:val="false"/>
          <w:color w:val="000000"/>
          <w:sz w:val="20"/>
        </w:rPr>
        <w:t xml:space="preserve">There have been no material changes to the Company’s critical accounting estimates discussed in the 2024 Annual Report on Form 10-K in Item 7 under the heading </w:t>
      </w:r>
      <w:r>
        <w:rPr>
          <w:rFonts w:ascii="Times New Roman;sans-serif" w:hAnsi="Times New Roman;sans-serif"/>
          <w:b w:val="false"/>
          <w:i/>
          <w:color w:val="000000"/>
          <w:sz w:val="20"/>
        </w:rPr>
        <w:t>Management’s Discussion and Analysis of Financial Condition and Results of Operations – Critical Accounting Policies and Estimates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statements of operations data of the Company as a percentage of net sales for the periods indicated:</w:t>
      </w:r>
    </w:p>
    <w:tbl>
      <w:tblPr>
        <w:tblW w:w="6290" w:type="dxa"/>
        <w:jc w:val="left"/>
        <w:tblInd w:w="0" w:type="dxa"/>
        <w:tblLayout w:type="fixed"/>
        <w:tblCellMar>
          <w:top w:w="28" w:type="dxa"/>
          <w:left w:w="28" w:type="dxa"/>
          <w:bottom w:w="28" w:type="dxa"/>
          <w:right w:w="28" w:type="dxa"/>
        </w:tblCellMar>
      </w:tblPr>
      <w:tblGrid>
        <w:gridCol w:w="1237"/>
        <w:gridCol w:w="1091"/>
        <w:gridCol w:w="1106"/>
        <w:gridCol w:w="278"/>
        <w:gridCol w:w="278"/>
        <w:gridCol w:w="352"/>
        <w:gridCol w:w="150"/>
        <w:gridCol w:w="150"/>
        <w:gridCol w:w="150"/>
        <w:gridCol w:w="278"/>
        <w:gridCol w:w="278"/>
        <w:gridCol w:w="352"/>
        <w:gridCol w:w="109"/>
        <w:gridCol w:w="109"/>
        <w:gridCol w:w="109"/>
        <w:gridCol w:w="109"/>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expenses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to market loss on interest rate derivatives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 and equity in losses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(provision)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in losses, net of taxes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 COMPARED TO THE THREE MONTHS ENDED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MARCH 31, 2024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Net Sales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 for the three months ended March 31, 2025 were $140.1 million, representing a decrease of $2.1 million, or 1.5%, as compared to net sales of $142.2 million for the corresponding period in 2024. In constant currency, a non-GAAP financial measure, which excludes the impact of foreign exchange fluctuations and was determined by applying 2025 average rates to 2024 local currency amounts, consolidated net sales decreased by $2.0 million, or 1.4%, as compared to consolidated net sales in the corresponding period in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for the U.S. segment for the three months ended March 31, 2025 were $128.5 million, a decrease of $2.0 million, or 1.5%, as compared to net sales of $130.5 million for the corresponding period in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the U.S. segment’s Kitchenware product category were $79.5 million for the three months ended March 31, 2025, a decrease of $4.0 million, or 4.8%, as compared to $83.5 million for the corresponding period in 2024. The decrease was driven by a reduction in sales for kitchen tools and cutlery and boards, partially offset by higher sales for bakeware.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the U.S. segment’s Tableware product category were $27.6 million for the three months ended March 31, 2025, an increase of $1.8 million, or 7.0%, as compared to $25.8 million for the corresponding period in 2024. The increase was attributable to dinnerware sales in the dollar channel, partially offset by a flatware warehouse club program not repeated in Q1 2025.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the U.S. segment’s Home Solutions product category were $21.4 million for the three months ended March 31, 2025, an increase of $0.2 million, or 0.9%, as compared to $21.2 million for the corresponding period in 2024. The increase was attributable to higher sales for Home Décor products driven in the dollar channel and a new warehouse program. The increase was partially offset by lower sales of bath measurement products.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the International segment were $11.6 million for the three months ended March 31, 2025, a decrease of $0.1 million, or 0.9%, as compared to net sales of $11.7 million for the corresponding period in 2024. In constant currency, a non-GAAP financial measure, which excludes the impact of foreign exchange fluctuations, net sales decreased by 0.2%, as compared to consolidated net sales in the corresponding period in 2024. The decrease was driven by lower sales in the U.K. and continental Europe.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Gross margin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for the three months ended March 31, 2025 was $50.6 million, or 36.1%, as compared to $57.5 million, or 40.5%, for the corresponding period in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for the U.S. segment was $46.5 million, or 36.2%, for the three months ended March 31, 2025, as compared to $53.3 million, or 40.8%, for the corresponding period in 2024. The decrease in the gross margin percentage was driven by customer and product mix.</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 for the International segment was $4.1 million, or 35.3%, for the three months ended March 31, 2025, as compared to $4.2 million, or 35.9%, for the corresponding period in 2024. The gross margin percentage remained consistent period over period.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Distribution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 for the three months ended March 31, 2025 were $18.1 million, as compared to $16.2 million for the corresponding period in 2024. Distribution expenses as a percentage of net sales were 12.9% for the three months ended March 31, 2025, as compared to 11.4% for the three months ended March 31,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 expenses as a percentage of net sales for the U.S. segment were 11.5% and 10.0% for the three months ended March 31, 2025 and 2024, respectively. As a percentage of sales shipped from the Company’s U.S. warehouses, distribution expenses were 11.9% and 10.5% for the three months ended March 31, 2025 and 2024, respectively. The increase in expenses as a percentage of sales was attributable to an increase in employee expenses as a result of less labor management efficiencies due to higher inventory levels, higher software expenses due to the launch of a new warehouse management system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Company's west coast distribution center in September 2024. These increases were partially offset by lower freight-out expenses.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 as a percentage of net sales for the International segment were 28.3% for the three months ended March 31, 2025, compared to 27.2% for the corresponding period in 2024. As a percentage of sales shipped from the Company’s international warehouses distribution expenses were 25.0% and 23.6% for the three months ended March 31, 2025 and 2024, respectively. The increase in expenses as a percentage of net sales was primarily attributed to an increase in warehouse rent expense, partially offset by lower freight out-expenses.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Selling, general and administrative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three months ended March 31, 2025 were $31.5 million, a decrease of $8.0 million, or 20.3%, as compared to $39.5 million for the corresponding period in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U.S. segment were $30.0 million for the three months ended March 31, 2025, as compared to $30.8 million for the corresponding period in 2024. As a percentage of net sales, selling, general and administrative expenses were 23.3% and 23.6% for the three months ended March 31, 2025 and 2024, respectively. The decrease in expenses was attributable to lower employee expenses, including incentive compensation, and legal expenses. This was partially offset by an increase in the provision for doubtful accounts in the current period and an increase in amortization expense related to an indefinite-lived trade name, which was reclassified to a finite-lived trade name in the fourth quarter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International segment were $3.7 million for the three months ended March 31, 2025, as compared to $4.2 million for the corresponding period in 2024. As a percentage of net sales, selling, general and administrative expenses were 31.9% and 35.9% for the three months ended March 31, 2025 and 2024, respectively. The decrease in expenses was attributable to lower commission expenses, and foreign currency exchange gains.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income for the three months ended March 31, 2025 was $2.2 million, as compared to expenses of $4.5 million for the corresponding period in 2024. The current period income was driven by the recognition of a net legal settlement gain of $6.4 million. The remaining decrease compared to the prior period was due to lower incentive compensation and legal expenses, partially offset by an increase in stock compensation expense.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was $4.9 million and $5.6 million for the three months ended March 31, 2025 and 2024, respectively. The decrease in expense was a result of lower average outstanding borrowings in the current period, and lower interest rates on outstanding borrowings.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 to market loss on interest rate derivatives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loss on interest rate derivatives was $0.5 million for the three months ended March 31, 2025, as compared to a mark to market loss on interest rate derivatives of $0.2 million for the three months ended March 31, 2024. The loss recognized for the three months ended March 31, 2025 and 2024, respectively, was attributable to the change in the fair value due to the change in the projected interest rate environment.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As of March 31, 2025, the intent of the Company is to hold these derivative contracts until their maturity.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of $0.1 million and provision of $0.2 million for the three months ended March 31, 2025 and 2024, respectively, represent taxes on both U.S. and foreign earnings at a combined effective income tax benefit rate of 3.3% and provision rate of (5.3)%, respectively. The negative rate for the three months ended March 31, 2024 reflects tax expense on a pretax financial reporting loss. The effective tax rate for the three months ended March 31, 2025 differs from the federal statutory income tax rate of 21.0% primarily due to foreign losses for which no tax benefit is recognized as such amounts are fully offset with a valuation allowance. The effective tax rate for the three months ended March 31, 2024 differs from the federal statutory income tax rate of 21.0% primarily due to the expiration of non-qualified stock options and the vesting of equity-based awards, where the book expense exceeded the tax deduction upon vesting, and foreign losses for which no tax benefit is recognized as such amounts are fully offset with a valuation allowance.</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Equity in losses, net of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of Vasconia, net of taxes, was $2.1 million for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principal sources of cash to fund liquidity needs are: (i) cash provided by operating activities and (ii) borrowings available under its revolving credit facility under the ABL Agreement, as defined below. The Company’s primary uses of funds consist of working capital requirements, capital expenditures, acquisitions and investments, payments of dividends, and payments of principal and interest on its debt.</w:t>
      </w:r>
    </w:p>
    <w:p>
      <w:pPr>
        <w:pStyle w:val="TextBody"/>
        <w:bidi w:val="0"/>
        <w:spacing w:lineRule="auto" w:line="288" w:before="240" w:after="283"/>
        <w:jc w:val="left"/>
        <w:rPr/>
      </w:pPr>
      <w:r>
        <w:rPr>
          <w:rFonts w:ascii="Times New Roman;sans-serif" w:hAnsi="Times New Roman;sans-serif"/>
          <w:b w:val="false"/>
          <w:color w:val="000000"/>
          <w:sz w:val="20"/>
        </w:rPr>
        <w:t xml:space="preserve">At March 31, 2025, the Company had cash and cash equivalents of $10.4 million, compared to </w:t>
      </w:r>
      <w:r>
        <w:rPr>
          <w:rFonts w:ascii="Times New Roman;sans-serif" w:hAnsi="Times New Roman;sans-serif"/>
          <w:b w:val="false"/>
          <w:color w:val="000000"/>
          <w:sz w:val="20"/>
          <w:shd w:fill="FFFFFF" w:val="clear"/>
        </w:rPr>
        <w:t>$2.9 million</w:t>
      </w:r>
      <w:r>
        <w:rPr>
          <w:color w:val="000000"/>
        </w:rPr>
        <w:t xml:space="preserve"> </w:t>
      </w:r>
      <w:r>
        <w:rPr>
          <w:rFonts w:ascii="Times New Roman;sans-serif" w:hAnsi="Times New Roman;sans-serif"/>
          <w:b w:val="false"/>
          <w:color w:val="000000"/>
          <w:sz w:val="20"/>
        </w:rPr>
        <w:t>at December 31, 2024. Working capital was $216.4 million at March 31, 2025, compared to $221.8 million at December 31, 2024. Liquidity as of March 31, 2025 was $89.6 million, consisting of $10.4 million of cash and cash equivalents, $63.2 million of availability under the ABL Agreement, limited by the Term Loan financial covenant, and $16.0 million of available funding under the Receivables Purchase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March 31, 2025, inventory turnover was 1.8 times, or 208 days, as compared to 1.8 times, or 203 days, for the three months ended March 31, 2024. Inventory turns have remained relatively consistent.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availability under the revolving credit facility under its ABL Agreement, cash on hand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adversely affected by future changes in these conditions.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Indebtedness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The ABL Agreement provides for a senior secured asset-based revolving credit facility in the maximum aggregate principal amount of $200.0 million, which facility will mature on August 26, 2027.</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14, 2023, the Company entered into Amendment No. 2 to amend the Loan Agreement, dated as of March 2, 2018, among the Company, as borrower, the other loan parties from time to time party thereto, the lenders from time to time party thereto, and JPMorgan Chase Bank, N.A., as Administrative Agent (as amended, the “Term Loan” and together with the ABL Agreement, the “Debt Agreements”). The Term Loan has a principal amount of $150.0 million, and matures on August 26, 2027.</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requires the Company to make quarterly payments of principal each equal to 1.25% of the aggregate principal amount of the Term Loan, which commenced on March 31, 2024, with the remaining balance payable on the maturity date. The Term Loan requires the Company to make an annual prepayment of principal, beginning with those for the fiscal year ending December 31, 2024,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Per the Term Loan, when the Company makes an Excess Cash Flow prepayment, the payment is first applied to satisfy the next eight (8) scheduled future quarterly required payments of the Term Loan in order of maturity and then to the remaining scheduled installments on a pro rata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maximum borrowing amount under the ABL Agreement may be increased to up to $250.0 million if certain conditions are met. One or more tranches of additional term loans (the “Incremental Term Facilities”) may be added under the Term Loan if certain conditions are met. The Incremental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3.25 to 1.00, subject to certain limitations and for the period defined pursuant to the Term Loan but not to mature earlier than the maturity date of the then existing term loans.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the total availability under the ABL Agreement were as follows (in thousands): </w:t>
      </w:r>
    </w:p>
    <w:tbl>
      <w:tblPr>
        <w:tblW w:w="7329" w:type="dxa"/>
        <w:jc w:val="left"/>
        <w:tblInd w:w="0" w:type="dxa"/>
        <w:tblLayout w:type="fixed"/>
        <w:tblCellMar>
          <w:top w:w="28" w:type="dxa"/>
          <w:left w:w="28" w:type="dxa"/>
          <w:bottom w:w="28" w:type="dxa"/>
          <w:right w:w="28" w:type="dxa"/>
        </w:tblCellMar>
      </w:tblPr>
      <w:tblGrid>
        <w:gridCol w:w="1375"/>
        <w:gridCol w:w="1206"/>
        <w:gridCol w:w="1214"/>
        <w:gridCol w:w="109"/>
        <w:gridCol w:w="109"/>
        <w:gridCol w:w="109"/>
        <w:gridCol w:w="243"/>
        <w:gridCol w:w="912"/>
        <w:gridCol w:w="135"/>
        <w:gridCol w:w="109"/>
        <w:gridCol w:w="109"/>
        <w:gridCol w:w="109"/>
        <w:gridCol w:w="287"/>
        <w:gridCol w:w="1077"/>
        <w:gridCol w:w="226"/>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Maximum aggregate principal allowed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150,571 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176,329 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borrowings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(39,328)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(42,693)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Standby 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availability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99,679 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124,808 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the Company may have greater borrowing availability during the third and fourth quarters of each year. Consequently, the $200.0 million commitment thereunder may not represent actual borrowing capacity. The Company’s borrowing capacity may be further limited by the Term Loan financial covenant of 5.00 to 1.00 maximum Total Net Leverage Ratio. As of March 31, 2025, the availability under the ABL Agreement, limited by the Term Loan financial covenant, was $63.2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and non-current portions of the Company’s Term Loan included in the condensed consolidated balance sheets were as follows (in thousands):</w:t>
      </w:r>
    </w:p>
    <w:tbl>
      <w:tblPr>
        <w:tblW w:w="7007" w:type="dxa"/>
        <w:jc w:val="left"/>
        <w:tblInd w:w="0" w:type="dxa"/>
        <w:tblLayout w:type="fixed"/>
        <w:tblCellMar>
          <w:top w:w="28" w:type="dxa"/>
          <w:left w:w="28" w:type="dxa"/>
          <w:bottom w:w="28" w:type="dxa"/>
          <w:right w:w="28" w:type="dxa"/>
        </w:tblCellMar>
      </w:tblPr>
      <w:tblGrid>
        <w:gridCol w:w="1177"/>
        <w:gridCol w:w="1034"/>
        <w:gridCol w:w="1044"/>
        <w:gridCol w:w="109"/>
        <w:gridCol w:w="109"/>
        <w:gridCol w:w="109"/>
        <w:gridCol w:w="243"/>
        <w:gridCol w:w="912"/>
        <w:gridCol w:w="135"/>
        <w:gridCol w:w="109"/>
        <w:gridCol w:w="109"/>
        <w:gridCol w:w="109"/>
        <w:gridCol w:w="291"/>
        <w:gridCol w:w="1093"/>
        <w:gridCol w:w="161"/>
        <w:gridCol w:w="109"/>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133,125 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Non-current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129,707 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130,949 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2024 excess cash flow payment of $1.2 million was paid on April 4, 2025 and reduces the scheduled quarterly payment due on June 30, 2025. As of March 31, 2025, the Company estimates no excess cash flow payment will be due for 2025.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certain of its subsidiaries (the “Term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 pledged as collateral in favor of lenders under the Term Loan and a second-priority lien in the Term Loan Collateral in favor of the lenders under the ABL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Secured Overnight Financing Rate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March 31, 2025 was between 3.79% and 5.86%. The Company paid a commitment fee of 0.25% on the unused portion of the ABL Agreement during the three months ended March 31, 2025.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bears interest, at the Company’s option, at one of the following rates: (i) alternate base rate, defined, for any day, as the greater of (x) the prime rate, (y) a federal funds and overnight bank funding based rate plus 0.5% or (z) one-month Adjusted Term SOFR, but not less than 1.0%, plus 1.0%, plus a margin of 4.5% or (ii) Adjusted Term SOFR (Term SOFR plus the Term SOFR Adjustment) for the applicable interest period, but not less than 1.0%, plus a margin of 5.5%. The interest rate on outstanding borrowings under the Term Loan at March 31, 2025 was 9.94%.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Debt Agreements provide for customary restrictions and events of default. Restrictions include limitations on additional indebtedness, liens, acquisitions, investments and payment of dividends, among other things. Under the Term Loan, the Total Net Leverage Ratio is not permitted to be greater than 5.00 to 1.00 determined as of the end of each fiscal quarters.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the covenants of the Debt Agreements at March 31, 2025.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that it will continue to borrow, subject to availability, and repay funds under the ABL Agreement based on working capital and other corporate needs.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Covenant Calculations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adjusted EBITDA for the trailing twelve months ended March 31, 2025 was $51.0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Capital expenditures for the three months ended March 31, 2025 were $1.6 million.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financial measure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is a non-GAAP financial measure within the meaning of Regulation G and Item 10(e) of Regulation S-K, each promulgated by the SEC. This measure is provided because management of the Company uses this financial measure in evaluating the Company’s on-going financial results and trends, and management believes that exclusion of certain items allows for more accurate period-to-period comparison of the Company’s operating performance by investors and analysts. Management also uses this non-GAAP information as an indicator of business performance. Adjusted EBITDA, as discussed above, is also one of the measures used to calculate financial covenants required to be provided to the Company’s lenders pursuant to its Debt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Investors should consider this non-GAAP financial measure in addition to, and not as a substitute for, the Company’s financial performance measures prepared in accordance with U.S. GAAP. Further, the Company’s non-GAAP information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different from the non-GAAP information provided by other companies including other companies within the home retail industry.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net (loss) income, as reported, to Adjusted EBITDA, for each of the last four quarters and the 12 months ended March 31, 2025:</w:t>
      </w:r>
    </w:p>
    <w:tbl>
      <w:tblPr>
        <w:tblW w:w="10205" w:type="dxa"/>
        <w:jc w:val="left"/>
        <w:tblInd w:w="0" w:type="dxa"/>
        <w:tblLayout w:type="fixed"/>
        <w:tblCellMar>
          <w:top w:w="28" w:type="dxa"/>
          <w:left w:w="28" w:type="dxa"/>
          <w:bottom w:w="28" w:type="dxa"/>
          <w:right w:w="28" w:type="dxa"/>
        </w:tblCellMar>
      </w:tblPr>
      <w:tblGrid>
        <w:gridCol w:w="1060"/>
        <w:gridCol w:w="779"/>
        <w:gridCol w:w="782"/>
        <w:gridCol w:w="209"/>
        <w:gridCol w:w="743"/>
        <w:gridCol w:w="116"/>
        <w:gridCol w:w="109"/>
        <w:gridCol w:w="109"/>
        <w:gridCol w:w="109"/>
        <w:gridCol w:w="223"/>
        <w:gridCol w:w="737"/>
        <w:gridCol w:w="124"/>
        <w:gridCol w:w="109"/>
        <w:gridCol w:w="109"/>
        <w:gridCol w:w="109"/>
        <w:gridCol w:w="217"/>
        <w:gridCol w:w="716"/>
        <w:gridCol w:w="120"/>
        <w:gridCol w:w="109"/>
        <w:gridCol w:w="109"/>
        <w:gridCol w:w="109"/>
        <w:gridCol w:w="196"/>
        <w:gridCol w:w="603"/>
        <w:gridCol w:w="109"/>
        <w:gridCol w:w="109"/>
        <w:gridCol w:w="109"/>
        <w:gridCol w:w="109"/>
        <w:gridCol w:w="400"/>
        <w:gridCol w:w="1444"/>
        <w:gridCol w:w="319"/>
      </w:tblGrid>
      <w:tr>
        <w:trPr/>
        <w:tc>
          <w:tcPr>
            <w:tcW w:w="106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March 31, 2025</w:t>
            </w:r>
          </w:p>
        </w:tc>
      </w:tr>
      <w:tr>
        <w:trPr/>
        <w:tc>
          <w:tcPr>
            <w:tcW w:w="26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as reported</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(13,106)</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on equity securities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provision</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23,073 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to market loss (gain) on interest rate derivatives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 expense</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Legal settlement gain, net</w:t>
            </w:r>
            <w:r>
              <w:rPr>
                <w:rFonts w:ascii="Times New Roman;sans-serif" w:hAnsi="Times New Roman;sans-serif"/>
                <w:b w:val="false"/>
                <w:color w:val="000000"/>
                <w:sz w:val="12"/>
              </w:rPr>
              <w:t>(1)</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(4,578)</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related expenses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Warehouse redesign expenses</w:t>
            </w:r>
            <w:r>
              <w:rPr>
                <w:rFonts w:ascii="Times New Roman;sans-serif" w:hAnsi="Times New Roman;sans-serif"/>
                <w:b w:val="false"/>
                <w:color w:val="000000"/>
                <w:sz w:val="12"/>
              </w:rPr>
              <w:t>(2)</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EBITDA</w:t>
            </w:r>
            <w:r>
              <w:rPr>
                <w:rFonts w:ascii="Times New Roman;sans-serif" w:hAnsi="Times New Roman;sans-serif"/>
                <w:b w:val="false"/>
                <w:color w:val="000000"/>
                <w:sz w:val="12"/>
              </w:rPr>
              <w:t>(3)</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22,973 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50,963 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r>
      <w:tr>
        <w:trPr/>
        <w:tc>
          <w:tcPr>
            <w:tcW w:w="262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For the twelve months ended March 31, 2025, legal settlement gain, net included a net settlement of $6.4 million discussed in NOTE 12 — CONTINGENCIES, and adjusted for legal fees incurred from March 2, 2018 through March 31, 2025 of $1.8 million.</w:t>
      </w:r>
    </w:p>
    <w:p>
      <w:pPr>
        <w:pStyle w:val="TextBody"/>
        <w:bidi w:val="0"/>
        <w:spacing w:lineRule="auto" w:line="288" w:before="60" w:after="283"/>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For the twelve months ended March 31, 2025, the warehouse redesign expenses were related to the U.S. segment.</w:t>
      </w:r>
    </w:p>
    <w:p>
      <w:pPr>
        <w:pStyle w:val="TextBody"/>
        <w:bidi w:val="0"/>
        <w:spacing w:lineRule="auto" w:line="288" w:before="60" w:after="283"/>
        <w:jc w:val="left"/>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6"/>
        </w:rPr>
        <w:t>Adjusted EBITDA is a non-GAAP financial measure that is defined in the Company’s debt agreements. Adjusted EBITDA is defined as net (loss) income, adjusted to exclude loss on equity securities, income tax (benefit) provision, interest expense, depreciation and amortization, mark to market loss (gain) on interest rate derivatives, stock compensation expense, legal settlement gain, net and other items detailed in the table above that are consistent with exclusions permitted by our debt agreements.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Purchase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improve its liquidity during seasonally high working capital periods, the Company has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$30.0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sell receivables to HSBC during the three months ended March 31, 2025 and March 31, 2024. At March 31, 2025, $16.0 million of accounts receivables were available for sale to HSBC, net of applicable charges.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Derivatives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risk management strategy includes the use derivative financial instruments to manage its exposure to interest rate movements and to reduce the volatility of earnings and cash flows associated with changes in foreign currency exchange rates primarily to offset the earnings impact related to inventory purchases. The Company does not enter into derivative transactions for trading purposes. The Company classifies cash flows from its derivative transactions as cash flows from operating activities in the consolidated statements of cash flows.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derivatives expose it to credit risks from possible non-performance by counterparties. The Company has limited its credit risk by entering into derivative transactions exclusively with investment-grade rated financial institutions and monitors the creditworthiness of these financial institutions on an ongoing basis. The Company utilizes standard counterparty master netting agreements that net certain foreign currency and interest rate swap transactions in the event of the insolvency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anticipate non-performance by any of its counterparties.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Swaps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manage its exposures to interest rate movements, the Company primarily uses interest rate swaps as part of its interest rate risk management strategy. These interest rate swaps involve the receipt of variable amounts from a counterparty in exchange for the Company making fixed-rate payments over the life of the agreements without exchange of the underlying notional amount.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and October 2024, the Company entered into interest rate swap agreements, each with an aggregate notional value of $25.0 million and expire in August 2027. These non-designated interest rate swaps serve as cash flow hedges of the Company’s exposure to the variability of the payment of interest on a portion of its Term Loan borrowings. The Company’s total outstanding notional value of interest rate swaps was $50.0 million at March 31, 2025.</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Exchange Contracts</w:t>
      </w:r>
    </w:p>
    <w:p>
      <w:pPr>
        <w:pStyle w:val="TextBody"/>
        <w:bidi w:val="0"/>
        <w:spacing w:lineRule="auto" w:line="268" w:before="120" w:after="283"/>
        <w:jc w:val="left"/>
        <w:rPr/>
      </w:pPr>
      <w:r>
        <w:rPr>
          <w:rFonts w:ascii="Times New Roman;sans-serif" w:hAnsi="Times New Roman;sans-serif"/>
          <w:b w:val="false"/>
          <w:color w:val="000000"/>
          <w:sz w:val="20"/>
        </w:rPr>
        <w:t>To reduce the impact of changes in foreign currency exchange rates on its results, from time to time the Company is a party to certain foreign exchange contracts, primarily to offset the earnings impact related to fluctuations in foreign currency exchange rates associated with inventory purchases.</w:t>
      </w:r>
      <w:r>
        <w:rPr>
          <w:color w:val="000000"/>
        </w:rPr>
        <w:t xml:space="preserve"> </w:t>
      </w:r>
      <w:r>
        <w:rPr>
          <w:rFonts w:ascii="Times New Roman;sans-serif" w:hAnsi="Times New Roman;sans-serif"/>
          <w:b w:val="false"/>
          <w:color w:val="000000"/>
          <w:sz w:val="20"/>
        </w:rPr>
        <w:t>The Company designates these contracts for accounting purposes as cash flow hedges. The Company purchases foreign currency forward contracts with terms less than 18 months. The aggregate gross notional value of foreign exchange contracts at March 31, 2025 was $9.3 million.</w:t>
      </w:r>
    </w:p>
    <w:p>
      <w:pPr>
        <w:pStyle w:val="TextBody"/>
        <w:bidi w:val="0"/>
        <w:spacing w:lineRule="auto" w:line="268" w:before="24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$16.7 million for the three months ended March 31, 2025, as compared to net cash provided by operating activities of $10.5 million for the three months ended March 31, 2024. The increase from 2025 compared to 2024 was attributable to a net legal settlement gain received in the current period, timing of collections related to the Company's accounts receivables and timing of payments for accounts payable and accrued expenses, partially offset by increased use of cash related to inventory purchases.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$1.6 million and $0.6 million for the three months ended March 31, 2025 and 2024, respectively. The increase in investment activities was driven by purchases of equipment for the Hagerstown Facility.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$7.8 million for the three months ended March 31, 2025, as compared to net cash used in financing activities of $21.4 million for the three months ended March 31, 2024. The change was attributable to lower net repayments of revolving credit facility in the 2025 period, partially offset by the principal repayment of term loan due to timing.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repurchase program</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14, 2022, the Company announced that its Board of Directors of the Company authorized the repurchase of up to $20.0 million of the Company’s common stock, replacing the Company’s previously-authorized $10.0 million share repurchase program. The repurchase authorization permits the Company to effect repurchases from time to time through open market purchases and privately negotiated transactions. No shares were repurchased during the three months ended March 31, 2025. As of March 31, 2025, the remaining dollar amount available for repurchases under the Board of Directors’ authorized plan was $11.1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in market risk for changes in foreign currency exchange rates and interest rates from the information provided in Item 7A – Quantitative and Qualitative Disclosures About Market Risk in the 2024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(a)Evaluation of Disclosure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Chief Executive Officer and the Chief Financial Officer of the Company (its principal executive officer and principal financial officer, respectively) have concluded, based on their evaluation as of March 31, 2025,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(b)Changes in Internal Controls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controls over financial reporting that occurred during the Company’s most recent fiscal quarter that has materially affected, or is reasonably likely to materially affect, the Company’s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 description of the Company’s legal proceedings, please see NOTE 12 — CONTINGENCIES, to the Company's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left"/>
        <w:rPr/>
      </w:pPr>
      <w:r>
        <w:rPr>
          <w:rFonts w:ascii="Times New Roman;sans-serif" w:hAnsi="Times New Roman;sans-serif"/>
          <w:b w:val="false"/>
          <w:color w:val="000000"/>
          <w:sz w:val="20"/>
        </w:rPr>
        <w:t>In addition to the other information set forth in this Quarterly Report on Form 10-Q, readers should carefully consider the factors discussed in Part I, Item 1A—Risk Factors in the 2024 Annual Report on Form 10-K, and in the Company’s other filings with the SEC, which could materially affect the Company’s business, financial condition, cash flows or future results. Except as noted below, there have been no material changes from the risk factors previously disclosed in Part I, Item 1A—Risk Factors in the 2024 Annual Report on Form 10-K</w:t>
      </w:r>
      <w:r>
        <w:rPr>
          <w:rFonts w:ascii="Times New Roman;sans-serif" w:hAnsi="Times New Roman;sans-serif"/>
          <w:b/>
          <w:color w:val="000000"/>
          <w:sz w:val="20"/>
        </w:rPr>
        <w: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face risks related to the uncertainty regarding the future of international trade agreements and the United States’ position on international trade. Significant political, trade, regulatory developments, and other circumstances beyond our control, are expected to have a material impact on our business, financial condition, and results of operations if we are unable to successfully implement various mitigating actions.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sources almost all of its products from suppliers located outside the United States, primarily in China. Additionally, the Company has a presence in international markets through subsidiaries and affiliate companies that are based outside of the United States, including in China. As a result of the tariffs announced on April 2, 2025 by the Trump Administration, we are anticipating increased supply chain challenges, cost volatility, and consumer and economic uncertainty due to rapid changes in global trade policies. We continue to analyze the impact of these tariffs on our business and actions we can take to minimize their impact. We expect these new tariffs to have a material impact on our business and results of operations in fiscal year 2025 and in the longer term if we are unable to successfully implement various mitigating actions noted below.</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Uncertainty regarding policies of the Trump Administration with respect to the future of trade partnerships and relations, including as a result of the tariffs announced on April 2, 2025 and additional tariffs that may be announced or implemented in the future, are expected to impact our market share, revenue and gross margins and reduce our competitiveness in countries that will be affected by those policies. In addition, these developments may also negatively impact the carrying value of our reporting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tariffs announced on April 2, 2025 or additional tariffs or other restrictions, quotas, embargoes, or safeguards that are placed on goods imported into the United States, or any related counter-measures that are taken by other countries, we expect to take actions which may include, but not be limited to, pricing of our products, product configurations, and inventory management. The actions that we take may not fully offset the impact of tariffs and, as a result, our market share, revenue, gross margins, and results of operations may be materially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Issuer Purchases of Equity Securities</w:t>
      </w:r>
    </w:p>
    <w:tbl>
      <w:tblPr>
        <w:tblW w:w="8965" w:type="dxa"/>
        <w:jc w:val="left"/>
        <w:tblInd w:w="0" w:type="dxa"/>
        <w:tblLayout w:type="fixed"/>
        <w:tblCellMar>
          <w:top w:w="28" w:type="dxa"/>
          <w:left w:w="28" w:type="dxa"/>
          <w:bottom w:w="28" w:type="dxa"/>
          <w:right w:w="28" w:type="dxa"/>
        </w:tblCellMar>
      </w:tblPr>
      <w:tblGrid>
        <w:gridCol w:w="724"/>
        <w:gridCol w:w="637"/>
        <w:gridCol w:w="648"/>
        <w:gridCol w:w="109"/>
        <w:gridCol w:w="109"/>
        <w:gridCol w:w="109"/>
        <w:gridCol w:w="455"/>
        <w:gridCol w:w="455"/>
        <w:gridCol w:w="456"/>
        <w:gridCol w:w="109"/>
        <w:gridCol w:w="109"/>
        <w:gridCol w:w="109"/>
        <w:gridCol w:w="309"/>
        <w:gridCol w:w="734"/>
        <w:gridCol w:w="173"/>
        <w:gridCol w:w="109"/>
        <w:gridCol w:w="109"/>
        <w:gridCol w:w="109"/>
        <w:gridCol w:w="500"/>
        <w:gridCol w:w="500"/>
        <w:gridCol w:w="501"/>
        <w:gridCol w:w="109"/>
        <w:gridCol w:w="109"/>
        <w:gridCol w:w="109"/>
        <w:gridCol w:w="218"/>
        <w:gridCol w:w="1071"/>
        <w:gridCol w:w="122"/>
        <w:gridCol w:w="154"/>
      </w:tblGrid>
      <w:tr>
        <w:trPr/>
        <w:tc>
          <w:tcPr>
            <w:tcW w:w="7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number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shares</w:t>
            </w:r>
          </w:p>
          <w:p>
            <w:pPr>
              <w:pStyle w:val="TableContents"/>
              <w:bidi w:val="0"/>
              <w:spacing w:lineRule="auto" w:line="240" w:before="0" w:after="0"/>
              <w:jc w:val="center"/>
              <w:rPr/>
            </w:pPr>
            <w:r>
              <w:rPr>
                <w:rFonts w:ascii="Times New Roman;sans-serif" w:hAnsi="Times New Roman;sans-serif"/>
                <w:b/>
                <w:color w:val="000000"/>
                <w:sz w:val="18"/>
              </w:rPr>
              <w:t>purchased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number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shares purchased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part of publicly</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announced plans</w:t>
            </w:r>
          </w:p>
          <w:p>
            <w:pPr>
              <w:pStyle w:val="TableContents"/>
              <w:bidi w:val="0"/>
              <w:spacing w:lineRule="auto" w:line="240" w:before="0" w:after="0"/>
              <w:jc w:val="center"/>
              <w:rPr/>
            </w:pPr>
            <w:r>
              <w:rPr>
                <w:rFonts w:ascii="Times New Roman;sans-serif" w:hAnsi="Times New Roman;sans-serif"/>
                <w:b/>
                <w:color w:val="000000"/>
                <w:sz w:val="18"/>
              </w:rPr>
              <w:t>or programs</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Maximum</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approximate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dollar value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shares that may</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yet be purchased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under the plans</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or programs</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subsequent to</w:t>
            </w:r>
          </w:p>
          <w:p>
            <w:pPr>
              <w:pStyle w:val="TableContents"/>
              <w:bidi w:val="0"/>
              <w:spacing w:lineRule="auto" w:line="240" w:before="0" w:after="0"/>
              <w:jc w:val="center"/>
              <w:rPr/>
            </w:pPr>
            <w:r>
              <w:rPr>
                <w:rFonts w:ascii="Times New Roman;sans-serif" w:hAnsi="Times New Roman;sans-serif"/>
                <w:b/>
                <w:color w:val="000000"/>
                <w:sz w:val="18"/>
              </w:rPr>
              <w:t xml:space="preserve">end of period </w:t>
            </w:r>
            <w:r>
              <w:rPr>
                <w:rFonts w:ascii="Times New Roman;sans-serif" w:hAnsi="Times New Roman;sans-serif"/>
                <w:b/>
                <w:color w:val="000000"/>
                <w:sz w:val="12"/>
              </w:rPr>
              <w:t>(2)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 March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80,247 </w:t>
            </w:r>
          </w:p>
        </w:tc>
        <w:tc>
          <w:tcPr>
            <w:tcW w:w="4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11,140,752 </w:t>
            </w:r>
          </w:p>
        </w:tc>
        <w:tc>
          <w:tcPr>
            <w:tcW w:w="1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The repurchased shares were acquired other than as part of a publicly announced plan or program. The Company repurchased these securities in connection with its Amended and Restated 2000 Long Term Incentive Plan, which allows participants to use shares to satisfy the exercise price of options exercised, certain tax liabilities arising from the exercise of options, and certain tax liabilities arising from the vesting of restricted stock. The foregoing number does not include unvested shares forfeited back to the Company pursuant to the terms of its stock compensation plans.</w:t>
      </w:r>
    </w:p>
    <w:p>
      <w:pPr>
        <w:pStyle w:val="TextBody"/>
        <w:bidi w:val="0"/>
        <w:spacing w:lineRule="auto" w:line="268" w:before="60" w:after="283"/>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16"/>
        </w:rPr>
        <w:t>On March 14, 2022, the Company announced that its Board of Directors’ authorized the repurchase of up to $20.0 million of the Company’s common stock, replacing the Company’s previously-authorized $10 million share repurchase program. The repurchase authorization permits the Company to effect the repurchases from time to time through open market purchases and privately negotiated transactions. No repurchases under the program occurred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modified, or terminated a Rule 10b5-1 trading arrangement or a non-Rule 10b5-1 trading arrangement during the Company’s fiscal quarter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the Exhibit Index below, which is incorporated by reference herein.</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391"/>
        <w:gridCol w:w="344"/>
        <w:gridCol w:w="346"/>
        <w:gridCol w:w="109"/>
        <w:gridCol w:w="109"/>
        <w:gridCol w:w="109"/>
        <w:gridCol w:w="2572"/>
        <w:gridCol w:w="2572"/>
        <w:gridCol w:w="365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03312025.htm">
              <w:r>
                <w:rPr>
                  <w:rStyle w:val="InternetLink"/>
                  <w:rFonts w:ascii="Times New Roman;sans-serif" w:hAnsi="Times New Roman;sans-serif"/>
                  <w:b w:val="false"/>
                  <w:color w:val="0000FF"/>
                  <w:sz w:val="20"/>
                  <w:u w:val="single"/>
                </w:rPr>
                <w:t>Certification by Robert B. Kay, Chief Executive Officer and Director, pursuant to Rule 13a-14(a) or Rule 15d-14(a) of the Securities and Exchange Act of 1934, as adopted pursuant to Section 302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03312025.htm">
              <w:r>
                <w:rPr>
                  <w:rStyle w:val="InternetLink"/>
                  <w:rFonts w:ascii="Times New Roman;sans-serif" w:hAnsi="Times New Roman;sans-serif"/>
                  <w:b w:val="false"/>
                  <w:color w:val="0000FF"/>
                  <w:sz w:val="20"/>
                  <w:u w:val="single"/>
                </w:rPr>
                <w:t>Certification by Laurence Winoker, Executive Vice President, Treasurer and Chief Financial Officer, pursuant to Rule 13a-14(a) or Rule 15d-14(a) of the Securities and Exchange Act of 1934, as adopted pursuant to Section 302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03312025.htm">
              <w:r>
                <w:rPr>
                  <w:rStyle w:val="InternetLink"/>
                  <w:rFonts w:ascii="Times New Roman;sans-serif" w:hAnsi="Times New Roman;sans-serif"/>
                  <w:b w:val="false"/>
                  <w:color w:val="0000FF"/>
                  <w:sz w:val="20"/>
                  <w:u w:val="single"/>
                </w:rPr>
                <w:t>Certification by Robert B. Kay, Chief Executive Officer and Director, and Laurence Winoker, Executive Vice President, Treasurer and Chief Financial Officer, pursuant to 18 U.S.C. Section 1350, as adopted pursuant to Section 906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Lease Agreement, dated January 23, 2025, by and between the Company and CRP/TCC Rhoton Owner LLC (incorporated by reference to Exhibit 10.1 to the Company’s Current Report on Form 8-K filed January 29, 2025)</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Amendment Agreement No.6, dated as of March 13, 2025 to the Shares Subscription Agreement by and among the Company, Grupo Vasconia, S.A.B. and Mr. José Ramón Elizondo Anaya and Mr. Miguel Ángel Huerta Pando (incorporated by reference to Exhibit 10.55 to the Company’s Annual Report on Form 10-K for the year ended December 31, 2024)</w:t>
              </w:r>
            </w:hyperlink>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 Linkbase Document</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this Quarterly Report on Form 10-Q, formatted in Inline XBRL and contained in Exhibit 101</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Portions of this exhibit are redacted in accordance with Regulation S-K Item 601(b)(10)(iv).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v:textbox>
                <w10:wrap type="none"/>
              </v:rect>
            </w:pict>
          </mc:Fallback>
        </mc:AlternateContent>
      </w:r>
    </w:p>
    <w:p>
      <w:pPr>
        <w:pStyle w:val="TextBody"/>
        <w:bidi w:val="0"/>
        <w:spacing w:lineRule="auto" w:line="288" w:before="0" w:after="0"/>
        <w:jc w:val="left"/>
        <w:rPr/>
      </w:pPr>
      <w:hyperlink w:anchor="iab70aa84ce2e49568c6846294d5e844b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6761" w:type="dxa"/>
        <w:jc w:val="left"/>
        <w:tblInd w:w="0" w:type="dxa"/>
        <w:tblLayout w:type="fixed"/>
        <w:tblCellMar>
          <w:top w:w="28" w:type="dxa"/>
          <w:left w:w="28" w:type="dxa"/>
          <w:bottom w:w="28" w:type="dxa"/>
          <w:right w:w="28" w:type="dxa"/>
        </w:tblCellMar>
      </w:tblPr>
      <w:tblGrid>
        <w:gridCol w:w="124"/>
        <w:gridCol w:w="109"/>
        <w:gridCol w:w="109"/>
        <w:gridCol w:w="1743"/>
        <w:gridCol w:w="1743"/>
        <w:gridCol w:w="1748"/>
        <w:gridCol w:w="347"/>
        <w:gridCol w:w="347"/>
        <w:gridCol w:w="4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Lifetime Brands, Inc.</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B. Kay</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B. Kay</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Laurence Winoker</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Laurence Winoker</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Treasurer and Chief Financial Officer</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Robert B. Kay, certify that: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Lifetime Brands, Inc. (“the registrant”);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135" w:type="dxa"/>
        <w:jc w:val="left"/>
        <w:tblInd w:w="0" w:type="dxa"/>
        <w:tblLayout w:type="fixed"/>
        <w:tblCellMar>
          <w:top w:w="28" w:type="dxa"/>
          <w:left w:w="28" w:type="dxa"/>
          <w:bottom w:w="28" w:type="dxa"/>
          <w:right w:w="28" w:type="dxa"/>
        </w:tblCellMar>
      </w:tblPr>
      <w:tblGrid>
        <w:gridCol w:w="998"/>
        <w:gridCol w:w="878"/>
        <w:gridCol w:w="1259"/>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B. Kay</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B. Kay</w:t>
              <w:br/>
              <w:t>Chief Executive Officer and Director</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Laurence Winoker, certify that: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Lifetime Brands, Inc. (“the registrant”);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3491" w:type="dxa"/>
        <w:jc w:val="left"/>
        <w:tblInd w:w="0" w:type="dxa"/>
        <w:tblLayout w:type="fixed"/>
        <w:tblCellMar>
          <w:top w:w="28" w:type="dxa"/>
          <w:left w:w="28" w:type="dxa"/>
          <w:bottom w:w="28" w:type="dxa"/>
          <w:right w:w="28" w:type="dxa"/>
        </w:tblCellMar>
      </w:tblPr>
      <w:tblGrid>
        <w:gridCol w:w="1129"/>
        <w:gridCol w:w="993"/>
        <w:gridCol w:w="997"/>
        <w:gridCol w:w="109"/>
        <w:gridCol w:w="109"/>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Laurence Winoker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Laurence Winoker</w:t>
              <w:br/>
              <w:t>Executive Vice President,</w:t>
              <w:br/>
              <w:t>Treasurer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4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by Robert B. Kay, Chief Executive Officer and Director, and Laurence Winoker, Executive Vice President, Treasurer and Chief Financial Officer, Pursuant to 18 U.S.C. Section 1350, as Adopted Pursuant to 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Robert B. Kay, Chief Executive Officer and Director, and I, Laurence Winoker, Executive Vice President, Treasurer and Chief Financial Officer, of Lifetime Brands, Inc., a Delaware corporation (the “Company”), each hereby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periodic report on Form 10-Q for the period ended March 31, 2025 (the “Form 10-Q”) fully complies with the requirements of Section 13(a) or 15(d) of the Securities Exchange Act of 1934, as amended;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Form 10-Q fairly presents, in all material respects, the financial condition and results of operations of the Company.</w:t>
      </w:r>
    </w:p>
    <w:p>
      <w:pPr>
        <w:pStyle w:val="TextBody"/>
        <w:bidi w:val="0"/>
        <w:spacing w:before="240" w:after="283"/>
        <w:jc w:val="left"/>
        <w:rPr/>
      </w:pPr>
      <w:r>
        <w:rPr/>
      </w:r>
    </w:p>
    <w:tbl>
      <w:tblPr>
        <w:tblW w:w="7720" w:type="dxa"/>
        <w:jc w:val="left"/>
        <w:tblInd w:w="0" w:type="dxa"/>
        <w:tblLayout w:type="fixed"/>
        <w:tblCellMar>
          <w:top w:w="28" w:type="dxa"/>
          <w:left w:w="28" w:type="dxa"/>
          <w:bottom w:w="28" w:type="dxa"/>
          <w:right w:w="28" w:type="dxa"/>
        </w:tblCellMar>
      </w:tblPr>
      <w:tblGrid>
        <w:gridCol w:w="986"/>
        <w:gridCol w:w="865"/>
        <w:gridCol w:w="878"/>
        <w:gridCol w:w="109"/>
        <w:gridCol w:w="109"/>
        <w:gridCol w:w="109"/>
        <w:gridCol w:w="1362"/>
        <w:gridCol w:w="1362"/>
        <w:gridCol w:w="1940"/>
      </w:tblGrid>
      <w:tr>
        <w:trPr/>
        <w:tc>
          <w:tcPr>
            <w:tcW w:w="9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B. Kay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Laurence Winoker</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Robert B. Kay</w:t>
              <w:b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Laurence Winoker</w:t>
              <w:br/>
              <w:t>Executive Vice President, Treasurer and Chief Financial Officer</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certification required by 18 U.S.C. Section 1350 has been provided to Lifetime Brands, Inc. and will be retained by Lifetime Brands, Inc. and furnished to the SEC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4396/000162828025002928/leaseagreementdatedjanuary.htm" TargetMode="External"/><Relationship Id="rId3" Type="http://schemas.openxmlformats.org/officeDocument/2006/relationships/hyperlink" Target="https://www.sec.gov/Archives/edgar/data/874396/000162828025012650/lcutex105512312025.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21499</Words>
  <Characters>118649</Characters>
  <CharactersWithSpaces>138848</CharactersWithSpaces>
  <Paragraphs>2019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