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1"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8"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460" w:right="260" w:hanging="434"/>
        <w:spacing w:after="0" w:line="235"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460" w:right="240" w:hanging="387"/>
        <w:spacing w:after="0" w:line="23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3"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2740" w:type="dxa"/>
            <w:vAlign w:val="bottom"/>
            <w:gridSpan w:val="3"/>
          </w:tcPr>
          <w:p>
            <w:pPr>
              <w:ind w:left="38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gridSpan w:val="3"/>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40" w:type="dxa"/>
            <w:vAlign w:val="bottom"/>
            <w:gridSpan w:val="7"/>
          </w:tcPr>
          <w:p>
            <w:pPr>
              <w:jc w:val="center"/>
              <w:ind w:right="3684"/>
              <w:spacing w:after="0"/>
              <w:rPr>
                <w:sz w:val="20"/>
                <w:szCs w:val="20"/>
                <w:color w:val="auto"/>
              </w:rPr>
            </w:pPr>
            <w:r>
              <w:rPr>
                <w:rFonts w:ascii="Arial" w:cs="Arial" w:eastAsia="Arial" w:hAnsi="Arial"/>
                <w:sz w:val="18"/>
                <w:szCs w:val="18"/>
                <w:b w:val="1"/>
                <w:bCs w:val="1"/>
                <w:color w:val="auto"/>
                <w:w w:val="91"/>
              </w:rPr>
              <w:t>Commission File Number: 0-19254</w:t>
            </w:r>
          </w:p>
        </w:tc>
        <w:tc>
          <w:tcPr>
            <w:tcW w:w="0" w:type="dxa"/>
            <w:vAlign w:val="bottom"/>
          </w:tcPr>
          <w:p>
            <w:pPr>
              <w:spacing w:after="0"/>
              <w:rPr>
                <w:sz w:val="1"/>
                <w:szCs w:val="1"/>
                <w:color w:val="auto"/>
              </w:rPr>
            </w:pPr>
          </w:p>
        </w:tc>
      </w:tr>
      <w:tr>
        <w:trPr>
          <w:trHeight w:val="405"/>
        </w:trPr>
        <w:tc>
          <w:tcPr>
            <w:tcW w:w="3000" w:type="dxa"/>
            <w:vAlign w:val="bottom"/>
          </w:tcPr>
          <w:p>
            <w:pPr>
              <w:spacing w:after="0"/>
              <w:rPr>
                <w:sz w:val="24"/>
                <w:szCs w:val="24"/>
                <w:color w:val="auto"/>
              </w:rPr>
            </w:pPr>
          </w:p>
        </w:tc>
        <w:tc>
          <w:tcPr>
            <w:tcW w:w="3880" w:type="dxa"/>
            <w:vAlign w:val="bottom"/>
            <w:gridSpan w:val="5"/>
          </w:tcPr>
          <w:p>
            <w:pPr>
              <w:jc w:val="center"/>
              <w:ind w:left="1196"/>
              <w:spacing w:after="0"/>
              <w:rPr>
                <w:sz w:val="20"/>
                <w:szCs w:val="20"/>
                <w:color w:val="auto"/>
              </w:rPr>
            </w:pPr>
            <w:r>
              <w:rPr>
                <w:rFonts w:ascii="Arial" w:cs="Arial" w:eastAsia="Arial" w:hAnsi="Arial"/>
                <w:sz w:val="18"/>
                <w:szCs w:val="18"/>
                <w:b w:val="1"/>
                <w:bCs w:val="1"/>
                <w:color w:val="auto"/>
                <w:w w:val="89"/>
              </w:rPr>
              <w:t>__________________________</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0"/>
        </w:trPr>
        <w:tc>
          <w:tcPr>
            <w:tcW w:w="3000" w:type="dxa"/>
            <w:vAlign w:val="bottom"/>
          </w:tcPr>
          <w:p>
            <w:pPr>
              <w:spacing w:after="0"/>
              <w:rPr>
                <w:sz w:val="24"/>
                <w:szCs w:val="24"/>
                <w:color w:val="auto"/>
              </w:rPr>
            </w:pPr>
          </w:p>
        </w:tc>
        <w:tc>
          <w:tcPr>
            <w:tcW w:w="8180" w:type="dxa"/>
            <w:vAlign w:val="bottom"/>
            <w:gridSpan w:val="9"/>
          </w:tcPr>
          <w:p>
            <w:pPr>
              <w:jc w:val="center"/>
              <w:ind w:right="2944"/>
              <w:spacing w:after="0"/>
              <w:rPr>
                <w:sz w:val="20"/>
                <w:szCs w:val="20"/>
                <w:color w:val="auto"/>
              </w:rPr>
            </w:pPr>
            <w:r>
              <w:rPr>
                <w:rFonts w:ascii="Arial" w:cs="Arial" w:eastAsia="Arial" w:hAnsi="Arial"/>
                <w:sz w:val="43"/>
                <w:szCs w:val="43"/>
                <w:b w:val="1"/>
                <w:bCs w:val="1"/>
                <w:color w:val="auto"/>
              </w:rPr>
              <w:t>LIFETIME BRANDS, INC.</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8180" w:type="dxa"/>
            <w:vAlign w:val="bottom"/>
            <w:gridSpan w:val="9"/>
          </w:tcPr>
          <w:p>
            <w:pPr>
              <w:jc w:val="center"/>
              <w:ind w:right="2924"/>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0" w:type="dxa"/>
            <w:vAlign w:val="bottom"/>
          </w:tcPr>
          <w:p>
            <w:pPr>
              <w:spacing w:after="0"/>
              <w:rPr>
                <w:sz w:val="1"/>
                <w:szCs w:val="1"/>
                <w:color w:val="auto"/>
              </w:rPr>
            </w:pPr>
          </w:p>
        </w:tc>
      </w:tr>
      <w:tr>
        <w:trPr>
          <w:trHeight w:val="392"/>
        </w:trPr>
        <w:tc>
          <w:tcPr>
            <w:tcW w:w="3000" w:type="dxa"/>
            <w:vAlign w:val="bottom"/>
          </w:tcPr>
          <w:p>
            <w:pPr>
              <w:spacing w:after="0"/>
              <w:rPr>
                <w:sz w:val="24"/>
                <w:szCs w:val="24"/>
                <w:color w:val="auto"/>
              </w:rPr>
            </w:pPr>
          </w:p>
        </w:tc>
        <w:tc>
          <w:tcPr>
            <w:tcW w:w="3880" w:type="dxa"/>
            <w:vAlign w:val="bottom"/>
            <w:gridSpan w:val="5"/>
          </w:tcPr>
          <w:p>
            <w:pPr>
              <w:jc w:val="center"/>
              <w:ind w:left="1196"/>
              <w:spacing w:after="0"/>
              <w:rPr>
                <w:sz w:val="20"/>
                <w:szCs w:val="20"/>
                <w:color w:val="auto"/>
              </w:rPr>
            </w:pPr>
            <w:r>
              <w:rPr>
                <w:rFonts w:ascii="Arial" w:cs="Arial" w:eastAsia="Arial" w:hAnsi="Arial"/>
                <w:sz w:val="18"/>
                <w:szCs w:val="18"/>
                <w:b w:val="1"/>
                <w:bCs w:val="1"/>
                <w:color w:val="auto"/>
                <w:w w:val="89"/>
              </w:rPr>
              <w:t>__________________________</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640" w:type="dxa"/>
            <w:vAlign w:val="bottom"/>
            <w:gridSpan w:val="5"/>
          </w:tcPr>
          <w:p>
            <w:pPr>
              <w:jc w:val="center"/>
              <w:ind w:right="1080"/>
              <w:spacing w:after="0"/>
              <w:rPr>
                <w:sz w:val="20"/>
                <w:szCs w:val="20"/>
                <w:color w:val="auto"/>
              </w:rPr>
            </w:pPr>
            <w:r>
              <w:rPr>
                <w:rFonts w:ascii="Arial" w:cs="Arial" w:eastAsia="Arial" w:hAnsi="Arial"/>
                <w:sz w:val="18"/>
                <w:szCs w:val="18"/>
                <w:b w:val="1"/>
                <w:bCs w:val="1"/>
                <w:color w:val="auto"/>
                <w:w w:val="91"/>
              </w:rPr>
              <w:t>Delaware</w:t>
            </w:r>
          </w:p>
        </w:tc>
        <w:tc>
          <w:tcPr>
            <w:tcW w:w="4540" w:type="dxa"/>
            <w:vAlign w:val="bottom"/>
            <w:gridSpan w:val="5"/>
          </w:tcPr>
          <w:p>
            <w:pPr>
              <w:jc w:val="center"/>
              <w:ind w:right="1004"/>
              <w:spacing w:after="0"/>
              <w:rPr>
                <w:sz w:val="20"/>
                <w:szCs w:val="20"/>
                <w:color w:val="auto"/>
              </w:rPr>
            </w:pPr>
            <w:r>
              <w:rPr>
                <w:rFonts w:ascii="Arial" w:cs="Arial" w:eastAsia="Arial" w:hAnsi="Arial"/>
                <w:sz w:val="18"/>
                <w:szCs w:val="18"/>
                <w:b w:val="1"/>
                <w:bCs w:val="1"/>
                <w:color w:val="auto"/>
                <w:w w:val="89"/>
              </w:rPr>
              <w:t>11-2682486</w:t>
            </w:r>
          </w:p>
        </w:tc>
        <w:tc>
          <w:tcPr>
            <w:tcW w:w="0" w:type="dxa"/>
            <w:vAlign w:val="bottom"/>
          </w:tcPr>
          <w:p>
            <w:pPr>
              <w:spacing w:after="0"/>
              <w:rPr>
                <w:sz w:val="1"/>
                <w:szCs w:val="1"/>
                <w:color w:val="auto"/>
              </w:rPr>
            </w:pPr>
          </w:p>
        </w:tc>
      </w:tr>
      <w:tr>
        <w:trPr>
          <w:trHeight w:val="144"/>
        </w:trPr>
        <w:tc>
          <w:tcPr>
            <w:tcW w:w="6640" w:type="dxa"/>
            <w:vAlign w:val="bottom"/>
            <w:gridSpan w:val="5"/>
          </w:tcPr>
          <w:p>
            <w:pPr>
              <w:jc w:val="center"/>
              <w:ind w:right="108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0" w:type="dxa"/>
            <w:vAlign w:val="bottom"/>
          </w:tcPr>
          <w:p>
            <w:pPr>
              <w:jc w:val="center"/>
              <w:ind w:right="2124"/>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640" w:type="dxa"/>
            <w:vAlign w:val="bottom"/>
            <w:gridSpan w:val="5"/>
          </w:tcPr>
          <w:p>
            <w:pPr>
              <w:jc w:val="center"/>
              <w:ind w:right="1080"/>
              <w:spacing w:after="0"/>
              <w:rPr>
                <w:sz w:val="20"/>
                <w:szCs w:val="20"/>
                <w:color w:val="auto"/>
              </w:rPr>
            </w:pPr>
            <w:r>
              <w:rPr>
                <w:rFonts w:ascii="Arial" w:cs="Arial" w:eastAsia="Arial" w:hAnsi="Arial"/>
                <w:sz w:val="14"/>
                <w:szCs w:val="14"/>
                <w:b w:val="1"/>
                <w:bCs w:val="1"/>
                <w:color w:val="auto"/>
                <w:w w:val="94"/>
              </w:rPr>
              <w:t>incorporation or organization)</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tcPr>
          <w:p>
            <w:pPr>
              <w:jc w:val="center"/>
              <w:ind w:right="2124"/>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66"/>
        </w:trPr>
        <w:tc>
          <w:tcPr>
            <w:tcW w:w="3000" w:type="dxa"/>
            <w:vAlign w:val="bottom"/>
          </w:tcPr>
          <w:p>
            <w:pPr>
              <w:spacing w:after="0"/>
              <w:rPr>
                <w:sz w:val="24"/>
                <w:szCs w:val="24"/>
                <w:color w:val="auto"/>
              </w:rPr>
            </w:pPr>
          </w:p>
        </w:tc>
        <w:tc>
          <w:tcPr>
            <w:tcW w:w="8180" w:type="dxa"/>
            <w:vAlign w:val="bottom"/>
            <w:gridSpan w:val="9"/>
          </w:tcPr>
          <w:p>
            <w:pPr>
              <w:jc w:val="center"/>
              <w:ind w:right="2944"/>
              <w:spacing w:after="0"/>
              <w:rPr>
                <w:sz w:val="20"/>
                <w:szCs w:val="20"/>
                <w:color w:val="auto"/>
              </w:rPr>
            </w:pPr>
            <w:r>
              <w:rPr>
                <w:rFonts w:ascii="Arial" w:cs="Arial" w:eastAsia="Arial" w:hAnsi="Arial"/>
                <w:sz w:val="18"/>
                <w:szCs w:val="18"/>
                <w:b w:val="1"/>
                <w:bCs w:val="1"/>
                <w:color w:val="auto"/>
                <w:w w:val="90"/>
              </w:rPr>
              <w:t>1000 Stewart Avenue, Garden City, New York, 11530</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40" w:type="dxa"/>
            <w:vAlign w:val="bottom"/>
            <w:gridSpan w:val="7"/>
          </w:tcPr>
          <w:p>
            <w:pPr>
              <w:jc w:val="center"/>
              <w:ind w:right="3684"/>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0" w:type="dxa"/>
            <w:vAlign w:val="bottom"/>
          </w:tcPr>
          <w:p>
            <w:pPr>
              <w:spacing w:after="0"/>
              <w:rPr>
                <w:sz w:val="1"/>
                <w:szCs w:val="1"/>
                <w:color w:val="auto"/>
              </w:rPr>
            </w:pPr>
          </w:p>
        </w:tc>
      </w:tr>
      <w:tr>
        <w:trPr>
          <w:trHeight w:val="381"/>
        </w:trPr>
        <w:tc>
          <w:tcPr>
            <w:tcW w:w="3000" w:type="dxa"/>
            <w:vAlign w:val="bottom"/>
          </w:tcPr>
          <w:p>
            <w:pPr>
              <w:spacing w:after="0"/>
              <w:rPr>
                <w:sz w:val="24"/>
                <w:szCs w:val="24"/>
                <w:color w:val="auto"/>
              </w:rPr>
            </w:pPr>
          </w:p>
        </w:tc>
        <w:tc>
          <w:tcPr>
            <w:tcW w:w="3640" w:type="dxa"/>
            <w:vAlign w:val="bottom"/>
            <w:gridSpan w:val="4"/>
          </w:tcPr>
          <w:p>
            <w:pPr>
              <w:jc w:val="center"/>
              <w:ind w:left="1416"/>
              <w:spacing w:after="0"/>
              <w:rPr>
                <w:sz w:val="20"/>
                <w:szCs w:val="20"/>
                <w:color w:val="auto"/>
              </w:rPr>
            </w:pPr>
            <w:r>
              <w:rPr>
                <w:rFonts w:ascii="Arial" w:cs="Arial" w:eastAsia="Arial" w:hAnsi="Arial"/>
                <w:sz w:val="18"/>
                <w:szCs w:val="18"/>
                <w:b w:val="1"/>
                <w:bCs w:val="1"/>
                <w:color w:val="auto"/>
                <w:w w:val="90"/>
              </w:rPr>
              <w:t>(516) 683-6000</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40" w:type="dxa"/>
            <w:vAlign w:val="bottom"/>
            <w:gridSpan w:val="7"/>
          </w:tcPr>
          <w:p>
            <w:pPr>
              <w:jc w:val="center"/>
              <w:ind w:right="3684"/>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390"/>
        </w:trPr>
        <w:tc>
          <w:tcPr>
            <w:tcW w:w="3000" w:type="dxa"/>
            <w:vAlign w:val="bottom"/>
          </w:tcPr>
          <w:p>
            <w:pPr>
              <w:spacing w:after="0"/>
              <w:rPr>
                <w:sz w:val="24"/>
                <w:szCs w:val="24"/>
                <w:color w:val="auto"/>
              </w:rPr>
            </w:pPr>
          </w:p>
        </w:tc>
        <w:tc>
          <w:tcPr>
            <w:tcW w:w="3880" w:type="dxa"/>
            <w:vAlign w:val="bottom"/>
            <w:gridSpan w:val="5"/>
          </w:tcPr>
          <w:p>
            <w:pPr>
              <w:jc w:val="center"/>
              <w:ind w:left="1196"/>
              <w:spacing w:after="0"/>
              <w:rPr>
                <w:sz w:val="20"/>
                <w:szCs w:val="20"/>
                <w:color w:val="auto"/>
              </w:rPr>
            </w:pPr>
            <w:r>
              <w:rPr>
                <w:rFonts w:ascii="Arial" w:cs="Arial" w:eastAsia="Arial" w:hAnsi="Arial"/>
                <w:sz w:val="18"/>
                <w:szCs w:val="18"/>
                <w:b w:val="1"/>
                <w:bCs w:val="1"/>
                <w:color w:val="auto"/>
                <w:w w:val="89"/>
              </w:rPr>
              <w:t>__________________________</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000" w:type="dxa"/>
            <w:vAlign w:val="bottom"/>
          </w:tcPr>
          <w:p>
            <w:pPr>
              <w:spacing w:after="0"/>
              <w:rPr>
                <w:sz w:val="24"/>
                <w:szCs w:val="24"/>
                <w:color w:val="auto"/>
              </w:rPr>
            </w:pPr>
          </w:p>
        </w:tc>
        <w:tc>
          <w:tcPr>
            <w:tcW w:w="8180" w:type="dxa"/>
            <w:vAlign w:val="bottom"/>
            <w:gridSpan w:val="9"/>
          </w:tcPr>
          <w:p>
            <w:pPr>
              <w:jc w:val="center"/>
              <w:ind w:right="2944"/>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162"/>
        </w:trPr>
        <w:tc>
          <w:tcPr>
            <w:tcW w:w="3000" w:type="dxa"/>
            <w:vAlign w:val="bottom"/>
            <w:vMerge w:val="restart"/>
          </w:tcPr>
          <w:p>
            <w:pPr>
              <w:jc w:val="center"/>
              <w:ind w:left="561"/>
              <w:spacing w:after="0"/>
              <w:rPr>
                <w:sz w:val="20"/>
                <w:szCs w:val="20"/>
                <w:color w:val="auto"/>
              </w:rPr>
            </w:pPr>
            <w:r>
              <w:rPr>
                <w:rFonts w:ascii="Arial" w:cs="Arial" w:eastAsia="Arial" w:hAnsi="Arial"/>
                <w:sz w:val="14"/>
                <w:szCs w:val="14"/>
                <w:b w:val="1"/>
                <w:bCs w:val="1"/>
                <w:color w:val="auto"/>
                <w:w w:val="89"/>
              </w:rPr>
              <w:t>Title of each class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2"/>
          </w:tcPr>
          <w:p>
            <w:pPr>
              <w:jc w:val="center"/>
              <w:ind w:left="682"/>
              <w:spacing w:after="0"/>
              <w:rPr>
                <w:sz w:val="20"/>
                <w:szCs w:val="20"/>
                <w:color w:val="auto"/>
              </w:rPr>
            </w:pPr>
            <w:r>
              <w:rPr>
                <w:rFonts w:ascii="Arial" w:cs="Arial" w:eastAsia="Arial" w:hAnsi="Arial"/>
                <w:sz w:val="14"/>
                <w:szCs w:val="14"/>
                <w:b w:val="1"/>
                <w:bCs w:val="1"/>
                <w:color w:val="auto"/>
                <w:w w:val="97"/>
              </w:rPr>
              <w:t>Trading</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0" w:type="dxa"/>
            <w:vAlign w:val="bottom"/>
          </w:tcPr>
          <w:p>
            <w:pPr>
              <w:jc w:val="center"/>
              <w:ind w:right="204"/>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8"/>
        </w:trPr>
        <w:tc>
          <w:tcPr>
            <w:tcW w:w="30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auto"/>
            </w:tcBorders>
            <w:gridSpan w:val="2"/>
          </w:tcPr>
          <w:p>
            <w:pPr>
              <w:jc w:val="center"/>
              <w:ind w:left="682"/>
              <w:spacing w:after="0"/>
              <w:rPr>
                <w:sz w:val="20"/>
                <w:szCs w:val="20"/>
                <w:color w:val="auto"/>
              </w:rPr>
            </w:pPr>
            <w:r>
              <w:rPr>
                <w:rFonts w:ascii="Arial" w:cs="Arial" w:eastAsia="Arial" w:hAnsi="Arial"/>
                <w:sz w:val="14"/>
                <w:szCs w:val="14"/>
                <w:b w:val="1"/>
                <w:bCs w:val="1"/>
                <w:color w:val="auto"/>
                <w:w w:val="91"/>
              </w:rPr>
              <w:t>Symbol(s)</w:t>
            </w: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9"/>
        </w:trPr>
        <w:tc>
          <w:tcPr>
            <w:tcW w:w="3000" w:type="dxa"/>
            <w:vAlign w:val="bottom"/>
          </w:tcPr>
          <w:p>
            <w:pPr>
              <w:jc w:val="center"/>
              <w:ind w:left="561"/>
              <w:spacing w:after="0"/>
              <w:rPr>
                <w:sz w:val="20"/>
                <w:szCs w:val="20"/>
                <w:color w:val="auto"/>
              </w:rPr>
            </w:pPr>
            <w:r>
              <w:rPr>
                <w:rFonts w:ascii="Arial" w:cs="Arial" w:eastAsia="Arial" w:hAnsi="Arial"/>
                <w:sz w:val="18"/>
                <w:szCs w:val="18"/>
                <w:b w:val="1"/>
                <w:bCs w:val="1"/>
                <w:color w:val="auto"/>
                <w:w w:val="90"/>
              </w:rPr>
              <w:t>Common Stock, $.01 par value</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2"/>
          </w:tcPr>
          <w:p>
            <w:pPr>
              <w:jc w:val="center"/>
              <w:ind w:left="682"/>
              <w:spacing w:after="0"/>
              <w:rPr>
                <w:sz w:val="20"/>
                <w:szCs w:val="20"/>
                <w:color w:val="auto"/>
              </w:rPr>
            </w:pPr>
            <w:r>
              <w:rPr>
                <w:rFonts w:ascii="Arial" w:cs="Arial" w:eastAsia="Arial" w:hAnsi="Arial"/>
                <w:sz w:val="18"/>
                <w:szCs w:val="18"/>
                <w:b w:val="1"/>
                <w:bCs w:val="1"/>
                <w:color w:val="auto"/>
              </w:rPr>
              <w:t>LCUT</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0" w:type="dxa"/>
            <w:vAlign w:val="bottom"/>
          </w:tcPr>
          <w:p>
            <w:pPr>
              <w:jc w:val="center"/>
              <w:ind w:right="204"/>
              <w:spacing w:after="0"/>
              <w:rPr>
                <w:sz w:val="20"/>
                <w:szCs w:val="20"/>
                <w:color w:val="auto"/>
              </w:rPr>
            </w:pPr>
            <w:r>
              <w:rPr>
                <w:rFonts w:ascii="Arial" w:cs="Arial" w:eastAsia="Arial" w:hAnsi="Arial"/>
                <w:sz w:val="18"/>
                <w:szCs w:val="18"/>
                <w:b w:val="1"/>
                <w:bCs w:val="1"/>
                <w:color w:val="auto"/>
                <w:w w:val="91"/>
              </w:rPr>
              <w:t>The Nasdaq Global Select Market</w:t>
            </w:r>
          </w:p>
        </w:tc>
        <w:tc>
          <w:tcPr>
            <w:tcW w:w="0" w:type="dxa"/>
            <w:vAlign w:val="bottom"/>
          </w:tcPr>
          <w:p>
            <w:pPr>
              <w:spacing w:after="0"/>
              <w:rPr>
                <w:sz w:val="1"/>
                <w:szCs w:val="1"/>
                <w:color w:val="auto"/>
              </w:rPr>
            </w:pPr>
          </w:p>
        </w:tc>
      </w:tr>
    </w:tbl>
    <w:p>
      <w:pPr>
        <w:spacing w:after="0" w:line="251"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ind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77"/>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4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July 31, 2022 was 22,057,258.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233" w:right="35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788035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 ENDED JUNE 30, 2022</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96"/>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700" w:type="dxa"/>
            <w:vAlign w:val="bottom"/>
            <w:tcBorders>
              <w:bottom w:val="single" w:sz="8" w:color="0000FF"/>
            </w:tcBorders>
            <w:gridSpan w:val="8"/>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Financial Information</w:t>
              </w:r>
            </w:hyperlink>
          </w:p>
        </w:tc>
        <w:tc>
          <w:tcPr>
            <w:tcW w:w="7520" w:type="dxa"/>
            <w:vAlign w:val="bottom"/>
            <w:gridSpan w:val="10"/>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Financial Statements</w:t>
              </w:r>
            </w:hyperlink>
          </w:p>
        </w:tc>
        <w:tc>
          <w:tcPr>
            <w:tcW w:w="7720" w:type="dxa"/>
            <w:vAlign w:val="bottom"/>
            <w:gridSpan w:val="11"/>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2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Balance Sheets – </w:t>
              </w:r>
            </w:hyperlink>
            <w:r>
              <w:rPr>
                <w:rFonts w:ascii="Arial" w:cs="Arial" w:eastAsia="Arial" w:hAnsi="Arial"/>
                <w:sz w:val="18"/>
                <w:szCs w:val="18"/>
                <w:color w:val="0000FF"/>
              </w:rPr>
              <w:t xml:space="preserve">June 30, 2022 </w:t>
            </w:r>
            <w:hyperlink w:anchor="page4">
              <w:r>
                <w:rPr>
                  <w:rFonts w:ascii="Arial" w:cs="Arial" w:eastAsia="Arial" w:hAnsi="Arial"/>
                  <w:sz w:val="18"/>
                  <w:szCs w:val="18"/>
                  <w:color w:val="0000FF"/>
                </w:rPr>
                <w:t xml:space="preserve">(unaudited) and </w:t>
              </w:r>
            </w:hyperlink>
            <w:r>
              <w:rPr>
                <w:rFonts w:ascii="Arial" w:cs="Arial" w:eastAsia="Arial" w:hAnsi="Arial"/>
                <w:sz w:val="18"/>
                <w:szCs w:val="18"/>
                <w:color w:val="0000FF"/>
              </w:rPr>
              <w:t>December 31, 2021</w:t>
            </w:r>
          </w:p>
        </w:tc>
        <w:tc>
          <w:tcPr>
            <w:tcW w:w="88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58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 xml:space="preserve">Condensed Consolidated Statements of Operations (unaudited) – </w:t>
              </w:r>
            </w:hyperlink>
            <w:r>
              <w:rPr>
                <w:rFonts w:ascii="Arial" w:cs="Arial" w:eastAsia="Arial" w:hAnsi="Arial"/>
                <w:sz w:val="18"/>
                <w:szCs w:val="18"/>
                <w:color w:val="0000FF"/>
                <w:w w:val="89"/>
              </w:rPr>
              <w:t xml:space="preserve">Three and Six Months Ended June 30, 2022 </w:t>
            </w:r>
            <w:hyperlink w:anchor="page4">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2021</w:t>
            </w:r>
          </w:p>
        </w:tc>
        <w:tc>
          <w:tcPr>
            <w:tcW w:w="640" w:type="dxa"/>
            <w:vAlign w:val="bottom"/>
            <w:gridSpan w:val="3"/>
          </w:tcPr>
          <w:p>
            <w:pPr>
              <w:spacing w:after="0"/>
              <w:rPr>
                <w:sz w:val="22"/>
                <w:szCs w:val="22"/>
                <w:color w:val="auto"/>
              </w:rPr>
            </w:pPr>
          </w:p>
        </w:tc>
        <w:tc>
          <w:tcPr>
            <w:tcW w:w="78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20" w:type="dxa"/>
            <w:vAlign w:val="bottom"/>
            <w:gridSpan w:val="18"/>
          </w:tcPr>
          <w:p>
            <w:pPr>
              <w:spacing w:after="0"/>
              <w:rPr>
                <w:rFonts w:ascii="Arial" w:cs="Arial" w:eastAsia="Arial" w:hAnsi="Arial"/>
                <w:sz w:val="18"/>
                <w:szCs w:val="18"/>
                <w:color w:val="0000FF"/>
                <w:w w:val="92"/>
              </w:rPr>
            </w:pPr>
            <w:hyperlink w:anchor="page5">
              <w:r>
                <w:rPr>
                  <w:rFonts w:ascii="Arial" w:cs="Arial" w:eastAsia="Arial" w:hAnsi="Arial"/>
                  <w:sz w:val="18"/>
                  <w:szCs w:val="18"/>
                  <w:color w:val="0000FF"/>
                  <w:w w:val="92"/>
                </w:rPr>
                <w:t xml:space="preserve">Condensed Consolidated Statements of Comprehensive </w:t>
              </w:r>
            </w:hyperlink>
            <w:r>
              <w:rPr>
                <w:rFonts w:ascii="Arial" w:cs="Arial" w:eastAsia="Arial" w:hAnsi="Arial"/>
                <w:sz w:val="18"/>
                <w:szCs w:val="18"/>
                <w:color w:val="0000FF"/>
                <w:w w:val="92"/>
              </w:rPr>
              <w:t xml:space="preserve">(Loss) Income </w:t>
            </w:r>
            <w:hyperlink w:anchor="page5">
              <w:r>
                <w:rPr>
                  <w:rFonts w:ascii="Arial" w:cs="Arial" w:eastAsia="Arial" w:hAnsi="Arial"/>
                  <w:sz w:val="18"/>
                  <w:szCs w:val="18"/>
                  <w:color w:val="0000FF"/>
                  <w:w w:val="92"/>
                </w:rPr>
                <w:t xml:space="preserve">(unaudited) – </w:t>
              </w:r>
            </w:hyperlink>
            <w:r>
              <w:rPr>
                <w:rFonts w:ascii="Arial" w:cs="Arial" w:eastAsia="Arial" w:hAnsi="Arial"/>
                <w:sz w:val="18"/>
                <w:szCs w:val="18"/>
                <w:color w:val="0000FF"/>
                <w:w w:val="92"/>
              </w:rPr>
              <w:t>Three and Six Months Ended June 30,</w:t>
            </w:r>
          </w:p>
        </w:tc>
        <w:tc>
          <w:tcPr>
            <w:tcW w:w="880" w:type="dxa"/>
            <w:vAlign w:val="bottom"/>
            <w:gridSpan w:val="3"/>
            <w:vMerge w:val="restart"/>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80" w:type="dxa"/>
            <w:vAlign w:val="bottom"/>
            <w:tcBorders>
              <w:top w:val="single" w:sz="8" w:color="0000FF"/>
            </w:tcBorders>
            <w:gridSpan w:val="17"/>
          </w:tcPr>
          <w:p>
            <w:pPr>
              <w:spacing w:after="0" w:line="156" w:lineRule="exact"/>
              <w:rPr>
                <w:sz w:val="20"/>
                <w:szCs w:val="20"/>
                <w:color w:val="auto"/>
              </w:rPr>
            </w:pPr>
            <w:r>
              <w:rPr>
                <w:rFonts w:ascii="Arial" w:cs="Arial" w:eastAsia="Arial" w:hAnsi="Arial"/>
                <w:sz w:val="18"/>
                <w:szCs w:val="18"/>
                <w:color w:val="0000FF"/>
              </w:rPr>
              <w:t>2022 and 2021</w:t>
            </w:r>
          </w:p>
        </w:tc>
        <w:tc>
          <w:tcPr>
            <w:tcW w:w="34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20" w:type="dxa"/>
            <w:vAlign w:val="bottom"/>
            <w:gridSpan w:val="18"/>
          </w:tcPr>
          <w:p>
            <w:pPr>
              <w:spacing w:after="0"/>
              <w:rPr>
                <w:rFonts w:ascii="Arial" w:cs="Arial" w:eastAsia="Arial" w:hAnsi="Arial"/>
                <w:sz w:val="18"/>
                <w:szCs w:val="18"/>
                <w:color w:val="0000FF"/>
                <w:w w:val="93"/>
              </w:rPr>
            </w:pPr>
            <w:hyperlink w:anchor="page6">
              <w:r>
                <w:rPr>
                  <w:rFonts w:ascii="Arial" w:cs="Arial" w:eastAsia="Arial" w:hAnsi="Arial"/>
                  <w:sz w:val="18"/>
                  <w:szCs w:val="18"/>
                  <w:color w:val="0000FF"/>
                  <w:w w:val="93"/>
                </w:rPr>
                <w:t xml:space="preserve">Condensed Consolidated Statements of Stockholders’ Equity (unaudited) </w:t>
              </w:r>
            </w:hyperlink>
            <w:r>
              <w:rPr>
                <w:rFonts w:ascii="Arial" w:cs="Arial" w:eastAsia="Arial" w:hAnsi="Arial"/>
                <w:sz w:val="18"/>
                <w:szCs w:val="18"/>
                <w:color w:val="0000FF"/>
                <w:w w:val="93"/>
              </w:rPr>
              <w:t>–Three and Six Months Ended June 30, 2022 and</w:t>
            </w:r>
          </w:p>
        </w:tc>
        <w:tc>
          <w:tcPr>
            <w:tcW w:w="780" w:type="dxa"/>
            <w:vAlign w:val="bottom"/>
            <w:gridSpan w:val="2"/>
            <w:vMerge w:val="restart"/>
          </w:tcPr>
          <w:p>
            <w:pPr>
              <w:spacing w:after="0"/>
              <w:rPr>
                <w:sz w:val="22"/>
                <w:szCs w:val="22"/>
                <w:color w:val="auto"/>
              </w:rPr>
            </w:pPr>
          </w:p>
        </w:tc>
        <w:tc>
          <w:tcPr>
            <w:tcW w:w="100" w:type="dxa"/>
            <w:vAlign w:val="bottom"/>
            <w:vMerge w:val="restart"/>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2021</w:t>
            </w: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5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6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 xml:space="preserve">Condensed Consolidated Statements of Cash Flows (unaudited) – </w:t>
              </w:r>
            </w:hyperlink>
            <w:r>
              <w:rPr>
                <w:rFonts w:ascii="Arial" w:cs="Arial" w:eastAsia="Arial" w:hAnsi="Arial"/>
                <w:sz w:val="18"/>
                <w:szCs w:val="18"/>
                <w:color w:val="0000FF"/>
                <w:w w:val="89"/>
              </w:rPr>
              <w:t>Six Months Ended June 30, 2022 and 2021</w:t>
            </w:r>
          </w:p>
        </w:tc>
        <w:tc>
          <w:tcPr>
            <w:tcW w:w="1360" w:type="dxa"/>
            <w:vAlign w:val="bottom"/>
            <w:gridSpan w:val="4"/>
          </w:tcPr>
          <w:p>
            <w:pPr>
              <w:spacing w:after="0"/>
              <w:rPr>
                <w:sz w:val="22"/>
                <w:szCs w:val="22"/>
                <w:color w:val="auto"/>
              </w:rPr>
            </w:pPr>
          </w:p>
        </w:tc>
        <w:tc>
          <w:tcPr>
            <w:tcW w:w="78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6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Condensed Consolidated Financial Statements (unaudited)</w:t>
              </w:r>
            </w:hyperlink>
          </w:p>
        </w:tc>
        <w:tc>
          <w:tcPr>
            <w:tcW w:w="4360" w:type="dxa"/>
            <w:vAlign w:val="bottom"/>
            <w:gridSpan w:val="7"/>
          </w:tcPr>
          <w:p>
            <w:pPr>
              <w:spacing w:after="0"/>
              <w:rPr>
                <w:sz w:val="22"/>
                <w:szCs w:val="22"/>
                <w:color w:val="auto"/>
              </w:rPr>
            </w:pPr>
          </w:p>
        </w:tc>
        <w:tc>
          <w:tcPr>
            <w:tcW w:w="78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18"/>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Management’s Discussion and Analysis of Financial Condition and Results of Operations</w:t>
              </w:r>
            </w:hyperlink>
          </w:p>
        </w:tc>
        <w:tc>
          <w:tcPr>
            <w:tcW w:w="88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40" w:type="dxa"/>
            <w:vAlign w:val="bottom"/>
            <w:gridSpan w:val="12"/>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Quantitative and Qualitative Disclosures About Market Risk</w:t>
              </w:r>
            </w:hyperlink>
          </w:p>
        </w:tc>
        <w:tc>
          <w:tcPr>
            <w:tcW w:w="2780" w:type="dxa"/>
            <w:vAlign w:val="bottom"/>
            <w:gridSpan w:val="6"/>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0"/>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Controls and Procedures</w:t>
              </w:r>
            </w:hyperlink>
          </w:p>
        </w:tc>
        <w:tc>
          <w:tcPr>
            <w:tcW w:w="4880" w:type="dxa"/>
            <w:vAlign w:val="bottom"/>
            <w:gridSpan w:val="8"/>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40" w:type="dxa"/>
            <w:vAlign w:val="bottom"/>
            <w:tcBorders>
              <w:top w:val="single" w:sz="8" w:color="0000FF"/>
              <w:bottom w:val="single" w:sz="8" w:color="0000FF"/>
            </w:tcBorders>
            <w:gridSpan w:val="6"/>
          </w:tcPr>
          <w:p>
            <w:pPr>
              <w:spacing w:after="0"/>
              <w:rPr>
                <w:rFonts w:ascii="Arial" w:cs="Arial" w:eastAsia="Arial" w:hAnsi="Arial"/>
                <w:sz w:val="18"/>
                <w:szCs w:val="18"/>
                <w:b w:val="1"/>
                <w:bCs w:val="1"/>
                <w:color w:val="0000FF"/>
                <w:w w:val="93"/>
              </w:rPr>
            </w:pPr>
            <w:hyperlink w:anchor="page46">
              <w:r>
                <w:rPr>
                  <w:rFonts w:ascii="Arial" w:cs="Arial" w:eastAsia="Arial" w:hAnsi="Arial"/>
                  <w:sz w:val="18"/>
                  <w:szCs w:val="18"/>
                  <w:b w:val="1"/>
                  <w:bCs w:val="1"/>
                  <w:color w:val="0000FF"/>
                  <w:w w:val="93"/>
                </w:rPr>
                <w:t>Other Information</w:t>
              </w:r>
            </w:hyperlink>
          </w:p>
        </w:tc>
        <w:tc>
          <w:tcPr>
            <w:tcW w:w="320" w:type="dxa"/>
            <w:vAlign w:val="bottom"/>
            <w:tcBorders>
              <w:top w:val="single" w:sz="8" w:color="0000FF"/>
            </w:tcBorders>
            <w:gridSpan w:val="3"/>
          </w:tcPr>
          <w:p>
            <w:pPr>
              <w:spacing w:after="0"/>
              <w:rPr>
                <w:sz w:val="22"/>
                <w:szCs w:val="22"/>
                <w:color w:val="auto"/>
              </w:rPr>
            </w:pPr>
          </w:p>
        </w:tc>
        <w:tc>
          <w:tcPr>
            <w:tcW w:w="7460" w:type="dxa"/>
            <w:vAlign w:val="bottom"/>
            <w:gridSpan w:val="9"/>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Legal Proceedings</w:t>
              </w:r>
            </w:hyperlink>
          </w:p>
        </w:tc>
        <w:tc>
          <w:tcPr>
            <w:tcW w:w="880" w:type="dxa"/>
            <w:vAlign w:val="bottom"/>
            <w:gridSpan w:val="3"/>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5"/>
          </w:tcPr>
          <w:p>
            <w:pPr>
              <w:spacing w:after="0" w:line="20" w:lineRule="exact"/>
              <w:rPr>
                <w:sz w:val="1"/>
                <w:szCs w:val="1"/>
                <w:color w:val="auto"/>
              </w:rPr>
            </w:pPr>
          </w:p>
        </w:tc>
        <w:tc>
          <w:tcPr>
            <w:tcW w:w="488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FF"/>
                <w:w w:val="87"/>
              </w:rPr>
            </w:pPr>
            <w:hyperlink w:anchor="page46">
              <w:r>
                <w:rPr>
                  <w:rFonts w:ascii="Arial" w:cs="Arial" w:eastAsia="Arial" w:hAnsi="Arial"/>
                  <w:sz w:val="18"/>
                  <w:szCs w:val="18"/>
                  <w:color w:val="0000FF"/>
                  <w:w w:val="87"/>
                </w:rPr>
                <w:t>Risk Factors</w:t>
              </w:r>
            </w:hyperlink>
          </w:p>
        </w:tc>
        <w:tc>
          <w:tcPr>
            <w:tcW w:w="400" w:type="dxa"/>
            <w:vAlign w:val="bottom"/>
            <w:gridSpan w:val="2"/>
          </w:tcPr>
          <w:p>
            <w:pPr>
              <w:spacing w:after="0"/>
              <w:rPr>
                <w:sz w:val="24"/>
                <w:szCs w:val="24"/>
                <w:color w:val="auto"/>
              </w:rPr>
            </w:pPr>
          </w:p>
        </w:tc>
        <w:tc>
          <w:tcPr>
            <w:tcW w:w="7920" w:type="dxa"/>
            <w:vAlign w:val="bottom"/>
            <w:gridSpan w:val="13"/>
          </w:tcPr>
          <w:p>
            <w:pPr>
              <w:spacing w:after="0"/>
              <w:rPr>
                <w:sz w:val="24"/>
                <w:szCs w:val="24"/>
                <w:color w:val="auto"/>
              </w:rPr>
            </w:pPr>
          </w:p>
        </w:tc>
        <w:tc>
          <w:tcPr>
            <w:tcW w:w="880" w:type="dxa"/>
            <w:vAlign w:val="bottom"/>
            <w:gridSpan w:val="3"/>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488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gridSpan w:val="10"/>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Unregistered Sales of Equity Securities and Use of Proceeds</w:t>
              </w:r>
            </w:hyperlink>
          </w:p>
        </w:tc>
        <w:tc>
          <w:tcPr>
            <w:tcW w:w="4880" w:type="dxa"/>
            <w:vAlign w:val="bottom"/>
            <w:gridSpan w:val="8"/>
          </w:tcPr>
          <w:p>
            <w:pPr>
              <w:spacing w:after="0"/>
              <w:rPr>
                <w:sz w:val="24"/>
                <w:szCs w:val="24"/>
                <w:color w:val="auto"/>
              </w:rPr>
            </w:pPr>
          </w:p>
        </w:tc>
        <w:tc>
          <w:tcPr>
            <w:tcW w:w="880" w:type="dxa"/>
            <w:vAlign w:val="bottom"/>
            <w:gridSpan w:val="3"/>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4340" w:type="dxa"/>
            <w:vAlign w:val="bottom"/>
            <w:gridSpan w:val="10"/>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Other Information</w:t>
              </w:r>
            </w:hyperlink>
          </w:p>
        </w:tc>
        <w:tc>
          <w:tcPr>
            <w:tcW w:w="4880" w:type="dxa"/>
            <w:vAlign w:val="bottom"/>
            <w:gridSpan w:val="8"/>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92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Exhibits</w:t>
              </w:r>
            </w:hyperlink>
          </w:p>
        </w:tc>
        <w:tc>
          <w:tcPr>
            <w:tcW w:w="700" w:type="dxa"/>
            <w:vAlign w:val="bottom"/>
            <w:gridSpan w:val="3"/>
          </w:tcPr>
          <w:p>
            <w:pPr>
              <w:spacing w:after="0"/>
              <w:rPr>
                <w:sz w:val="24"/>
                <w:szCs w:val="24"/>
                <w:color w:val="auto"/>
              </w:rPr>
            </w:pPr>
          </w:p>
        </w:tc>
        <w:tc>
          <w:tcPr>
            <w:tcW w:w="7920" w:type="dxa"/>
            <w:vAlign w:val="bottom"/>
            <w:gridSpan w:val="13"/>
          </w:tcPr>
          <w:p>
            <w:pPr>
              <w:spacing w:after="0"/>
              <w:rPr>
                <w:sz w:val="24"/>
                <w:szCs w:val="24"/>
                <w:color w:val="auto"/>
              </w:rPr>
            </w:pPr>
          </w:p>
        </w:tc>
        <w:tc>
          <w:tcPr>
            <w:tcW w:w="88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tcPr>
          <w:p>
            <w:pPr>
              <w:spacing w:after="0"/>
              <w:rPr>
                <w:rFonts w:ascii="Arial" w:cs="Arial" w:eastAsia="Arial" w:hAnsi="Arial"/>
                <w:sz w:val="18"/>
                <w:szCs w:val="18"/>
                <w:color w:val="0000FF"/>
                <w:w w:val="85"/>
              </w:rPr>
            </w:pPr>
            <w:hyperlink w:anchor="page48">
              <w:r>
                <w:rPr>
                  <w:rFonts w:ascii="Arial" w:cs="Arial" w:eastAsia="Arial" w:hAnsi="Arial"/>
                  <w:sz w:val="18"/>
                  <w:szCs w:val="18"/>
                  <w:color w:val="0000FF"/>
                  <w:w w:val="85"/>
                </w:rPr>
                <w:t>Signatures</w:t>
              </w:r>
            </w:hyperlink>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4016375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220" w:type="dxa"/>
            <w:vAlign w:val="bottom"/>
          </w:tcPr>
          <w:p>
            <w:pPr>
              <w:jc w:val="right"/>
              <w:ind w:right="19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1"/>
        </w:trPr>
        <w:tc>
          <w:tcPr>
            <w:tcW w:w="8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52"/>
              <w:spacing w:after="0"/>
              <w:rPr>
                <w:sz w:val="20"/>
                <w:szCs w:val="20"/>
                <w:color w:val="auto"/>
              </w:rPr>
            </w:pPr>
            <w:r>
              <w:rPr>
                <w:rFonts w:ascii="Arial" w:cs="Arial" w:eastAsia="Arial" w:hAnsi="Arial"/>
                <w:sz w:val="14"/>
                <w:szCs w:val="14"/>
                <w:color w:val="auto"/>
                <w:w w:val="93"/>
              </w:rPr>
              <w:t>(unaudited)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27,982</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w w:val="96"/>
              </w:rPr>
              <w:t>Accounts receivable, less allowances of $13,876 at June 30, 2022 and $16,544 at December 31, 2021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106,164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175,076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270,516</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11,499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427,163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485,073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20,748</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81,100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86,487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221,306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212,678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23"/>
        </w:trPr>
        <w:tc>
          <w:tcPr>
            <w:tcW w:w="8240" w:type="dxa"/>
            <w:vAlign w:val="bottom"/>
          </w:tcPr>
          <w:p>
            <w:pPr>
              <w:ind w:left="11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772,688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829,074</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maturity of term loan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Current maturity of revolving credit facility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loan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61,848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82,573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112,741</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12,612</w:t>
            </w:r>
          </w:p>
        </w:tc>
        <w:tc>
          <w:tcPr>
            <w:tcW w:w="0" w:type="dxa"/>
            <w:vAlign w:val="bottom"/>
          </w:tcPr>
          <w:p>
            <w:pPr>
              <w:spacing w:after="0"/>
              <w:rPr>
                <w:sz w:val="1"/>
                <w:szCs w:val="1"/>
                <w:color w:val="auto"/>
              </w:rPr>
            </w:pPr>
          </w:p>
        </w:tc>
      </w:tr>
      <w:tr>
        <w:trPr>
          <w:trHeight w:val="223"/>
        </w:trPr>
        <w:tc>
          <w:tcPr>
            <w:tcW w:w="824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180,194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214,301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12,116</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INCOME TAXES PAYABLE, LONG-TERM</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90,824</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12,842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 LOAN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241,873</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90"/>
              </w:rPr>
              <w:t>Preferred stock, $1.00 par value, shares authorized: 100 shares of Series A and 2,000,000 shares of Series</w:t>
            </w:r>
          </w:p>
        </w:tc>
        <w:tc>
          <w:tcPr>
            <w:tcW w:w="2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 none issued and outstanding</w:t>
            </w:r>
          </w:p>
        </w:tc>
        <w:tc>
          <w:tcPr>
            <w:tcW w:w="2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40" w:type="dxa"/>
            <w:vAlign w:val="bottom"/>
          </w:tcPr>
          <w:p>
            <w:pPr>
              <w:ind w:left="500"/>
              <w:spacing w:after="0" w:line="176" w:lineRule="exact"/>
              <w:rPr>
                <w:sz w:val="20"/>
                <w:szCs w:val="20"/>
                <w:color w:val="auto"/>
              </w:rPr>
            </w:pPr>
            <w:r>
              <w:rPr>
                <w:rFonts w:ascii="Arial" w:cs="Arial" w:eastAsia="Arial" w:hAnsi="Arial"/>
                <w:sz w:val="18"/>
                <w:szCs w:val="18"/>
                <w:color w:val="auto"/>
                <w:w w:val="90"/>
              </w:rPr>
              <w:t>Common stock, $0.01 par value, shares authorized: 50,000,000 at June 30, 2022 and December 31, 2021;</w:t>
            </w:r>
          </w:p>
        </w:tc>
        <w:tc>
          <w:tcPr>
            <w:tcW w:w="2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9"/>
        </w:trPr>
        <w:tc>
          <w:tcPr>
            <w:tcW w:w="8240" w:type="dxa"/>
            <w:vAlign w:val="bottom"/>
          </w:tcPr>
          <w:p>
            <w:pPr>
              <w:ind w:left="500"/>
              <w:spacing w:after="0"/>
              <w:rPr>
                <w:sz w:val="20"/>
                <w:szCs w:val="20"/>
                <w:color w:val="auto"/>
              </w:rPr>
            </w:pPr>
            <w:r>
              <w:rPr>
                <w:rFonts w:ascii="Arial" w:cs="Arial" w:eastAsia="Arial" w:hAnsi="Arial"/>
                <w:sz w:val="18"/>
                <w:szCs w:val="18"/>
                <w:color w:val="auto"/>
                <w:w w:val="96"/>
              </w:rPr>
              <w:t>shares issued and outstanding: 22,058,883 at June 30, 2022 and 22,018,016 at December 31, 2021</w:t>
            </w:r>
          </w:p>
        </w:tc>
        <w:tc>
          <w:tcPr>
            <w:tcW w:w="2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Paid-in capital</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271,556</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17,419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(33,549)</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245,368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255,646</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829,074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6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83"/>
        </w:trPr>
        <w:tc>
          <w:tcPr>
            <w:tcW w:w="57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r>
      <w:tr>
        <w:trPr>
          <w:trHeight w:val="224"/>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382,289</w:t>
            </w: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250,128</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132,161</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Distribution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36,598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37,577</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74,337</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20,247</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w:t>
            </w:r>
          </w:p>
        </w:tc>
      </w:tr>
      <w:tr>
        <w:trPr>
          <w:trHeight w:val="22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 to market gain on interest rate derivatives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 and equity in earnings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12,958</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(4,248)</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net of taxes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NET (LOSS)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8,856</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(LOSS) INCOME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04"/>
        </w:trPr>
        <w:tc>
          <w:tcPr>
            <w:tcW w:w="578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b w:val="1"/>
                <w:bCs w:val="1"/>
                <w:color w:val="auto"/>
              </w:rPr>
              <w:t>DILUTED (LOSS) INCOME PER COMMON SHARE</w:t>
            </w: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0.26</w:t>
            </w: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(0.14)</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0.40</w:t>
            </w: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6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83"/>
        </w:trPr>
        <w:tc>
          <w:tcPr>
            <w:tcW w:w="57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224"/>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8,856</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r>
      <w:tr>
        <w:trPr>
          <w:trHeight w:val="229"/>
        </w:trPr>
        <w:tc>
          <w:tcPr>
            <w:tcW w:w="5780" w:type="dxa"/>
            <w:vAlign w:val="bottom"/>
          </w:tcPr>
          <w:p>
            <w:pPr>
              <w:ind w:left="340"/>
              <w:spacing w:after="0"/>
              <w:rPr>
                <w:sz w:val="20"/>
                <w:szCs w:val="20"/>
                <w:color w:val="auto"/>
              </w:rPr>
            </w:pPr>
            <w:r>
              <w:rPr>
                <w:rFonts w:ascii="Arial" w:cs="Arial" w:eastAsia="Arial" w:hAnsi="Arial"/>
                <w:sz w:val="18"/>
                <w:szCs w:val="18"/>
                <w:color w:val="auto"/>
              </w:rPr>
              <w:t>Net change in cash flow hedges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 net of taxes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w:t>
            </w: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13,210</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vMerge w:val="restart"/>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 other</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3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3"/>
                <w:szCs w:val="3"/>
                <w:color w:val="auto"/>
              </w:rPr>
            </w:pP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88"/>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8"/>
              </w:rPr>
              <w:t>loss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22,018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271,556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17,419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(33,549)</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255,646</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taxes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Performance shares issued to employees</w:t>
            </w:r>
          </w:p>
        </w:tc>
        <w:tc>
          <w:tcPr>
            <w:tcW w:w="960" w:type="dxa"/>
            <w:vAlign w:val="bottom"/>
          </w:tcPr>
          <w:p>
            <w:pPr>
              <w:jc w:val="right"/>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issuance of restricted shares granted to employees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1,151</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exercise of 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35"/>
        </w:trPr>
        <w:tc>
          <w:tcPr>
            <w:tcW w:w="38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repurchase</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0" w:type="dxa"/>
            <w:vAlign w:val="bottom"/>
          </w:tcPr>
          <w:p>
            <w:pPr>
              <w:spacing w:after="0"/>
              <w:rPr>
                <w:sz w:val="1"/>
                <w:szCs w:val="1"/>
                <w:color w:val="auto"/>
              </w:rPr>
            </w:pPr>
          </w:p>
        </w:tc>
      </w:tr>
      <w:tr>
        <w:trPr>
          <w:trHeight w:val="189"/>
        </w:trPr>
        <w:tc>
          <w:tcPr>
            <w:tcW w:w="38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180"/>
        </w:trPr>
        <w:tc>
          <w:tcPr>
            <w:tcW w:w="3820" w:type="dxa"/>
            <w:vAlign w:val="bottom"/>
            <w:tcBorders>
              <w:top w:val="single" w:sz="8" w:color="CCEEFF"/>
              <w:bottom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BALANCE AT MARCH 31, 2022</w:t>
            </w:r>
          </w:p>
        </w:tc>
        <w:tc>
          <w:tcPr>
            <w:tcW w:w="9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22,318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271,698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16,839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(33,028)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255,732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20" w:type="dxa"/>
            <w:vAlign w:val="bottom"/>
            <w:tcBorders>
              <w:top w:val="single" w:sz="8" w:color="CCEEFF"/>
            </w:tcBorders>
            <w:gridSpan w:val="2"/>
            <w:vMerge w:val="continue"/>
          </w:tcPr>
          <w:p>
            <w:pPr>
              <w:spacing w:after="0"/>
              <w:rPr>
                <w:sz w:val="13"/>
                <w:szCs w:val="13"/>
                <w:color w:val="auto"/>
              </w:rPr>
            </w:pPr>
          </w:p>
        </w:tc>
        <w:tc>
          <w:tcPr>
            <w:tcW w:w="9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(3,460)</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(3,460)</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taxes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(3,328)</w:t>
            </w:r>
          </w:p>
        </w:tc>
        <w:tc>
          <w:tcPr>
            <w:tcW w:w="0" w:type="dxa"/>
            <w:vAlign w:val="bottom"/>
          </w:tcPr>
          <w:p>
            <w:pPr>
              <w:spacing w:after="0"/>
              <w:rPr>
                <w:sz w:val="1"/>
                <w:szCs w:val="1"/>
                <w:color w:val="auto"/>
              </w:rPr>
            </w:pPr>
          </w:p>
        </w:tc>
      </w:tr>
      <w:tr>
        <w:trPr>
          <w:trHeight w:val="135"/>
        </w:trPr>
        <w:tc>
          <w:tcPr>
            <w:tcW w:w="38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Net issuance of restricted shares granted to employees and</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directors</w:t>
            </w: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compensation expense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exercise of stock options</w:t>
            </w: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repurchase</w:t>
            </w:r>
          </w:p>
        </w:tc>
        <w:tc>
          <w:tcPr>
            <w:tcW w:w="960" w:type="dxa"/>
            <w:vAlign w:val="bottom"/>
          </w:tcPr>
          <w:p>
            <w:pPr>
              <w:jc w:val="right"/>
              <w:spacing w:after="0"/>
              <w:rPr>
                <w:sz w:val="20"/>
                <w:szCs w:val="20"/>
                <w:color w:val="auto"/>
              </w:rPr>
            </w:pPr>
            <w:r>
              <w:rPr>
                <w:rFonts w:ascii="Arial" w:cs="Arial" w:eastAsia="Arial" w:hAnsi="Arial"/>
                <w:sz w:val="14"/>
                <w:szCs w:val="14"/>
                <w:color w:val="auto"/>
              </w:rPr>
              <w:t>(286)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(4,197)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(3,528)</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203"/>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22,059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273,279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8,224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(36,356)</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245,368</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 other</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1"/>
                <w:szCs w:val="11"/>
                <w:color w:val="auto"/>
              </w:rPr>
            </w:pPr>
          </w:p>
        </w:tc>
        <w:tc>
          <w:tcPr>
            <w:tcW w:w="14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40" w:type="dxa"/>
            <w:vAlign w:val="bottom"/>
          </w:tcPr>
          <w:p>
            <w:pPr>
              <w:spacing w:after="0"/>
              <w:rPr>
                <w:sz w:val="11"/>
                <w:szCs w:val="11"/>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8"/>
              </w:rPr>
              <w:t>loss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21,755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268,666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(39,172)</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230,136</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3,067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3,067</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taxes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Performance shares issued to employees</w:t>
            </w:r>
          </w:p>
        </w:tc>
        <w:tc>
          <w:tcPr>
            <w:tcW w:w="960" w:type="dxa"/>
            <w:vAlign w:val="bottom"/>
          </w:tcPr>
          <w:p>
            <w:pPr>
              <w:jc w:val="right"/>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issuance of restricted shares granted to employees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1,439</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exercise of 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35"/>
        </w:trPr>
        <w:tc>
          <w:tcPr>
            <w:tcW w:w="38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(2,159)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(2,160)</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155"/>
        </w:trPr>
        <w:tc>
          <w:tcPr>
            <w:tcW w:w="38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BALANCE AT MARCH 31, 2021</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21,980</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220</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268,127</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2,548</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(37,489)</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233,406</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5,789</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Total comprehensive income</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2,671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2,671</w:t>
            </w: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Net issuance of restricted shares granted to employees and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directors</w:t>
            </w: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1,323</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exercise of 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35"/>
        </w:trPr>
        <w:tc>
          <w:tcPr>
            <w:tcW w:w="38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22,007</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268,976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7,423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(34,818)</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241,801</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40" w:hanging="132"/>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14"/>
          <w:szCs w:val="14"/>
          <w:color w:val="auto"/>
        </w:rPr>
        <w:t>Cash dividends declared per share of common stock were $0.085 and $0.085 in the six months ended June 30, 2022 and 2021, respectively.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48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772"/>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7200" w:type="dxa"/>
            <w:vAlign w:val="bottom"/>
          </w:tcPr>
          <w:p>
            <w:pPr>
              <w:jc w:val="center"/>
              <w:ind w:left="1390"/>
              <w:spacing w:after="0"/>
              <w:rPr>
                <w:sz w:val="20"/>
                <w:szCs w:val="20"/>
                <w:color w:val="auto"/>
              </w:rPr>
            </w:pPr>
            <w:r>
              <w:rPr>
                <w:rFonts w:ascii="Arial" w:cs="Arial" w:eastAsia="Arial" w:hAnsi="Arial"/>
                <w:sz w:val="18"/>
                <w:szCs w:val="18"/>
                <w:b w:val="1"/>
                <w:bCs w:val="1"/>
                <w:color w:val="auto"/>
              </w:rPr>
              <w:t>LIFETIME BRANDS, INC.</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0" w:type="dxa"/>
            <w:vAlign w:val="bottom"/>
          </w:tcPr>
          <w:p>
            <w:pPr>
              <w:jc w:val="center"/>
              <w:ind w:left="13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0" w:type="dxa"/>
            <w:vAlign w:val="bottom"/>
          </w:tcPr>
          <w:p>
            <w:pPr>
              <w:jc w:val="center"/>
              <w:ind w:left="1410"/>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0" w:type="dxa"/>
            <w:vAlign w:val="bottom"/>
          </w:tcPr>
          <w:p>
            <w:pPr>
              <w:jc w:val="center"/>
              <w:ind w:left="1390"/>
              <w:spacing w:after="0"/>
              <w:rPr>
                <w:sz w:val="20"/>
                <w:szCs w:val="20"/>
                <w:color w:val="auto"/>
              </w:rPr>
            </w:pPr>
            <w:r>
              <w:rPr>
                <w:rFonts w:ascii="Arial" w:cs="Arial" w:eastAsia="Arial" w:hAnsi="Arial"/>
                <w:sz w:val="18"/>
                <w:szCs w:val="18"/>
                <w:color w:val="auto"/>
                <w:w w:val="92"/>
              </w:rPr>
              <w:t>(unaudited)</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4"/>
          </w:tcPr>
          <w:p>
            <w:pPr>
              <w:jc w:val="right"/>
              <w:ind w:right="570"/>
              <w:spacing w:after="0" w:line="202" w:lineRule="exact"/>
              <w:rPr>
                <w:sz w:val="20"/>
                <w:szCs w:val="20"/>
                <w:color w:val="auto"/>
              </w:rPr>
            </w:pPr>
            <w:r>
              <w:rPr>
                <w:rFonts w:ascii="Arial" w:cs="Arial" w:eastAsia="Arial" w:hAnsi="Arial"/>
                <w:sz w:val="18"/>
                <w:szCs w:val="18"/>
                <w:b w:val="1"/>
                <w:bCs w:val="1"/>
                <w:color w:val="auto"/>
              </w:rPr>
              <w:t>Six Months Ended</w:t>
            </w:r>
          </w:p>
        </w:tc>
      </w:tr>
      <w:tr>
        <w:trPr>
          <w:trHeight w:val="229"/>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7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09"/>
        </w:trPr>
        <w:tc>
          <w:tcPr>
            <w:tcW w:w="4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Net (loss)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8,856</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11,723</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Amortization of financing costs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Mark to market (gain) on interest rate derivatives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Non-cash lease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Recovery for doubtful accounts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Stock compensation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r>
      <w:tr>
        <w:trPr>
          <w:trHeight w:val="229"/>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Undistributed (earnings) from equity investment, net of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 (excluding the effects of business acquisitions)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69,500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49,943</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Inventory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(14,305)</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Prepaid expenses, other current assets and other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2,931</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Accounts payable, accrued expenses and other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(12,516)</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Income taxes receivable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(1,750)</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w:t>
            </w:r>
          </w:p>
        </w:tc>
      </w:tr>
      <w:tr>
        <w:trPr>
          <w:trHeight w:val="223"/>
        </w:trPr>
        <w:tc>
          <w:tcPr>
            <w:tcW w:w="40" w:type="dxa"/>
            <w:vAlign w:val="bottom"/>
          </w:tcPr>
          <w:p>
            <w:pPr>
              <w:spacing w:after="0"/>
              <w:rPr>
                <w:sz w:val="19"/>
                <w:szCs w:val="19"/>
                <w:color w:val="auto"/>
              </w:rPr>
            </w:pPr>
          </w:p>
        </w:tc>
        <w:tc>
          <w:tcPr>
            <w:tcW w:w="8440" w:type="dxa"/>
            <w:vAlign w:val="bottom"/>
            <w:tcBorders>
              <w:bottom w:val="single" w:sz="8" w:color="CCEEFF"/>
            </w:tcBorders>
            <w:gridSpan w:val="2"/>
          </w:tcPr>
          <w:p>
            <w:pPr>
              <w:ind w:left="104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42,131</w:t>
            </w:r>
          </w:p>
        </w:tc>
      </w:tr>
      <w:tr>
        <w:trPr>
          <w:trHeight w:val="209"/>
        </w:trPr>
        <w:tc>
          <w:tcPr>
            <w:tcW w:w="4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(2,497)</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Acquisitions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(17,956)</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3"/>
        </w:trPr>
        <w:tc>
          <w:tcPr>
            <w:tcW w:w="40" w:type="dxa"/>
            <w:vAlign w:val="bottom"/>
          </w:tcPr>
          <w:p>
            <w:pPr>
              <w:spacing w:after="0"/>
              <w:rPr>
                <w:sz w:val="19"/>
                <w:szCs w:val="19"/>
                <w:color w:val="auto"/>
              </w:rPr>
            </w:pPr>
          </w:p>
        </w:tc>
        <w:tc>
          <w:tcPr>
            <w:tcW w:w="8440" w:type="dxa"/>
            <w:vAlign w:val="bottom"/>
            <w:tcBorders>
              <w:bottom w:val="single" w:sz="8" w:color="CCEEFF"/>
            </w:tcBorders>
            <w:gridSpan w:val="2"/>
          </w:tcPr>
          <w:p>
            <w:pPr>
              <w:ind w:left="100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(19,435)</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r>
      <w:tr>
        <w:trPr>
          <w:trHeight w:val="210"/>
        </w:trPr>
        <w:tc>
          <w:tcPr>
            <w:tcW w:w="4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Proceeds from revolving credit facility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157,751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10,845</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Repayments of revolving credit facility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(38,131)</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Repayments of term loan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(10,478)</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short-term loan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Repayments of short-term loan</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Payments for finance lease obligations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Payments of tax withholding for stock based compensation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(3,185)</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the exercise of stock options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Payments for stock repurchase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dividends paid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r>
      <w:tr>
        <w:trPr>
          <w:trHeight w:val="223"/>
        </w:trPr>
        <w:tc>
          <w:tcPr>
            <w:tcW w:w="40" w:type="dxa"/>
            <w:vAlign w:val="bottom"/>
          </w:tcPr>
          <w:p>
            <w:pPr>
              <w:spacing w:after="0"/>
              <w:rPr>
                <w:sz w:val="19"/>
                <w:szCs w:val="19"/>
                <w:color w:val="auto"/>
              </w:rPr>
            </w:pPr>
          </w:p>
        </w:tc>
        <w:tc>
          <w:tcPr>
            <w:tcW w:w="8440" w:type="dxa"/>
            <w:vAlign w:val="bottom"/>
            <w:tcBorders>
              <w:bottom w:val="single" w:sz="8" w:color="CCEEFF"/>
            </w:tcBorders>
            <w:gridSpan w:val="2"/>
          </w:tcPr>
          <w:p>
            <w:pPr>
              <w:ind w:left="10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(42,214)</w:t>
            </w:r>
          </w:p>
        </w:tc>
      </w:tr>
      <w:tr>
        <w:trPr>
          <w:trHeight w:val="223"/>
        </w:trPr>
        <w:tc>
          <w:tcPr>
            <w:tcW w:w="4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exchange on cash</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3"/>
        </w:trPr>
        <w:tc>
          <w:tcPr>
            <w:tcW w:w="4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(2,618)</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35,963</w:t>
            </w:r>
          </w:p>
        </w:tc>
      </w:tr>
      <w:tr>
        <w:trPr>
          <w:trHeight w:val="223"/>
        </w:trPr>
        <w:tc>
          <w:tcPr>
            <w:tcW w:w="4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33,345</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140"/>
        <w:spacing w:after="0" w:line="377" w:lineRule="auto"/>
        <w:rPr>
          <w:sz w:val="20"/>
          <w:szCs w:val="20"/>
          <w:color w:val="auto"/>
        </w:rPr>
      </w:pPr>
      <w:r>
        <w:rPr>
          <w:rFonts w:ascii="Arial" w:cs="Arial" w:eastAsia="Arial" w:hAnsi="Arial"/>
          <w:sz w:val="18"/>
          <w:szCs w:val="18"/>
          <w:b w:val="1"/>
          <w:bCs w:val="1"/>
          <w:color w:val="auto"/>
        </w:rPr>
        <w:t>NOTE 1 — BASIS OF PRESENTATION AND SUMMARY OF ACCOUNTING POLICIES Organization and business</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Lifetime Brands, Inc. (“the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(“U.S. GAAP”) for interim financial information and with the instructions to Quarterly Reports on Form 10-Q and Article 10 of Regulation S-X. Accordingly, they do not include all of the information and footnotes required by U.S. GAAP for complete financial statements. In the opinion of management, all adjustments, which consist of normal recurring accruals and non-recurring adjustments, considered necessary for a fair presentation have been included.</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These condensed consolidated financial statements should be read in conjunction with the consolidated financial statements and footnotes thereto included in the Company’s Annual Report on Form 10-K for the fiscal year ended December 31, 2021.</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Operating results for the three and six months ended June 30, 2022 are not necessarily indicative of the results that may be expected for the year ending December 31, 2022.</w:t>
      </w:r>
    </w:p>
    <w:p>
      <w:pPr>
        <w:spacing w:after="0" w:line="17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Company’s business and working capital needs are highly seasonal, with a majority of sales occurring in the third and fourth quarters. In 2021 and 2020, net sales for the third and fourth quarters accounted for 56% and 62% of total annual net sales, respectively. The increase in the Company's net sales in the first half of the year in 2021 compared to historical trend was a result of increased demand for the Company's products due to shifts in consumer purchasing patterns. In anticipation of the pre-holiday shipping season, inventory levels increase primarily in the June through October time period.</w:t>
      </w:r>
    </w:p>
    <w:p>
      <w:pPr>
        <w:spacing w:after="0" w:line="157"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Company’s current estimates contemplate current and expected future conditions, as applicable, however it is reasonably possible that actual conditions could differ from expectations, which could materially affect the Company’s results of operations and financial position.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—REVENUE to the unaudited condensed consolidated financial statements included in this Quarterly Report on Form 10-Q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Cost of sales consist primarily of costs associated with the production and procurement of product, inbound freight costs, purchasing costs, royalties, and other product procurement related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Distribution expenses consist primarily of warehousing expenses and freight-out expenses. Handling costs of products sold are included in cost of sales.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periodically reviews the collectability of its accounts receivable and establishes allowances for estimated losses that could result from the inability of its customers to make required payments, taking into consideration customer credit history and financial condition, industry and market segment information, credit reports, and economic trends and conditions such as the impacts of the COVID-19 pandemic. A considerable amount of judgment is required to assess the ultimate realization of these receivables, including assessing the initial and on-going creditworthiness of the Company’s customers.</w:t>
      </w:r>
    </w:p>
    <w:p>
      <w:pPr>
        <w:spacing w:after="0" w:line="188"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Company has an uncommitted Receivables Purchase Agreement with HSBC Bank USA, National Association (“HSBC”) as Purchaser (the “Receivables Purchase Agreement”). The sale of accounts receivable, under the Receivables Purchase Agreement with HSBC, is excluded from the Company’s unaudited condensed consolidated balance sheets at the time of sale and the related sale expense is included in selling, general and administrative expenses in the Company’s unaudited condensed consolidated statements of operations. Pursuant to the Receivable Purchase Agreement, the Company sold to HSBC $33.5 million and $79.8 million of receivables during the three and six months ended June 30, 2022, respectively and</w:t>
      </w:r>
    </w:p>
    <w:p>
      <w:pPr>
        <w:spacing w:after="0" w:line="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$38.9 million and $79.5 million of receivables during three and six months ended June 30, 2021, respectively. Charges of $0.2 million and $0.1 million related to the sale of the receivables are included in selling, general and administrative expenses in the unaudited condensed consolidated statements of operations for the three months ended June 30, 2022 and 2021, respectively. Charges of $0.3 million and $0.2 million related to the sale of the receivables are included in selling, general and administrative expenses in the unaudited condensed consolidated statements of operations for the six months ended June 30, 2022 and 2021, respectively. At June 30, 2022 and 2021, $25.6 million and $14.6 million, respectively, of receivables sold were outstanding and due to HSBC from customers.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were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8"/>
        </w:trPr>
        <w:tc>
          <w:tcPr>
            <w:tcW w:w="33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9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283,764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9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Arial" w:cs="Arial" w:eastAsia="Arial" w:hAnsi="Arial"/>
                <w:sz w:val="18"/>
                <w:szCs w:val="18"/>
                <w:color w:val="auto"/>
              </w:rPr>
              <w:t>Total</w:t>
            </w:r>
          </w:p>
        </w:tc>
        <w:tc>
          <w:tcPr>
            <w:tcW w:w="49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295,139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900" w:type="dxa"/>
            <w:vAlign w:val="bottom"/>
            <w:vMerge w:val="restart"/>
          </w:tcPr>
          <w:p>
            <w:pPr>
              <w:jc w:val="right"/>
              <w:ind w:right="2370"/>
              <w:spacing w:after="0"/>
              <w:rPr>
                <w:sz w:val="20"/>
                <w:szCs w:val="20"/>
                <w:color w:val="auto"/>
              </w:rPr>
            </w:pPr>
            <w:r>
              <w:rPr>
                <w:rFonts w:ascii="Arial" w:cs="Arial" w:eastAsia="Arial" w:hAnsi="Arial"/>
                <w:sz w:val="18"/>
                <w:szCs w:val="18"/>
                <w:color w:val="auto"/>
              </w:rPr>
              <w:t>- 8 -</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34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(each as defined in NOTE 7 — DEBT to the unaudited condensed consolidated financial statements included in this Quarterly Report on Form 10-Q) approximate fair value since such borrowings bear interest at variable market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accounts for derivative instruments in accordance with Accounting Standard Codification (“ASC”) Topic 815, </w:t>
      </w:r>
      <w:r>
        <w:rPr>
          <w:rFonts w:ascii="Arial" w:cs="Arial" w:eastAsia="Arial" w:hAnsi="Arial"/>
          <w:sz w:val="17"/>
          <w:szCs w:val="17"/>
          <w:i w:val="1"/>
          <w:iCs w:val="1"/>
          <w:color w:val="auto"/>
        </w:rPr>
        <w:t>Derivatives and Hedging</w:t>
      </w:r>
    </w:p>
    <w:p>
      <w:pPr>
        <w:spacing w:after="0" w:line="3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color w:val="auto"/>
        </w:rPr>
        <w:t>“ASC 815”</w:t>
      </w:r>
      <w:r>
        <w:rPr>
          <w:rFonts w:ascii="Arial" w:cs="Arial" w:eastAsia="Arial" w:hAnsi="Arial"/>
          <w:sz w:val="17"/>
          <w:szCs w:val="17"/>
          <w:i w:val="1"/>
          <w:iCs w:val="1"/>
          <w:color w:val="auto"/>
        </w:rPr>
        <w:t>)</w:t>
      </w:r>
      <w:r>
        <w:rPr>
          <w:rFonts w:ascii="Arial" w:cs="Arial" w:eastAsia="Arial" w:hAnsi="Arial"/>
          <w:sz w:val="17"/>
          <w:szCs w:val="17"/>
          <w:color w:val="auto"/>
        </w:rPr>
        <w:t>. ASC 815 requires that all derivative instruments be recognized on the balance sheet at fair value as either an asset or liability. Changes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derivatives that qualify as hedges and have been designated as part of a hedging relationship for accounting purposes have no net impact on earnings until the hedged item is recognized in earnings. The changes in the fair value of hedges are included in accumulated other comprehensive loss and are subsequently recognized in the Company’s unaudited condensed consolidated statements of operations to mirror the location of the hedged items impacting earnings. Changes in fair value of derivatives that do not qualify as hedging instruments for accounting purposes are recorded in the Company’s unaudited condensed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w:t>
      </w:r>
    </w:p>
    <w:p>
      <w:pPr>
        <w:spacing w:after="0" w:line="1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Financial Accounting Standards Board's (“FASB”) Accounting Standards Update No.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reviews goodwill and other intangibles that have indefinite lives for impairment annually as of October 1 or when events or changes in circumstances indicate the carrying value of these assets might exceed their current fair values. Impairment testing is based upon the best information available, including estimates of fair value which incorporate assumptions marketplace participants would use in making their estimates of fair value.</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 For the guideline public company method, significant assumptions relate to the selection of appropriate guideline companies and related valuation multiples used in the market analysis.</w:t>
      </w:r>
    </w:p>
    <w:p>
      <w:pPr>
        <w:spacing w:after="0" w:line="19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 also evaluates qualitative factors to determine whether impairment indicators exist for its indefinite lived intangibles and performs quantitative tests if required. These tests can include the relief from royalty model or other valuation models.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 See NOTE 6 — INTANGIBLE ASSETS to the unaudited condensed consolidated financial statements included in this Quarterly Report on Form 10-Q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are included in property and equipment, net, accrued expenses and other long-term liabilities. The Company’s finance leases are not material to the Company’s condensed consolidated balance sheets.</w:t>
      </w:r>
    </w:p>
    <w:p>
      <w:pPr>
        <w:spacing w:after="0" w:line="18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spacing w:after="0" w:line="16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certain equipment leases, the Company applies a portfolio approach to effectively account for any ROU assets and lease liabilities. Leases with an initial term of twelve months or less are not recorded on the balance sheet.</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elected the practical expedient to account for each separate lease component of a contract and its associated non-lease components as a single lease component, thus causing all fixed payments to be capitalized.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Costs associated with restructuring activities are recorded at fair value when a liability has been incurred. Generally, a liability has been incurred at the communication date for severance. Charges associated with lease terminations, related to restructuring activities, are recognized at the effective date of the lease modification.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Effective January 1, 2022, the Company adopted ASU No. 2021-08, Business Combinations (Topic 805): Accounting for Contract Assets and Contract Liabilities from Contracts with Customers (ASU 2021-08), which clarifies that an acquirer of a business should recognize and measure contract assets and contract liabilities in a business combination in accordance with Accounting Standards Codification (ASC) Topic 606, Revenue from Contracts with Customers. The adoption did not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Updates not listed below were assessed and either determined to not be applicable or are expected to have a minimal effect on the Company’s financial position, results of operations, and disclosures.</w:t>
      </w:r>
    </w:p>
    <w:p>
      <w:pPr>
        <w:spacing w:after="0" w:line="17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June 2016, the FASB issued ASU 2016-13, Measurement of Credit Losses on Financial Instruments. This guidance introduces a new model for recognizing credit losses on financial instruments based on an estimate of current expected credit losses. ASU 2016-13 also provides updated guidance regarding the impairment of available-for-sale debt securities and includes additional disclosure requirements. The new guidance is effective for public business entities that meet the definition of a Smaller Reporting Company, as defined by the Securities and Exchange Commission for interim and annual periods beginning after December 15, 2022. The Company met the definition of a Smaller Reporting Company as of the one-time determination date of November 15, 2019. Early adoption is permitted. Management is currently evaluating the impact of this standard on its consolidated financial statements and related disclosures.</w:t>
      </w:r>
    </w:p>
    <w:p>
      <w:pPr>
        <w:spacing w:after="0" w:line="19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which provides optional expedients and exceptions to account for contract modifications, hedging relationships and other transactions that reference the London Inter-Bank Offered Rate (“LIBOR”) or another reference rate that is expected to be discontinued as a result of reference rate reform. The guidance in ASU 2020-04 may be applied to contract modifications and hedging relationships as of any date from March 12, 2020, but no later than December 31, 2022, and should be applied on a prospective basis. The Company has not yet applied the guidance in ASU 2020-04 and is currently evaluating the impact of this standard on its consolidated financial statements and related disclosures.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$1.0 million and $2.0 million for the three and six months ended June 30, 2022, respectively, and $0.7 million and $1.4 million for the three and six months ended June 30, 2021, respectively. Net sales exclude taxes that are collected from customers and remitted to the taxing authorities.</w:t>
      </w:r>
    </w:p>
    <w:p>
      <w:pPr>
        <w:spacing w:after="0" w:line="16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which represent forms of variable consideration and an estimate of sales returns, are reflected as reductions in net sales in the Company’s unaudited condensed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 Payment terms vary by customer, but generally range from 30 to 90 days or at the point of sale for the Company’s retail direct sales.</w:t>
      </w:r>
    </w:p>
    <w:p>
      <w:pPr>
        <w:spacing w:after="0" w:line="177"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unaudited condensed consolidated statements of operations. Incidental items that are immaterial in the context of the contract are expensed as incurred.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2022</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40"/>
        <w:spacing w:after="0" w:line="269" w:lineRule="auto"/>
        <w:rPr>
          <w:sz w:val="20"/>
          <w:szCs w:val="20"/>
          <w:color w:val="auto"/>
        </w:rPr>
      </w:pPr>
      <w:r>
        <w:rPr>
          <w:rFonts w:ascii="Arial" w:cs="Arial" w:eastAsia="Arial" w:hAnsi="Arial"/>
          <w:sz w:val="18"/>
          <w:szCs w:val="18"/>
          <w:color w:val="auto"/>
        </w:rPr>
        <w:t>The following tables present the Company’s net sales disaggregated by segment, product category and geographic region for the three and six months ended June 30, 2022 and 2021 (in thousands):</w:t>
      </w: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4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5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7"/>
        </w:trPr>
        <w:tc>
          <w:tcPr>
            <w:tcW w:w="57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r>
      <w:tr>
        <w:trPr>
          <w:trHeight w:val="211"/>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segment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5760" w:type="dxa"/>
            <w:vAlign w:val="bottom"/>
          </w:tcPr>
          <w:p>
            <w:pPr>
              <w:ind w:left="360"/>
              <w:spacing w:after="0"/>
              <w:rPr>
                <w:sz w:val="20"/>
                <w:szCs w:val="20"/>
                <w:color w:val="auto"/>
              </w:rPr>
            </w:pPr>
            <w:r>
              <w:rPr>
                <w:rFonts w:ascii="Arial" w:cs="Arial" w:eastAsia="Arial" w:hAnsi="Arial"/>
                <w:sz w:val="18"/>
                <w:szCs w:val="18"/>
                <w:color w:val="auto"/>
              </w:rPr>
              <w:t>Kitchenware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84,345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103,627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198,475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223,622</w:t>
            </w:r>
          </w:p>
        </w:tc>
      </w:tr>
      <w:tr>
        <w:trPr>
          <w:trHeight w:val="229"/>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Tableware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67,521</w:t>
            </w:r>
          </w:p>
        </w:tc>
      </w:tr>
      <w:tr>
        <w:trPr>
          <w:trHeight w:val="229"/>
        </w:trPr>
        <w:tc>
          <w:tcPr>
            <w:tcW w:w="5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Home Solutions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51,621</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U.S. segment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137,191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303,409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342,764</w:t>
            </w:r>
          </w:p>
        </w:tc>
      </w:tr>
      <w:tr>
        <w:trPr>
          <w:trHeight w:val="237"/>
        </w:trPr>
        <w:tc>
          <w:tcPr>
            <w:tcW w:w="5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 segment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39,525</w:t>
            </w:r>
          </w:p>
        </w:tc>
      </w:tr>
      <w:tr>
        <w:trPr>
          <w:trHeight w:val="223"/>
        </w:trPr>
        <w:tc>
          <w:tcPr>
            <w:tcW w:w="5760" w:type="dxa"/>
            <w:vAlign w:val="bottom"/>
          </w:tcPr>
          <w:p>
            <w:pPr>
              <w:ind w:left="100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151,314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186,636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334,031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382,289</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5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131,650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161,946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291,052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332,714</w:t>
            </w: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22,635</w:t>
            </w:r>
          </w:p>
        </w:tc>
      </w:tr>
      <w:tr>
        <w:trPr>
          <w:trHeight w:val="229"/>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World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26,940</w:t>
            </w:r>
          </w:p>
        </w:tc>
      </w:tr>
      <w:tr>
        <w:trPr>
          <w:trHeight w:val="248"/>
        </w:trPr>
        <w:tc>
          <w:tcPr>
            <w:tcW w:w="57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382,289</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S'well</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March 2, 2022, the Company acquired certain assets of Can't Live Without It, LLC. (dba S'well Bottle and which the Company refers to as “S'well”). The Company paid cash consideration of $18.0 million. The transaction also includes up to $5.0 million in contingent consideration, subject to the acquired brand reaching certain milestones.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The purchase price was comprised of the following (in thousands):</w:t>
            </w:r>
          </w:p>
        </w:tc>
        <w:tc>
          <w:tcPr>
            <w:tcW w:w="1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135"/>
        </w:trPr>
        <w:tc>
          <w:tcPr>
            <w:tcW w:w="220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230"/>
        </w:trPr>
        <w:tc>
          <w:tcPr>
            <w:tcW w:w="220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17,956</w:t>
            </w:r>
          </w:p>
        </w:tc>
      </w:tr>
      <w:tr>
        <w:trPr>
          <w:trHeight w:val="229"/>
        </w:trPr>
        <w:tc>
          <w:tcPr>
            <w:tcW w:w="2200" w:type="dxa"/>
            <w:vAlign w:val="bottom"/>
          </w:tcPr>
          <w:p>
            <w:pPr>
              <w:spacing w:after="0"/>
              <w:rPr>
                <w:sz w:val="19"/>
                <w:szCs w:val="19"/>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Value of contingent consideration</w:t>
            </w:r>
          </w:p>
        </w:tc>
        <w:tc>
          <w:tcPr>
            <w:tcW w:w="1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r>
      <w:tr>
        <w:trPr>
          <w:trHeight w:val="248"/>
        </w:trPr>
        <w:tc>
          <w:tcPr>
            <w:tcW w:w="220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Total purchase price</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18,606</w:t>
            </w:r>
          </w:p>
        </w:tc>
      </w:tr>
      <w:tr>
        <w:trPr>
          <w:trHeight w:val="20"/>
        </w:trPr>
        <w:tc>
          <w:tcPr>
            <w:tcW w:w="220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value of contingent consideration represents the present value of estimated contingent payments of $0.7 million, related to the attainment of certain gross contribution targets for the year 2024. The maximum undiscounted contingent consideration to be paid under the agreement is $5.0 million. Acquisition related costs of $0.9 million were recorded within selling, general and administrative expenses in the unaudited condensed consolidated statements of operations.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The purchase price was allocated based on the Company’s preliminary estimate of the fair values of the assets acquired and liabilities assumed,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jc w:val="right"/>
              <w:ind w:right="70"/>
              <w:spacing w:after="0"/>
              <w:rPr>
                <w:sz w:val="20"/>
                <w:szCs w:val="20"/>
                <w:color w:val="auto"/>
              </w:rPr>
            </w:pPr>
            <w:r>
              <w:rPr>
                <w:rFonts w:ascii="Arial" w:cs="Arial" w:eastAsia="Arial" w:hAnsi="Arial"/>
                <w:sz w:val="18"/>
                <w:szCs w:val="18"/>
                <w:color w:val="auto"/>
                <w:w w:val="91"/>
              </w:rPr>
              <w:t>Purchase Price Allocation</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4,005</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assets</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13,000</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w:t>
            </w:r>
          </w:p>
        </w:tc>
      </w:tr>
      <w:tr>
        <w:trPr>
          <w:trHeight w:val="229"/>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w:t>
            </w: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allocated value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18,606</w:t>
            </w:r>
          </w:p>
        </w:tc>
      </w:tr>
    </w:tbl>
    <w:p>
      <w:pPr>
        <w:spacing w:after="0" w:line="29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acquisition is being accounted for as a business combination using the acquisition method of accounting in accordance with FASB ASC Topic 805, Business Combinations (“ASC Topic 805”), which established a new basis of accounting for all identifiable assets acquired and liabilities assumed at fair value. ASC Topic 805 allows the acquiring company to adjust preliminary amounts recognized at the acquisition date to their subsequently determined final fair values during a measurement period, generally up to one year from the date of the acquisition. The fair values of net assets acquired are based on the Company’s preliminary estimate of the respective fair values. The preliminary estimated fair values that are not yet finalized relate to the valuation of accounts receivable, inventory, accounts payable, accrued expenses, intangibles, deferred taxes and valuation of the contingent consideration.</w:t>
      </w:r>
    </w:p>
    <w:p>
      <w:pPr>
        <w:spacing w:after="0" w:line="16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goodwill recognized results from such factors as assembled workforce and the value of other synergies expected from combining operations with the Company. The associated goodwill is deductible for tax purposes. Goodwill and the trade name intangible asset are included in the U.S. segment. The trade name intangible asset is amortized on a straight-line basis over its estimated useful life of 12 years (see Note 6).</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condensed consolidated statement of operations includes $3.5 million and $4.4 million of net sales attributable to the S'well brand for the three and six months ended June 30, 2022,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&amp; Day</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26, 2021, the Company acquired the business and certain assets of Year &amp; Day, a designer and distributor of ceramic dinnerware, stainless steel flatware and Italian glassware for cash in the amount of $0.2 million. The assets and operating results of the Year &amp; Day brand are reflected in the Company’s condensed consolidated financial statements in accordance with ASC Topic No. 805, Business Combinations, commencing from the acquisition date. The purchase price was allocated based on the fair values of the assets acquired which consisted of inventory of $0.3 million and liabilities assumed of $(0.1)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operating leases for corporate offices, distribution facilities, a manufacturing plant, and certain vehicles.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three and six months ended June 30, 2022 and 2021 were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16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7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83"/>
        </w:trPr>
        <w:tc>
          <w:tcPr>
            <w:tcW w:w="57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211"/>
        </w:trPr>
        <w:tc>
          <w:tcPr>
            <w:tcW w:w="5780" w:type="dxa"/>
            <w:vAlign w:val="bottom"/>
            <w:shd w:val="clear" w:color="auto" w:fill="CCEEFF"/>
          </w:tcPr>
          <w:p>
            <w:pPr>
              <w:ind w:left="20"/>
              <w:spacing w:after="0" w:line="211" w:lineRule="exact"/>
              <w:rPr>
                <w:sz w:val="20"/>
                <w:szCs w:val="20"/>
                <w:color w:val="auto"/>
              </w:rPr>
            </w:pPr>
            <w:r>
              <w:rPr>
                <w:rFonts w:ascii="Arial" w:cs="Arial" w:eastAsia="Arial" w:hAnsi="Arial"/>
                <w:sz w:val="18"/>
                <w:szCs w:val="18"/>
                <w:color w:val="auto"/>
              </w:rPr>
              <w:t>Operating lease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Fixed lease expense</w:t>
            </w:r>
          </w:p>
        </w:tc>
        <w:tc>
          <w:tcPr>
            <w:tcW w:w="780" w:type="dxa"/>
            <w:vAlign w:val="bottom"/>
          </w:tcPr>
          <w:p>
            <w:pPr>
              <w:jc w:val="right"/>
              <w:ind w:right="59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4,521</w:t>
            </w:r>
          </w:p>
        </w:tc>
        <w:tc>
          <w:tcPr>
            <w:tcW w:w="100" w:type="dxa"/>
            <w:vAlign w:val="bottom"/>
          </w:tcPr>
          <w:p>
            <w:pPr>
              <w:spacing w:after="0"/>
              <w:rPr>
                <w:sz w:val="19"/>
                <w:szCs w:val="19"/>
                <w:color w:val="auto"/>
              </w:rPr>
            </w:pPr>
          </w:p>
        </w:tc>
        <w:tc>
          <w:tcPr>
            <w:tcW w:w="800" w:type="dxa"/>
            <w:vAlign w:val="bottom"/>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4,501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8,929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8,996</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1,174</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5,695</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5,450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10,923</w:t>
            </w:r>
          </w:p>
        </w:tc>
      </w:tr>
      <w:tr>
        <w:trPr>
          <w:trHeight w:val="20"/>
        </w:trPr>
        <w:tc>
          <w:tcPr>
            <w:tcW w:w="5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Expenses are recorded within distribution expenses and selling, general and administrative expenses on the unaudited condensed consolidated statement of operations.</w:t>
      </w:r>
    </w:p>
    <w:p>
      <w:pPr>
        <w:spacing w:after="0" w:line="200" w:lineRule="exact"/>
        <w:rPr>
          <w:rFonts w:ascii="Arial" w:cs="Arial" w:eastAsia="Arial" w:hAnsi="Arial"/>
          <w:sz w:val="9"/>
          <w:szCs w:val="9"/>
          <w:color w:val="auto"/>
        </w:rPr>
      </w:pPr>
    </w:p>
    <w:p>
      <w:pPr>
        <w:spacing w:after="0" w:line="399" w:lineRule="exact"/>
        <w:rPr>
          <w:rFonts w:ascii="Arial" w:cs="Arial" w:eastAsia="Arial" w:hAnsi="Arial"/>
          <w:sz w:val="9"/>
          <w:szCs w:val="9"/>
          <w:color w:val="auto"/>
        </w:rPr>
      </w:pPr>
    </w:p>
    <w:p>
      <w:pPr>
        <w:ind w:left="5540" w:hanging="111"/>
        <w:spacing w:after="0"/>
        <w:tabs>
          <w:tab w:leader="none" w:pos="5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for lease related liabilities and assets for the six months ended June 30, 2022 and 2021 were as follows (in thousands):</w:t>
      </w:r>
    </w:p>
    <w:p>
      <w:pPr>
        <w:spacing w:after="0" w:line="5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4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9,618</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9,764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8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8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88"/>
        </w:trPr>
        <w:tc>
          <w:tcPr>
            <w:tcW w:w="8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80" w:type="dxa"/>
            <w:vAlign w:val="bottom"/>
            <w:gridSpan w:val="7"/>
          </w:tcPr>
          <w:p>
            <w:pPr>
              <w:jc w:val="right"/>
              <w:ind w:right="11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3"/>
        </w:trPr>
        <w:tc>
          <w:tcPr>
            <w:tcW w:w="844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2,452</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8440" w:type="dxa"/>
            <w:vAlign w:val="bottom"/>
          </w:tcPr>
          <w:p>
            <w:pPr>
              <w:spacing w:after="0"/>
              <w:rPr>
                <w:sz w:val="20"/>
                <w:szCs w:val="20"/>
                <w:color w:val="auto"/>
              </w:rPr>
            </w:pPr>
            <w:r>
              <w:rPr>
                <w:rFonts w:ascii="Arial" w:cs="Arial" w:eastAsia="Arial" w:hAnsi="Arial"/>
                <w:sz w:val="18"/>
                <w:szCs w:val="18"/>
                <w:color w:val="auto"/>
                <w:w w:val="95"/>
              </w:rPr>
              <w:t>The aggregate future lease payments for operating leases as of June 30, 2022 were as follows (in thousands):</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44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Operating</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(excluding the six months ended June 30, 2022)</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2023</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2025</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2027</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119,386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Interest</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(22,111)</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Present value of lease payments</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97,275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color w:val="auto"/>
              </w:rPr>
              <w:t>Average lease terms and discount rates were as follows:</w:t>
            </w: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4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90"/>
              </w:rPr>
              <w:t>June 30, 2022</w:t>
            </w:r>
          </w:p>
        </w:tc>
        <w:tc>
          <w:tcPr>
            <w:tcW w:w="0" w:type="dxa"/>
            <w:vAlign w:val="bottom"/>
          </w:tcPr>
          <w:p>
            <w:pPr>
              <w:spacing w:after="0"/>
              <w:rPr>
                <w:sz w:val="1"/>
                <w:szCs w:val="1"/>
                <w:color w:val="auto"/>
              </w:rPr>
            </w:pPr>
          </w:p>
        </w:tc>
      </w:tr>
      <w:tr>
        <w:trPr>
          <w:trHeight w:val="21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June 30, 2022, the Company owned 24.7%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For the period ended June 30, 2021, the Company's investment ownership was 30.0%. The Company's investment ownership decreased to approximately 27.0% on June 30, 2021 and was further reduced to 24.7% on July 29, 2021 as a result of transactions that occurred in those periods.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 for the three and six months ended June 30, 2022 and 2021 in the accompanying unaudited condensed consolidated statements of operations.</w:t>
      </w:r>
    </w:p>
    <w:p>
      <w:pPr>
        <w:spacing w:after="0" w:line="16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On June 30, 2021, Vasconia issued additional shares of its stock, which diluted the Company’s investment ownership from approximately 30% to approximately 27%. The Company recorded a non-cash gain of $1.7 million, increasing the Company’s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investment balance. Additionally, a loss of $2.0 million was recognized for the proportionate share of the diluted ownership for amounts previously recognized in accumulated other comprehensive loss. The net loss of $0.3 million was included in equity in earnings, net of taxes, in the accompanying unaudited condensed consolidated statements of operations for the three and six months ended June 30, 2021.</w:t>
      </w:r>
    </w:p>
    <w:p>
      <w:pPr>
        <w:spacing w:after="0" w:line="1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value of the Company’s investment balance has been translated from Mexican Pesos (“MXN”) to U.S. Dollars (“USD”) using the spot rates of MXN 20.15 and MXN 20.46 at June 30, 2022 and December 31,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proportionate share of Vasconia’s net income has been translated from MXN to USD using the following exchange rates: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160" w:type="dxa"/>
            <w:vAlign w:val="bottom"/>
            <w:gridSpan w:val="4"/>
          </w:tcPr>
          <w:p>
            <w:pPr>
              <w:jc w:val="center"/>
              <w:ind w:left="388"/>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Pr>
          <w:p>
            <w:pPr>
              <w:spacing w:after="0"/>
              <w:rPr>
                <w:sz w:val="14"/>
                <w:szCs w:val="14"/>
                <w:color w:val="auto"/>
              </w:rPr>
            </w:pPr>
          </w:p>
        </w:tc>
        <w:tc>
          <w:tcPr>
            <w:tcW w:w="2640" w:type="dxa"/>
            <w:vAlign w:val="bottom"/>
            <w:gridSpan w:val="4"/>
          </w:tcPr>
          <w:p>
            <w:pPr>
              <w:jc w:val="center"/>
              <w:ind w:right="19"/>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57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268"/>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864"/>
              <w:spacing w:after="0"/>
              <w:rPr>
                <w:sz w:val="20"/>
                <w:szCs w:val="20"/>
                <w:color w:val="auto"/>
              </w:rPr>
            </w:pPr>
            <w:r>
              <w:rPr>
                <w:rFonts w:ascii="Arial" w:cs="Arial" w:eastAsia="Arial" w:hAnsi="Arial"/>
                <w:sz w:val="14"/>
                <w:szCs w:val="14"/>
                <w:b w:val="1"/>
                <w:bCs w:val="1"/>
                <w:color w:val="auto"/>
                <w:w w:val="89"/>
              </w:rPr>
              <w:t>June 30,</w:t>
            </w:r>
          </w:p>
        </w:tc>
        <w:tc>
          <w:tcPr>
            <w:tcW w:w="1040" w:type="dxa"/>
            <w:vAlign w:val="bottom"/>
            <w:tcBorders>
              <w:bottom w:val="single" w:sz="8" w:color="auto"/>
            </w:tcBorders>
          </w:tcPr>
          <w:p>
            <w:pPr>
              <w:spacing w:after="0"/>
              <w:rPr>
                <w:sz w:val="16"/>
                <w:szCs w:val="16"/>
                <w:color w:val="auto"/>
              </w:rPr>
            </w:pPr>
          </w:p>
        </w:tc>
      </w:tr>
      <w:tr>
        <w:trPr>
          <w:trHeight w:val="183"/>
        </w:trPr>
        <w:tc>
          <w:tcPr>
            <w:tcW w:w="57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r>
      <w:tr>
        <w:trPr>
          <w:trHeight w:val="373"/>
        </w:trPr>
        <w:tc>
          <w:tcPr>
            <w:tcW w:w="6500" w:type="dxa"/>
            <w:vAlign w:val="bottom"/>
            <w:gridSpan w:val="2"/>
            <w:shd w:val="clear" w:color="auto" w:fill="CCEEFF"/>
          </w:tcPr>
          <w:p>
            <w:pPr>
              <w:jc w:val="right"/>
              <w:ind w:right="3588"/>
              <w:spacing w:after="0"/>
              <w:rPr>
                <w:sz w:val="20"/>
                <w:szCs w:val="20"/>
                <w:color w:val="auto"/>
              </w:rPr>
            </w:pPr>
            <w:r>
              <w:rPr>
                <w:rFonts w:ascii="Arial" w:cs="Arial" w:eastAsia="Arial" w:hAnsi="Arial"/>
                <w:sz w:val="18"/>
                <w:szCs w:val="18"/>
                <w:color w:val="auto"/>
                <w:w w:val="92"/>
              </w:rPr>
              <w:t>Average exchange rate (USD to MXN)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20.02</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3"/>
              </w:rPr>
              <w:t>20.02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20.02 - 20.50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20.02 - 20.33</w:t>
            </w:r>
          </w:p>
        </w:tc>
      </w:tr>
    </w:tbl>
    <w:p>
      <w:pPr>
        <w:spacing w:after="0" w:line="29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effect of the translation of the Company’s investment, as well as the translation of Vasconia’s balance sheet, resulted in a decrease to the investment of $0.9 million and an increase of $1.6 million during the six months ended June 30, 2022 and 2021, respectively. These translation effects are recorded in accumulated other comprehensive loss.</w:t>
      </w:r>
    </w:p>
    <w:p>
      <w:pPr>
        <w:spacing w:after="0" w:line="184" w:lineRule="exact"/>
        <w:rPr>
          <w:sz w:val="20"/>
          <w:szCs w:val="20"/>
          <w:color w:val="auto"/>
        </w:rPr>
      </w:pPr>
    </w:p>
    <w:p>
      <w:pPr>
        <w:ind w:right="300"/>
        <w:spacing w:after="0" w:line="269" w:lineRule="auto"/>
        <w:rPr>
          <w:sz w:val="20"/>
          <w:szCs w:val="20"/>
          <w:color w:val="auto"/>
        </w:rPr>
      </w:pPr>
      <w:r>
        <w:rPr>
          <w:rFonts w:ascii="Arial" w:cs="Arial" w:eastAsia="Arial" w:hAnsi="Arial"/>
          <w:sz w:val="18"/>
          <w:szCs w:val="18"/>
          <w:color w:val="auto"/>
        </w:rPr>
        <w:t>Summarized income statement information for the three and six months ended June 30, 2022 and 2021 for Vasconia in USD and MXN is as follows (in thousands):</w:t>
      </w:r>
    </w:p>
    <w:p>
      <w:pPr>
        <w:jc w:val="center"/>
        <w:ind w:left="5140"/>
        <w:spacing w:after="0" w:line="225" w:lineRule="auto"/>
        <w:rPr>
          <w:sz w:val="20"/>
          <w:szCs w:val="20"/>
          <w:color w:val="auto"/>
        </w:rPr>
      </w:pPr>
      <w:r>
        <w:rPr>
          <w:rFonts w:ascii="Arial" w:cs="Arial" w:eastAsia="Arial" w:hAnsi="Arial"/>
          <w:sz w:val="14"/>
          <w:szCs w:val="14"/>
          <w:b w:val="1"/>
          <w:bCs w:val="1"/>
          <w:color w:val="auto"/>
        </w:rPr>
        <w:t>Three Months Ended</w:t>
      </w:r>
    </w:p>
    <w:p>
      <w:pPr>
        <w:jc w:val="center"/>
        <w:ind w:left="514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80" w:type="dxa"/>
            <w:vAlign w:val="bottom"/>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top w:val="single" w:sz="8" w:color="auto"/>
              <w:bottom w:val="single" w:sz="8" w:color="auto"/>
            </w:tcBorders>
          </w:tcPr>
          <w:p>
            <w:pPr>
              <w:spacing w:after="0"/>
              <w:rPr>
                <w:sz w:val="16"/>
                <w:szCs w:val="16"/>
                <w:color w:val="auto"/>
              </w:rPr>
            </w:pPr>
          </w:p>
        </w:tc>
      </w:tr>
      <w:tr>
        <w:trPr>
          <w:trHeight w:val="180"/>
        </w:trPr>
        <w:tc>
          <w:tcPr>
            <w:tcW w:w="5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USD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color w:val="auto"/>
              </w:rPr>
              <w:t>MXN</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color w:val="auto"/>
              </w:rPr>
              <w:t>USD</w:t>
            </w:r>
          </w:p>
        </w:tc>
        <w:tc>
          <w:tcPr>
            <w:tcW w:w="320" w:type="dxa"/>
            <w:vAlign w:val="bottom"/>
          </w:tcPr>
          <w:p>
            <w:pPr>
              <w:spacing w:after="0"/>
              <w:rPr>
                <w:sz w:val="15"/>
                <w:szCs w:val="15"/>
                <w:color w:val="auto"/>
              </w:rPr>
            </w:pPr>
          </w:p>
        </w:tc>
        <w:tc>
          <w:tcPr>
            <w:tcW w:w="1120" w:type="dxa"/>
            <w:vAlign w:val="bottom"/>
          </w:tcPr>
          <w:p>
            <w:pPr>
              <w:jc w:val="right"/>
              <w:ind w:right="474"/>
              <w:spacing w:after="0"/>
              <w:rPr>
                <w:sz w:val="20"/>
                <w:szCs w:val="20"/>
                <w:color w:val="auto"/>
              </w:rPr>
            </w:pPr>
            <w:r>
              <w:rPr>
                <w:rFonts w:ascii="Arial" w:cs="Arial" w:eastAsia="Arial" w:hAnsi="Arial"/>
                <w:sz w:val="14"/>
                <w:szCs w:val="14"/>
                <w:color w:val="auto"/>
              </w:rPr>
              <w:t>MXN</w:t>
            </w:r>
          </w:p>
        </w:tc>
      </w:tr>
      <w:tr>
        <w:trPr>
          <w:trHeight w:val="226"/>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66,195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1,325,237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59,079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1,182,752</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10,804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216,297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318,737</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130,110</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47,661</w:t>
            </w:r>
          </w:p>
        </w:tc>
      </w:tr>
    </w:tbl>
    <w:p>
      <w:pPr>
        <w:spacing w:after="0" w:line="142" w:lineRule="exact"/>
        <w:rPr>
          <w:sz w:val="20"/>
          <w:szCs w:val="20"/>
          <w:color w:val="auto"/>
        </w:rPr>
      </w:pPr>
    </w:p>
    <w:p>
      <w:pPr>
        <w:jc w:val="center"/>
        <w:ind w:left="5120"/>
        <w:spacing w:after="0"/>
        <w:rPr>
          <w:sz w:val="20"/>
          <w:szCs w:val="20"/>
          <w:color w:val="auto"/>
        </w:rPr>
      </w:pPr>
      <w:r>
        <w:rPr>
          <w:rFonts w:ascii="Arial" w:cs="Arial" w:eastAsia="Arial" w:hAnsi="Arial"/>
          <w:sz w:val="14"/>
          <w:szCs w:val="14"/>
          <w:b w:val="1"/>
          <w:bCs w:val="1"/>
          <w:color w:val="auto"/>
        </w:rPr>
        <w:t>Six Months Ended</w:t>
      </w:r>
    </w:p>
    <w:p>
      <w:pPr>
        <w:jc w:val="center"/>
        <w:ind w:left="512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6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top w:val="single" w:sz="8" w:color="auto"/>
              <w:bottom w:val="single" w:sz="8" w:color="auto"/>
            </w:tcBorders>
          </w:tcPr>
          <w:p>
            <w:pPr>
              <w:spacing w:after="0"/>
              <w:rPr>
                <w:sz w:val="16"/>
                <w:szCs w:val="16"/>
                <w:color w:val="auto"/>
              </w:rPr>
            </w:pPr>
          </w:p>
        </w:tc>
      </w:tr>
      <w:tr>
        <w:trPr>
          <w:trHeight w:val="180"/>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color w:val="auto"/>
              </w:rPr>
              <w:t>USD</w:t>
            </w:r>
          </w:p>
        </w:tc>
        <w:tc>
          <w:tcPr>
            <w:tcW w:w="340" w:type="dxa"/>
            <w:vAlign w:val="bottom"/>
          </w:tcPr>
          <w:p>
            <w:pPr>
              <w:spacing w:after="0"/>
              <w:rPr>
                <w:sz w:val="15"/>
                <w:szCs w:val="15"/>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color w:val="auto"/>
              </w:rPr>
              <w:t>MXN</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color w:val="auto"/>
              </w:rPr>
              <w:t>USD</w:t>
            </w:r>
          </w:p>
        </w:tc>
        <w:tc>
          <w:tcPr>
            <w:tcW w:w="320" w:type="dxa"/>
            <w:vAlign w:val="bottom"/>
          </w:tcPr>
          <w:p>
            <w:pPr>
              <w:spacing w:after="0"/>
              <w:rPr>
                <w:sz w:val="15"/>
                <w:szCs w:val="15"/>
                <w:color w:val="auto"/>
              </w:rPr>
            </w:pPr>
          </w:p>
        </w:tc>
        <w:tc>
          <w:tcPr>
            <w:tcW w:w="1120" w:type="dxa"/>
            <w:vAlign w:val="bottom"/>
          </w:tcPr>
          <w:p>
            <w:pPr>
              <w:jc w:val="right"/>
              <w:ind w:right="474"/>
              <w:spacing w:after="0"/>
              <w:rPr>
                <w:sz w:val="20"/>
                <w:szCs w:val="20"/>
                <w:color w:val="auto"/>
              </w:rPr>
            </w:pPr>
            <w:r>
              <w:rPr>
                <w:rFonts w:ascii="Arial" w:cs="Arial" w:eastAsia="Arial" w:hAnsi="Arial"/>
                <w:sz w:val="14"/>
                <w:szCs w:val="14"/>
                <w:color w:val="auto"/>
              </w:rPr>
              <w:t>MXN</w:t>
            </w:r>
          </w:p>
        </w:tc>
      </w:tr>
      <w:tr>
        <w:trPr>
          <w:trHeight w:val="226"/>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130,513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2,643,750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112,685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2,272,569</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511,915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561,840</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207,043</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63,570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32,000</w:t>
            </w:r>
          </w:p>
        </w:tc>
      </w:tr>
    </w:tbl>
    <w:p>
      <w:pPr>
        <w:spacing w:after="0" w:line="29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Company recorded equity in earnings of Vasconia, net of taxes, of $0.3 million and $0.8 million for the three and six months ended June 30, 2022, respectively. The Company recorded equity in earnings of Vasconia, net of taxes, of $0.7 million and $0.5 million for the three and six months ended June 30,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Included within the Company's unaudited condensed consolidated balance sheets were the following amounts due to and due from Vasconia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Vasconia due to and due from balances</w:t>
            </w:r>
          </w:p>
        </w:tc>
        <w:tc>
          <w:tcPr>
            <w:tcW w:w="468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5"/>
              </w:rPr>
              <w:t>December 31, 2021</w:t>
            </w:r>
          </w:p>
        </w:tc>
      </w:tr>
      <w:tr>
        <w:trPr>
          <w:trHeight w:val="215"/>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due from Vasconia</w:t>
            </w:r>
          </w:p>
        </w:tc>
        <w:tc>
          <w:tcPr>
            <w:tcW w:w="47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10"/>
        </w:trPr>
        <w:tc>
          <w:tcPr>
            <w:tcW w:w="3180" w:type="dxa"/>
            <w:vAlign w:val="bottom"/>
          </w:tcPr>
          <w:p>
            <w:pPr>
              <w:ind w:left="20"/>
              <w:spacing w:after="0"/>
              <w:rPr>
                <w:sz w:val="20"/>
                <w:szCs w:val="20"/>
                <w:color w:val="auto"/>
              </w:rPr>
            </w:pPr>
            <w:r>
              <w:rPr>
                <w:rFonts w:ascii="Arial" w:cs="Arial" w:eastAsia="Arial" w:hAnsi="Arial"/>
                <w:sz w:val="16"/>
                <w:szCs w:val="16"/>
                <w:color w:val="auto"/>
              </w:rPr>
              <w:t>Amounts due to Vasconia</w:t>
            </w:r>
          </w:p>
        </w:tc>
        <w:tc>
          <w:tcPr>
            <w:tcW w:w="4780" w:type="dxa"/>
            <w:vAlign w:val="bottom"/>
            <w:gridSpan w:val="2"/>
          </w:tcPr>
          <w:p>
            <w:pPr>
              <w:ind w:left="760"/>
              <w:spacing w:after="0"/>
              <w:rPr>
                <w:sz w:val="20"/>
                <w:szCs w:val="20"/>
                <w:color w:val="auto"/>
              </w:rPr>
            </w:pPr>
            <w:r>
              <w:rPr>
                <w:rFonts w:ascii="Arial" w:cs="Arial" w:eastAsia="Arial" w:hAnsi="Arial"/>
                <w:sz w:val="16"/>
                <w:szCs w:val="16"/>
                <w:color w:val="auto"/>
              </w:rPr>
              <w:t>Accrued expenses and Accounts payable</w:t>
            </w:r>
          </w:p>
        </w:tc>
        <w:tc>
          <w:tcPr>
            <w:tcW w:w="240" w:type="dxa"/>
            <w:vAlign w:val="bottom"/>
          </w:tcPr>
          <w:p>
            <w:pPr>
              <w:spacing w:after="0"/>
              <w:rPr>
                <w:sz w:val="18"/>
                <w:szCs w:val="18"/>
                <w:color w:val="auto"/>
              </w:rPr>
            </w:pPr>
          </w:p>
        </w:tc>
        <w:tc>
          <w:tcPr>
            <w:tcW w:w="1320" w:type="dxa"/>
            <w:vAlign w:val="bottom"/>
          </w:tcPr>
          <w:p>
            <w:pPr>
              <w:ind w:left="1020"/>
              <w:spacing w:after="0"/>
              <w:rPr>
                <w:sz w:val="20"/>
                <w:szCs w:val="20"/>
                <w:color w:val="auto"/>
              </w:rPr>
            </w:pPr>
            <w:r>
              <w:rPr>
                <w:rFonts w:ascii="Arial" w:cs="Arial" w:eastAsia="Arial" w:hAnsi="Arial"/>
                <w:sz w:val="16"/>
                <w:szCs w:val="16"/>
                <w:color w:val="auto"/>
                <w:w w:val="98"/>
              </w:rPr>
              <w:t>(13)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(146)</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June 30, 2022 and December 31, 2021, the fair value (based on Level 1 inputs using the quoted stock price) of the Company’s investment in Vasconia was $21.3 million and $31.5 million, respectively. The carrying value of the Company’s investment in Vasconia was $22.1 million and $22.3 million as of June 30, 2022 and December 31, 2021, respectively The Company evaluated the decline in fair value of the investment and concluded that the decline is temporary.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as of June 30, 2022 and December 31, 2021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2022</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Gross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1"/>
                <w:szCs w:val="11"/>
                <w:color w:val="auto"/>
              </w:rPr>
            </w:pPr>
          </w:p>
        </w:tc>
        <w:tc>
          <w:tcPr>
            <w:tcW w:w="90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8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Gross</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Impairment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1"/>
                <w:szCs w:val="11"/>
                <w:color w:val="auto"/>
              </w:rPr>
            </w:pPr>
          </w:p>
        </w:tc>
        <w:tc>
          <w:tcPr>
            <w:tcW w:w="88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2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Goodwill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30,271</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w w:val="97"/>
              </w:rPr>
              <w:t>Indefinite-lived intangible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Trade names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Finite-lived intangible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Licenses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4,649</w:t>
            </w:r>
          </w:p>
        </w:tc>
        <w:tc>
          <w:tcPr>
            <w:tcW w:w="0" w:type="dxa"/>
            <w:vAlign w:val="bottom"/>
          </w:tcPr>
          <w:p>
            <w:pPr>
              <w:spacing w:after="0"/>
              <w:rPr>
                <w:sz w:val="1"/>
                <w:szCs w:val="1"/>
                <w:color w:val="auto"/>
              </w:rPr>
            </w:pPr>
          </w:p>
        </w:tc>
      </w:tr>
      <w:tr>
        <w:trPr>
          <w:trHeight w:val="216"/>
        </w:trPr>
        <w:tc>
          <w:tcPr>
            <w:tcW w:w="2500" w:type="dxa"/>
            <w:vAlign w:val="bottom"/>
          </w:tcPr>
          <w:p>
            <w:pPr>
              <w:ind w:left="360"/>
              <w:spacing w:after="0" w:line="216" w:lineRule="exact"/>
              <w:rPr>
                <w:sz w:val="20"/>
                <w:szCs w:val="20"/>
                <w:color w:val="auto"/>
              </w:rPr>
            </w:pPr>
            <w:r>
              <w:rPr>
                <w:rFonts w:ascii="Arial" w:cs="Arial" w:eastAsia="Arial" w:hAnsi="Arial"/>
                <w:sz w:val="16"/>
                <w:szCs w:val="16"/>
                <w:color w:val="auto"/>
              </w:rPr>
              <w:t>Trade names</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54,792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(18,132)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36,660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51,856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(23,829)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25,481</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Customer relationships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(65,863)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99,616</w:t>
            </w:r>
          </w:p>
        </w:tc>
        <w:tc>
          <w:tcPr>
            <w:tcW w:w="0" w:type="dxa"/>
            <w:vAlign w:val="bottom"/>
          </w:tcPr>
          <w:p>
            <w:pPr>
              <w:spacing w:after="0"/>
              <w:rPr>
                <w:sz w:val="1"/>
                <w:szCs w:val="1"/>
                <w:color w:val="auto"/>
              </w:rPr>
            </w:pPr>
          </w:p>
        </w:tc>
      </w:tr>
      <w:tr>
        <w:trPr>
          <w:trHeight w:val="216"/>
        </w:trPr>
        <w:tc>
          <w:tcPr>
            <w:tcW w:w="2500" w:type="dxa"/>
            <w:vAlign w:val="bottom"/>
            <w:tcBorders>
              <w:bottom w:val="single" w:sz="8" w:color="CCEEFF"/>
            </w:tcBorders>
          </w:tcPr>
          <w:p>
            <w:pPr>
              <w:ind w:left="36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3,061</w:t>
            </w:r>
          </w:p>
        </w:tc>
        <w:tc>
          <w:tcPr>
            <w:tcW w:w="0" w:type="dxa"/>
            <w:vAlign w:val="bottom"/>
          </w:tcPr>
          <w:p>
            <w:pPr>
              <w:spacing w:after="0"/>
              <w:rPr>
                <w:sz w:val="1"/>
                <w:szCs w:val="1"/>
                <w:color w:val="auto"/>
              </w:rPr>
            </w:pPr>
          </w:p>
        </w:tc>
      </w:tr>
      <w:tr>
        <w:trPr>
          <w:trHeight w:val="234"/>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302,489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(81,183)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221,306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331,385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(103,947)</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212,678</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0" w:firstLine="8"/>
        <w:spacing w:after="0" w:line="260" w:lineRule="auto"/>
        <w:tabs>
          <w:tab w:leader="none" w:pos="154"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The gross value and accumulated amortization at June 30, 2022 reflect a reduction of $44.1 million and $(29.3) million, respectively, for the net $14.8 million impairment charge on finite-lived intangible assets within the international segment during the period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activities related to the Company’s intangible assets for the six months ended June 30, 2022 consists of the following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Intangible</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56"/>
              <w:spacing w:after="0"/>
              <w:rPr>
                <w:sz w:val="20"/>
                <w:szCs w:val="20"/>
                <w:color w:val="auto"/>
              </w:rPr>
            </w:pPr>
            <w:r>
              <w:rPr>
                <w:rFonts w:ascii="Arial" w:cs="Arial" w:eastAsia="Arial" w:hAnsi="Arial"/>
                <w:sz w:val="14"/>
                <w:szCs w:val="14"/>
                <w:b w:val="1"/>
                <w:bCs w:val="1"/>
                <w:color w:val="auto"/>
                <w:w w:val="98"/>
              </w:rPr>
              <w:t>Total Intangible</w:t>
            </w:r>
          </w:p>
        </w:tc>
        <w:tc>
          <w:tcPr>
            <w:tcW w:w="0" w:type="dxa"/>
            <w:vAlign w:val="bottom"/>
          </w:tcPr>
          <w:p>
            <w:pPr>
              <w:spacing w:after="0"/>
              <w:rPr>
                <w:sz w:val="1"/>
                <w:szCs w:val="1"/>
                <w:color w:val="auto"/>
              </w:rPr>
            </w:pPr>
          </w:p>
        </w:tc>
      </w:tr>
      <w:tr>
        <w:trPr>
          <w:trHeight w:val="135"/>
        </w:trPr>
        <w:tc>
          <w:tcPr>
            <w:tcW w:w="6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Goodwill</w:t>
            </w:r>
          </w:p>
        </w:tc>
        <w:tc>
          <w:tcPr>
            <w:tcW w:w="160" w:type="dxa"/>
            <w:vAlign w:val="bottom"/>
          </w:tcPr>
          <w:p>
            <w:pPr>
              <w:spacing w:after="0"/>
              <w:rPr>
                <w:sz w:val="11"/>
                <w:szCs w:val="11"/>
                <w:color w:val="auto"/>
              </w:rPr>
            </w:pPr>
          </w:p>
        </w:tc>
        <w:tc>
          <w:tcPr>
            <w:tcW w:w="1240" w:type="dxa"/>
            <w:vAlign w:val="bottom"/>
          </w:tcPr>
          <w:p>
            <w:pPr>
              <w:jc w:val="center"/>
              <w:ind w:right="56"/>
              <w:spacing w:after="0" w:line="135" w:lineRule="exact"/>
              <w:rPr>
                <w:sz w:val="20"/>
                <w:szCs w:val="20"/>
                <w:color w:val="auto"/>
              </w:rPr>
            </w:pPr>
            <w:r>
              <w:rPr>
                <w:rFonts w:ascii="Arial" w:cs="Arial" w:eastAsia="Arial" w:hAnsi="Arial"/>
                <w:sz w:val="14"/>
                <w:szCs w:val="14"/>
                <w:b w:val="1"/>
                <w:bCs w:val="1"/>
                <w:color w:val="auto"/>
                <w:w w:val="88"/>
              </w:rPr>
              <w:t>Assets and</w:t>
            </w:r>
          </w:p>
        </w:tc>
        <w:tc>
          <w:tcPr>
            <w:tcW w:w="0" w:type="dxa"/>
            <w:vAlign w:val="bottom"/>
          </w:tcPr>
          <w:p>
            <w:pPr>
              <w:spacing w:after="0"/>
              <w:rPr>
                <w:sz w:val="1"/>
                <w:szCs w:val="1"/>
                <w:color w:val="auto"/>
              </w:rPr>
            </w:pPr>
          </w:p>
        </w:tc>
      </w:tr>
      <w:tr>
        <w:trPr>
          <w:trHeight w:val="188"/>
        </w:trPr>
        <w:tc>
          <w:tcPr>
            <w:tcW w:w="6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Assets</w:t>
            </w: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Goodwill</w:t>
            </w:r>
          </w:p>
        </w:tc>
        <w:tc>
          <w:tcPr>
            <w:tcW w:w="0" w:type="dxa"/>
            <w:vAlign w:val="bottom"/>
          </w:tcPr>
          <w:p>
            <w:pPr>
              <w:spacing w:after="0"/>
              <w:rPr>
                <w:sz w:val="1"/>
                <w:szCs w:val="1"/>
                <w:color w:val="auto"/>
              </w:rPr>
            </w:pPr>
          </w:p>
        </w:tc>
      </w:tr>
      <w:tr>
        <w:trPr>
          <w:trHeight w:val="224"/>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and Intangible Assets, December 31, 2021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212,678</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Acquisition of goodwill</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trade name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Goodwill and Intangible Assets, June 30, 2022</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188,069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33,237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221,306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Company’s credit agreement, dated as of March 2, 2018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that provides for a senior secured term loan credit facility in the original principal amount of $275.0 million, which matures on February 28, 2025. The Term Loan requires the Company to make an annual prepayment of principal based upon a percentage of the Company's excess cash flow, (“Excess Cash Flow”), if any. The percentage applied to the Company’s excess cash flow is based on the Company’s Total Net Leverage Ratio (as defined in the Debt Agreements). When an Excess Cash Flow payment is required, lenders have the option to decline a portion or all of the prepayment amount. This estimated amount is recorded in current maturity of term loan on the unaudited condensed consolidated balance sheets. Additionally, the Term Loan facility requires quarterly payments, which commenced on June 30, 2018, of principal equal to 0.25% of the original aggregate principal amount of the Term Loan facility. Per the Debt Agreements, when the Company makes an Excess Cash Flow payment, the payment is first applied to satisfy the future quarterly required payments in order of maturity. The quarterly principal payments have been satisfied through maturity of the Term Loan by the annual Excess Cash Flow payments.</w:t>
      </w:r>
    </w:p>
    <w:p>
      <w:pPr>
        <w:spacing w:after="0" w:line="17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maximum borrowing amount under the ABL Agreement may be increased to up to $200.0 million if certain conditions are met. One or more tranches of additional term loans (the “Incremental Facilities”) may be added under the Term Loan if certain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and December 31, 2021, the total availability under the ABL Agreement was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2022</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2021</w:t>
            </w:r>
          </w:p>
        </w:tc>
      </w:tr>
      <w:tr>
        <w:trPr>
          <w:trHeight w:val="21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aggregate principal allowed</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Outstanding borrowings under the ABL Agreement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(20,347)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Standby letters of credit</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(3,659)</w:t>
            </w:r>
          </w:p>
        </w:tc>
      </w:tr>
      <w:tr>
        <w:trPr>
          <w:trHeight w:val="207"/>
        </w:trPr>
        <w:tc>
          <w:tcPr>
            <w:tcW w:w="7360" w:type="dxa"/>
            <w:vAlign w:val="bottom"/>
          </w:tcPr>
          <w:p>
            <w:pPr>
              <w:ind w:left="20"/>
              <w:spacing w:after="0"/>
              <w:rPr>
                <w:sz w:val="20"/>
                <w:szCs w:val="20"/>
                <w:color w:val="auto"/>
              </w:rPr>
            </w:pPr>
            <w:r>
              <w:rPr>
                <w:rFonts w:ascii="Arial" w:cs="Arial" w:eastAsia="Arial" w:hAnsi="Arial"/>
                <w:sz w:val="16"/>
                <w:szCs w:val="16"/>
                <w:color w:val="auto"/>
              </w:rPr>
              <w:t>Total availability under the ABL Agreement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126,888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146,341</w:t>
            </w:r>
          </w:p>
        </w:tc>
      </w:tr>
      <w:tr>
        <w:trPr>
          <w:trHeight w:val="23"/>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Availability under the ABL Agreement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this means that the Company may have greater borrowing availability during the third and fourth quarters of each year. Consequently, the $150.0 million commitment thereunder may not represent actual borrowing capacity.</w:t>
      </w:r>
    </w:p>
    <w:p>
      <w:pPr>
        <w:spacing w:after="0" w:line="187" w:lineRule="exact"/>
        <w:rPr>
          <w:sz w:val="20"/>
          <w:szCs w:val="20"/>
          <w:color w:val="auto"/>
        </w:rPr>
      </w:pPr>
    </w:p>
    <w:p>
      <w:pPr>
        <w:ind w:right="480"/>
        <w:spacing w:after="0" w:line="274" w:lineRule="auto"/>
        <w:rPr>
          <w:sz w:val="20"/>
          <w:szCs w:val="20"/>
          <w:color w:val="auto"/>
        </w:rPr>
      </w:pPr>
      <w:r>
        <w:rPr>
          <w:rFonts w:ascii="Arial" w:cs="Arial" w:eastAsia="Arial" w:hAnsi="Arial"/>
          <w:sz w:val="18"/>
          <w:szCs w:val="18"/>
          <w:color w:val="auto"/>
        </w:rPr>
        <w:t>The current and non-current portions of the Company’s Term Loan facility included in the condensed consolidated balance sheets were as follows (in thousands):</w:t>
      </w:r>
    </w:p>
    <w:tbl>
      <w:tblPr>
        <w:tblLayout w:type="fixed"/>
        <w:tblInd w:w="0" w:type="dxa"/>
        <w:tblCellMar>
          <w:top w:w="0" w:type="dxa"/>
          <w:left w:w="0" w:type="dxa"/>
          <w:bottom w:w="0" w:type="dxa"/>
          <w:right w:w="0" w:type="dxa"/>
        </w:tblCellMar>
      </w:tblPr>
      <w:tr>
        <w:trPr>
          <w:trHeight w:val="213"/>
        </w:trPr>
        <w:tc>
          <w:tcPr>
            <w:tcW w:w="7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2022</w:t>
            </w:r>
          </w:p>
        </w:tc>
        <w:tc>
          <w:tcPr>
            <w:tcW w:w="160" w:type="dxa"/>
            <w:vAlign w:val="bottom"/>
          </w:tcPr>
          <w:p>
            <w:pPr>
              <w:spacing w:after="0"/>
              <w:rPr>
                <w:sz w:val="18"/>
                <w:szCs w:val="18"/>
                <w:color w:val="auto"/>
              </w:rPr>
            </w:pPr>
          </w:p>
        </w:tc>
        <w:tc>
          <w:tcPr>
            <w:tcW w:w="166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December 31, 2021</w:t>
            </w:r>
          </w:p>
        </w:tc>
      </w:tr>
      <w:tr>
        <w:trPr>
          <w:trHeight w:val="199"/>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Term Loan facility:</w:t>
            </w:r>
          </w:p>
        </w:tc>
        <w:tc>
          <w:tcPr>
            <w:tcW w:w="2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40"/>
        </w:trPr>
        <w:tc>
          <w:tcPr>
            <w:tcW w:w="7460" w:type="dxa"/>
            <w:vAlign w:val="bottom"/>
          </w:tcPr>
          <w:p>
            <w:pPr>
              <w:ind w:left="140"/>
              <w:spacing w:after="0"/>
              <w:rPr>
                <w:sz w:val="20"/>
                <w:szCs w:val="20"/>
                <w:color w:val="auto"/>
              </w:rPr>
            </w:pPr>
            <w:r>
              <w:rPr>
                <w:rFonts w:ascii="Arial" w:cs="Arial" w:eastAsia="Arial" w:hAnsi="Arial"/>
                <w:sz w:val="16"/>
                <w:szCs w:val="16"/>
                <w:color w:val="auto"/>
              </w:rPr>
              <w:t>Estimated Excess Cash Flow principal payment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20"/>
                <w:szCs w:val="20"/>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7,200</w:t>
            </w:r>
          </w:p>
        </w:tc>
      </w:tr>
      <w:tr>
        <w:trPr>
          <w:trHeight w:val="243"/>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2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r>
      <w:tr>
        <w:trPr>
          <w:trHeight w:val="240"/>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Total Current portion of Term Loan facility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5,771</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7"/>
        </w:trPr>
        <w:tc>
          <w:tcPr>
            <w:tcW w:w="7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Non-current portion of Term Loan facility:</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Term Loan facility, net of current portion</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244,927</w:t>
            </w:r>
          </w:p>
        </w:tc>
      </w:tr>
      <w:tr>
        <w:trPr>
          <w:trHeight w:val="213"/>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(3,054)</w:t>
            </w:r>
          </w:p>
        </w:tc>
      </w:tr>
      <w:tr>
        <w:trPr>
          <w:trHeight w:val="235"/>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Non-current portion of Term Loan facility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237,564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241,873</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estimated Excess Cash Flow principal payment recorded at June 30, 2022 represents the Company’s estimate for the 2023 Excess Cash Flow payment. The 2022 Excess Cash Flow payment, paid on March 30, 2022, totaled $6.2 million. The Excess Cash Flow payment differs from the estimated amount at December 31, 2021 of $7.2 million as certain lenders opted to not require payment per the terms of the Debt Agreements.</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Borrowings under the ABL Agreement bear interest, at the Company’s option, at one of the following rates: (i) alternate base rate, defined, for any day, as the greater of the prime rate, a federal funds and overnight bank funding based rate plus 0.5% or one-month LIBOR plus 1.0%, plus a margin of 0.25% to 0.75%, or (ii) LIBOR (or Euro Interbank Offered Rate "EURIBOR" for borrowings denominated in Euro; or Sterling Overnight Index Average “SONIA” for borrowings denominated in Pounds Sterling) plus a margin of 1.25% to 1.75%. The respective margins are based upon the Company’s total leverage ratio, as defined in and computed pursuant to the ABL Agreement. The interest rate on outstanding borrowings under the ABL Agreement at June 30, 2022 was between 2.44% and 5.00%. In addition, the Company pays a commitment fee of 0.375% on the unused portion of the ABL Agreement.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Term Loan facility bears interest, at the Company’s option, at one of the following rates: (i) alternate base rate, defined, for any day, as the greater of</w:t>
      </w:r>
    </w:p>
    <w:p>
      <w:pPr>
        <w:spacing w:after="0" w:line="46" w:lineRule="exact"/>
        <w:rPr>
          <w:sz w:val="20"/>
          <w:szCs w:val="20"/>
          <w:color w:val="auto"/>
        </w:rPr>
      </w:pPr>
    </w:p>
    <w:p>
      <w:pPr>
        <w:ind w:right="120" w:firstLine="8"/>
        <w:spacing w:after="0" w:line="255"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prime rate, (y) a federal funds and overnight bank funding based rate plus 0.5% or (z) one-month LIBOR, but not less than 1.0%, plus 1.0%, which alternate base rate shall not be less than 2.0%, plus a margin of 2.5% or (ii) LIBOR, but not less than 1.0%, plus a margin of 3.5%. The interest rate on outstanding borrowings under the Term Loan at June 30, 2022 was 4.6%.</w:t>
      </w:r>
    </w:p>
    <w:p>
      <w:pPr>
        <w:spacing w:after="0" w:line="19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45 consecutive days, the Company is required to maintain a minimum fixed charge coverage ratio of 1.10 to 1.00 as of the last day of any period of four consecutive fiscal quarters.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covenants of the Debt Agreements at June 30, 2022.</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expects that it will continue to borrow, subject to availability, and repay funds under the ABL Agreement based on working capital and other corporate needs.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outstanding notional value of interest rate swaps was $50.0 million at June 30, 2022.</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Company designated a portion of these interest rate swaps as cash flow hedges of the Company’s exposure to the variability of the payment of interest on a portion of its Term Loan borrowings. The hedge periods of these agreements commenced in April 2018 and expire in March 2023. The original notional values are reduced over these periods. The aggregate notional value of designated interest rate swaps was $25.0 million at June 30, 2022.</w:t>
      </w:r>
    </w:p>
    <w:p>
      <w:pPr>
        <w:spacing w:after="0" w:line="1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June 2019, the Company entered into additional interest rate swap agreements, with an aggregate notional value of $25.0 million at June 30, 2022. These non-designated interest rate swaps serve as cash flow hedges of the Company’s exposure to the variability of the payment of interest on a portion of its Term Loan borrowings and expire in February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is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aggregate gross notional values of foreign exchange contracts at June 30, 2022 was $13.5 million. These foreign exchange contracts have been designated as hedges in order to apply hedge accounting.</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June 30, 2022, the Company did not have any foreign currency forward contract derivatives that are not designated as hedges. These foreign exchange contracts have been designated as hedges in to order to apply hedge accounting.</w:t>
      </w:r>
    </w:p>
    <w:p>
      <w:pPr>
        <w:spacing w:after="0" w:line="178" w:lineRule="exact"/>
        <w:rPr>
          <w:sz w:val="20"/>
          <w:szCs w:val="20"/>
          <w:color w:val="auto"/>
        </w:rPr>
      </w:pPr>
    </w:p>
    <w:p>
      <w:pPr>
        <w:ind w:right="520"/>
        <w:spacing w:after="0" w:line="269" w:lineRule="auto"/>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presented as follows (in thousands):</w:t>
      </w:r>
    </w:p>
    <w:tbl>
      <w:tblPr>
        <w:tblLayout w:type="fixed"/>
        <w:tblInd w:w="0" w:type="dxa"/>
        <w:tblCellMar>
          <w:top w:w="0" w:type="dxa"/>
          <w:left w:w="0" w:type="dxa"/>
          <w:bottom w:w="0" w:type="dxa"/>
          <w:right w:w="0" w:type="dxa"/>
        </w:tblCellMar>
      </w:tblPr>
      <w:tr>
        <w:trPr>
          <w:trHeight w:val="192"/>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434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5"/>
              </w:rPr>
              <w:t>December 31, 2021</w:t>
            </w: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5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288</w:t>
            </w:r>
          </w:p>
        </w:tc>
      </w:tr>
      <w:tr>
        <w:trPr>
          <w:trHeight w:val="219"/>
        </w:trPr>
        <w:tc>
          <w:tcPr>
            <w:tcW w:w="35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Other long-term liabilities</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10"/>
        </w:trPr>
        <w:tc>
          <w:tcPr>
            <w:tcW w:w="352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4440" w:type="dxa"/>
            <w:vAlign w:val="bottom"/>
            <w:gridSpan w:val="2"/>
          </w:tcPr>
          <w:p>
            <w:pPr>
              <w:ind w:left="4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461</w:t>
            </w:r>
          </w:p>
        </w:tc>
      </w:tr>
      <w:tr>
        <w:trPr>
          <w:trHeight w:val="661"/>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434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5"/>
              </w:rPr>
              <w:t>December 31, 2021</w:t>
            </w:r>
          </w:p>
        </w:tc>
      </w:tr>
      <w:tr>
        <w:trPr>
          <w:trHeight w:val="215"/>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35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680</w:t>
            </w:r>
          </w:p>
        </w:tc>
      </w:tr>
    </w:tbl>
    <w:p>
      <w:pPr>
        <w:spacing w:after="0" w:line="28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fair values of the interest rate swaps have been obtained from the counterparties to the agreements and were based on Level 2 observable inputs using proprietary models and estimates about relevant future market conditions. The fair values of the foreign exchange contracts were based on Level 2 observable inputs using quoted market prices for similar assets in an active market. The counterparties to the derivative financial instruments are major international financial institutions. The Company is exposed to credit risk for the net exchanges under these agreements, but not for the notional amounts. As of June 30, 2022, the Company did not anticipate non-performance by any of its counterparties.</w:t>
      </w:r>
    </w:p>
    <w:p>
      <w:pPr>
        <w:spacing w:after="0" w:line="176"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The amounts of gains and losses, realized and unrealized, related to the Company’s derivative financial instruments designated as hedging instruments are recognized in other comprehensive (loss) income, net of taxes, as follows (in thousands):</w:t>
      </w:r>
    </w:p>
    <w:tbl>
      <w:tblPr>
        <w:tblLayout w:type="fixed"/>
        <w:tblInd w:w="0" w:type="dxa"/>
        <w:tblCellMar>
          <w:top w:w="0" w:type="dxa"/>
          <w:left w:w="0" w:type="dxa"/>
          <w:bottom w:w="0" w:type="dxa"/>
          <w:right w:w="0" w:type="dxa"/>
        </w:tblCellMar>
      </w:tblPr>
      <w:tr>
        <w:trPr>
          <w:trHeight w:val="163"/>
        </w:trPr>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3"/>
          </w:tcPr>
          <w:p>
            <w:pPr>
              <w:jc w:val="right"/>
              <w:ind w:right="119"/>
              <w:spacing w:after="0" w:line="163" w:lineRule="exact"/>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4"/>
          </w:tcPr>
          <w:p>
            <w:pPr>
              <w:jc w:val="right"/>
              <w:ind w:right="619"/>
              <w:spacing w:after="0" w:line="163" w:lineRule="exact"/>
              <w:rPr>
                <w:sz w:val="20"/>
                <w:szCs w:val="20"/>
                <w:color w:val="auto"/>
              </w:rPr>
            </w:pPr>
            <w:r>
              <w:rPr>
                <w:rFonts w:ascii="Arial" w:cs="Arial" w:eastAsia="Arial" w:hAnsi="Arial"/>
                <w:sz w:val="16"/>
                <w:szCs w:val="16"/>
                <w:b w:val="1"/>
                <w:bCs w:val="1"/>
                <w:color w:val="auto"/>
              </w:rPr>
              <w:t>Six Months Ended</w:t>
            </w:r>
          </w:p>
        </w:tc>
      </w:tr>
      <w:tr>
        <w:trPr>
          <w:trHeight w:val="210"/>
        </w:trPr>
        <w:tc>
          <w:tcPr>
            <w:tcW w:w="5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June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r>
      <w:tr>
        <w:trPr>
          <w:trHeight w:val="212"/>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r>
      <w:tr>
        <w:trPr>
          <w:trHeight w:val="213"/>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exchange contracts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r>
      <w:tr>
        <w:trPr>
          <w:trHeight w:val="234"/>
        </w:trPr>
        <w:tc>
          <w:tcPr>
            <w:tcW w:w="58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Realized gains and losses on the interest rate swaps that are reported in other comprehensive (loss) income are reclassified into earnings as the interest expense on the debt is recognized. The Company had no terminated or matured interest rate swaps during the three and six months ended June 30, 2022.</w:t>
      </w:r>
    </w:p>
    <w:p>
      <w:pPr>
        <w:spacing w:after="0" w:line="1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Realized gains and losses on foreign exchange contracts that are reported in other comprehensive (loss) income are reclassified into cost of sales as the underlying inventory purchased is sold.</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three months ended June 30, 2022, the Company reclassified $0.1 million of cash flow hedges in accumulated other comprehensive losses to earnings. This was comprised of $0.1 million related to realized interest rate swap losses and a gain of</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$0.2 million related to foreign exchange contracts recognized in cost of sales. During the six months ended June 30, 2022, the Company reclassified $0.02 million of cash flow hedges in accumulated other comprehensive losses to earnings. This was comprised of $0.3 million related to realized interest rate swap losses and a gain of $0.3 million related to foreign exchange contracts recognized in cost of sales. At June 30, 2022, the estimated amount of existing net gains expected to be reclassified into earnings within the next 12 months was $1.4 million.</w:t>
      </w:r>
    </w:p>
    <w:p>
      <w:pPr>
        <w:spacing w:after="0" w:line="17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During the three months ended June 30, 2021, the Company reclassified $0.5 million of cash flow hedges in accumulated other comprehensive losses to earnings. This was comprised of $0.2 million related to realized interest rate swap losses and a loss of $0.3 million related to foreign exchange contracts recognized in cost of sales. During the six months ended June 30, 2021, the Company reclassified $0.8 million of cash flow hedges in accumulated other comprehensive losses to earnings. This was comprised of $0.5 million related to realized interest rate swap losses and a loss of $0.3 million related to foreign exchange contracts recognized in cost of sales.</w:t>
      </w:r>
    </w:p>
    <w:p>
      <w:pPr>
        <w:spacing w:after="0" w:line="188" w:lineRule="exact"/>
        <w:rPr>
          <w:sz w:val="20"/>
          <w:szCs w:val="20"/>
          <w:color w:val="auto"/>
        </w:rPr>
      </w:pPr>
    </w:p>
    <w:p>
      <w:pPr>
        <w:ind w:right="540"/>
        <w:spacing w:after="0" w:line="274" w:lineRule="auto"/>
        <w:rPr>
          <w:sz w:val="20"/>
          <w:szCs w:val="20"/>
          <w:color w:val="auto"/>
        </w:rPr>
      </w:pPr>
      <w:r>
        <w:rPr>
          <w:rFonts w:ascii="Arial" w:cs="Arial" w:eastAsia="Arial" w:hAnsi="Arial"/>
          <w:sz w:val="18"/>
          <w:szCs w:val="18"/>
          <w:color w:val="auto"/>
        </w:rPr>
        <w:t>Interest and mark to market gains (losses) related to the Company’s derivative financial instruments not designated as hedging instruments that were recognized in earnings are as follows (in thousands):</w:t>
      </w:r>
    </w:p>
    <w:tbl>
      <w:tblPr>
        <w:tblLayout w:type="fixed"/>
        <w:tblInd w:w="0" w:type="dxa"/>
        <w:tblCellMar>
          <w:top w:w="0" w:type="dxa"/>
          <w:left w:w="0" w:type="dxa"/>
          <w:bottom w:w="0" w:type="dxa"/>
          <w:right w:w="0" w:type="dxa"/>
        </w:tblCellMar>
      </w:tblPr>
      <w:tr>
        <w:trPr>
          <w:trHeight w:val="163"/>
        </w:trPr>
        <w:tc>
          <w:tcPr>
            <w:tcW w:w="29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3"/>
          </w:tcPr>
          <w:p>
            <w:pPr>
              <w:ind w:left="160"/>
              <w:spacing w:after="0" w:line="163" w:lineRule="exact"/>
              <w:rPr>
                <w:sz w:val="20"/>
                <w:szCs w:val="20"/>
                <w:color w:val="auto"/>
              </w:rPr>
            </w:pPr>
            <w:r>
              <w:rPr>
                <w:rFonts w:ascii="Arial" w:cs="Arial" w:eastAsia="Arial" w:hAnsi="Arial"/>
                <w:sz w:val="16"/>
                <w:szCs w:val="16"/>
                <w:b w:val="1"/>
                <w:bCs w:val="1"/>
                <w:color w:val="auto"/>
                <w:w w:val="93"/>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4"/>
          </w:tcPr>
          <w:p>
            <w:pPr>
              <w:jc w:val="right"/>
              <w:ind w:right="419"/>
              <w:spacing w:after="0" w:line="163" w:lineRule="exact"/>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June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920" w:type="dxa"/>
            <w:vAlign w:val="bottom"/>
          </w:tcPr>
          <w:p>
            <w:pPr>
              <w:ind w:left="20"/>
              <w:spacing w:after="0" w:line="148" w:lineRule="exact"/>
              <w:rPr>
                <w:sz w:val="20"/>
                <w:szCs w:val="20"/>
                <w:color w:val="auto"/>
              </w:rPr>
            </w:pPr>
            <w:r>
              <w:rPr>
                <w:rFonts w:ascii="Arial" w:cs="Arial" w:eastAsia="Arial" w:hAnsi="Arial"/>
                <w:sz w:val="16"/>
                <w:szCs w:val="16"/>
                <w:b w:val="1"/>
                <w:bCs w:val="1"/>
                <w:color w:val="auto"/>
                <w:w w:val="98"/>
              </w:rPr>
              <w:t>Derivatives not designated as hedging</w:t>
            </w:r>
          </w:p>
        </w:tc>
        <w:tc>
          <w:tcPr>
            <w:tcW w:w="352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Location of gain (loss)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3"/>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instruments</w:t>
            </w:r>
          </w:p>
        </w:tc>
        <w:tc>
          <w:tcPr>
            <w:tcW w:w="35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36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w w:val="99"/>
              </w:rPr>
              <w:t>Mark to market gain on interest rate derivatives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304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w w:val="97"/>
              </w:rPr>
              <w:t>544</w:t>
            </w:r>
          </w:p>
        </w:tc>
        <w:tc>
          <w:tcPr>
            <w:tcW w:w="0" w:type="dxa"/>
            <w:vAlign w:val="bottom"/>
          </w:tcPr>
          <w:p>
            <w:pPr>
              <w:spacing w:after="0"/>
              <w:rPr>
                <w:sz w:val="1"/>
                <w:szCs w:val="1"/>
                <w:color w:val="auto"/>
              </w:rPr>
            </w:pPr>
          </w:p>
        </w:tc>
      </w:tr>
      <w:tr>
        <w:trPr>
          <w:trHeight w:val="213"/>
        </w:trPr>
        <w:tc>
          <w:tcPr>
            <w:tcW w:w="29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w w:val="91"/>
              </w:rPr>
              <w:t>(72)</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(115)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color w:val="auto"/>
                <w:w w:val="96"/>
              </w:rPr>
              <w:t>(226)</w:t>
            </w:r>
          </w:p>
        </w:tc>
        <w:tc>
          <w:tcPr>
            <w:tcW w:w="0" w:type="dxa"/>
            <w:vAlign w:val="bottom"/>
          </w:tcPr>
          <w:p>
            <w:pPr>
              <w:spacing w:after="0"/>
              <w:rPr>
                <w:sz w:val="1"/>
                <w:szCs w:val="1"/>
                <w:color w:val="auto"/>
              </w:rPr>
            </w:pPr>
          </w:p>
        </w:tc>
      </w:tr>
      <w:tr>
        <w:trPr>
          <w:trHeight w:val="235"/>
        </w:trPr>
        <w:tc>
          <w:tcPr>
            <w:tcW w:w="2920" w:type="dxa"/>
            <w:vAlign w:val="bottom"/>
            <w:tcBorders>
              <w:bottom w:val="single" w:sz="8" w:color="CCEEFF"/>
            </w:tcBorders>
            <w:shd w:val="clear" w:color="auto" w:fill="CCEEFF"/>
          </w:tcPr>
          <w:p>
            <w:pPr>
              <w:spacing w:after="0"/>
              <w:rPr>
                <w:sz w:val="19"/>
                <w:szCs w:val="19"/>
                <w:color w:val="auto"/>
              </w:rPr>
            </w:pPr>
          </w:p>
        </w:tc>
        <w:tc>
          <w:tcPr>
            <w:tcW w:w="3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center"/>
              <w:ind w:left="319"/>
              <w:spacing w:after="0"/>
              <w:rPr>
                <w:sz w:val="20"/>
                <w:szCs w:val="20"/>
                <w:color w:val="auto"/>
              </w:rPr>
            </w:pPr>
            <w:r>
              <w:rPr>
                <w:rFonts w:ascii="Arial" w:cs="Arial" w:eastAsia="Arial" w:hAnsi="Arial"/>
                <w:sz w:val="16"/>
                <w:szCs w:val="16"/>
                <w:color w:val="auto"/>
                <w:w w:val="97"/>
              </w:rPr>
              <w:t>318</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STOCK COMPENSATION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23, 2022, the stockholders of the Company approved an amendment and restatement of the Company's Amended and Restated 2000 Long Term Incentive Plan (the "Plan"). The amendment and restatement of the Plan revised the terms and conditions of the Plan to, among other things, increase the shares available for grant under the Plan by 1,180,000 shares. As of June 30, 2022, there were 1,123,954 shares available for the grant of awards under the Plan, assuming maximum performance of performance-based awards.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six months ended June 30, 2022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left="179"/>
              <w:spacing w:after="0"/>
              <w:rPr>
                <w:sz w:val="20"/>
                <w:szCs w:val="20"/>
                <w:color w:val="auto"/>
              </w:rPr>
            </w:pPr>
            <w:r>
              <w:rPr>
                <w:rFonts w:ascii="Arial" w:cs="Arial" w:eastAsia="Arial" w:hAnsi="Arial"/>
                <w:sz w:val="16"/>
                <w:szCs w:val="16"/>
                <w:b w:val="1"/>
                <w:bCs w:val="1"/>
                <w:color w:val="auto"/>
                <w:w w:val="90"/>
              </w:rPr>
              <w:t>Weighted-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3"/>
              </w:rPr>
              <w:t>Weighted-</w:t>
            </w:r>
          </w:p>
        </w:tc>
        <w:tc>
          <w:tcPr>
            <w:tcW w:w="108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89"/>
              </w:rPr>
              <w:t>average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8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1"/>
              </w:rPr>
              <w:t>remaining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intrinsic</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average</w:t>
            </w:r>
          </w:p>
        </w:tc>
        <w:tc>
          <w:tcPr>
            <w:tcW w:w="108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0"/>
              </w:rPr>
              <w:t>contractual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13"/>
        </w:trPr>
        <w:tc>
          <w:tcPr>
            <w:tcW w:w="5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exercise price</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w w:val="92"/>
              </w:rPr>
              <w:t>life (years)</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(in thousands)</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Options outstanding, January 1, 2022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1,094,575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360"/>
              <w:spacing w:after="0"/>
              <w:rPr>
                <w:sz w:val="20"/>
                <w:szCs w:val="20"/>
                <w:color w:val="auto"/>
              </w:rPr>
            </w:pPr>
            <w:r>
              <w:rPr>
                <w:rFonts w:ascii="Arial" w:cs="Arial" w:eastAsia="Arial" w:hAnsi="Arial"/>
                <w:sz w:val="16"/>
                <w:szCs w:val="16"/>
                <w:color w:val="auto"/>
              </w:rPr>
              <w:t>Grants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11.45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360"/>
              <w:spacing w:after="0"/>
              <w:rPr>
                <w:sz w:val="20"/>
                <w:szCs w:val="20"/>
                <w:color w:val="auto"/>
              </w:rPr>
            </w:pPr>
            <w:r>
              <w:rPr>
                <w:rFonts w:ascii="Arial" w:cs="Arial" w:eastAsia="Arial" w:hAnsi="Arial"/>
                <w:sz w:val="16"/>
                <w:szCs w:val="16"/>
                <w:color w:val="auto"/>
              </w:rPr>
              <w:t>Cancellations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Expirations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6"/>
                <w:szCs w:val="16"/>
                <w:b w:val="1"/>
                <w:bCs w:val="1"/>
                <w:color w:val="auto"/>
              </w:rPr>
              <w:t>Options outstanding, June 30, 2022</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1,073,600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13.66</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8"/>
              </w:rPr>
              <w:t>4.9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Options exercisable, June 30, 2022</w:t>
            </w: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958,725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Total unrecognized stock option expense remaining (in thousands)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580" w:type="dxa"/>
            <w:vAlign w:val="bottom"/>
            <w:vMerge w:val="continue"/>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aggregate intrinsic value in the table above represents the total pre-tax intrinsic value that would have been received by the option holders had all option holders exercised their stock options on June 30, 2022. The intrinsic value is calculated for each</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in-the-money stock option as the difference between the closing price of the Company’s common stock on June 30, 2022 and the exercise price.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restricted stock activity and related information for the six months ended June 30, 2022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Restricted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average grant</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6"/>
              </w:rPr>
              <w:t>date fair</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Non-vested restricted shares, January 1, 2022</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429,601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Grants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266,713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Vested</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Cancellations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10.73</w:t>
            </w:r>
          </w:p>
        </w:tc>
        <w:tc>
          <w:tcPr>
            <w:tcW w:w="0" w:type="dxa"/>
            <w:vAlign w:val="bottom"/>
          </w:tcPr>
          <w:p>
            <w:pPr>
              <w:spacing w:after="0"/>
              <w:rPr>
                <w:sz w:val="1"/>
                <w:szCs w:val="1"/>
                <w:color w:val="auto"/>
              </w:rPr>
            </w:pP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Non-vested restricted shares, June 30, 2022</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519,259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Total unrecognized compensation expense remaining (in thousands)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40" w:type="dxa"/>
            <w:vAlign w:val="bottom"/>
            <w:vMerge w:val="continue"/>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5,469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restricted stock that vested during the six months ended June 30, 2022 was $2.1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shares</w:t>
      </w:r>
    </w:p>
    <w:p>
      <w:pPr>
        <w:spacing w:after="0" w:line="117"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Board of Directors. The shares are subject to the terms and conditions of the Company’s Plan.</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performance-based award activity and related information for the six months ended June 30, 2022 is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3"/>
              </w:rPr>
              <w:t>Performance-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average grant</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86"/>
              </w:rPr>
              <w:t>based stock</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6"/>
              </w:rPr>
              <w:t>date fair</w:t>
            </w:r>
          </w:p>
        </w:tc>
        <w:tc>
          <w:tcPr>
            <w:tcW w:w="0" w:type="dxa"/>
            <w:vAlign w:val="bottom"/>
          </w:tcPr>
          <w:p>
            <w:pPr>
              <w:spacing w:after="0"/>
              <w:rPr>
                <w:sz w:val="1"/>
                <w:szCs w:val="1"/>
                <w:color w:val="auto"/>
              </w:rPr>
            </w:pPr>
          </w:p>
        </w:tc>
      </w:tr>
      <w:tr>
        <w:trPr>
          <w:trHeight w:val="216"/>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9"/>
              <w:spacing w:after="0" w:line="216" w:lineRule="exact"/>
              <w:rPr>
                <w:sz w:val="20"/>
                <w:szCs w:val="20"/>
                <w:color w:val="auto"/>
              </w:rPr>
            </w:pPr>
            <w:r>
              <w:rPr>
                <w:rFonts w:ascii="Arial" w:cs="Arial" w:eastAsia="Arial" w:hAnsi="Arial"/>
                <w:sz w:val="16"/>
                <w:szCs w:val="16"/>
                <w:b w:val="1"/>
                <w:bCs w:val="1"/>
                <w:color w:val="auto"/>
                <w:w w:val="88"/>
              </w:rPr>
              <w:t xml:space="preserve">awards </w:t>
            </w:r>
            <w:r>
              <w:rPr>
                <w:rFonts w:ascii="Arial" w:cs="Arial" w:eastAsia="Arial" w:hAnsi="Arial"/>
                <w:sz w:val="21"/>
                <w:szCs w:val="21"/>
                <w:b w:val="1"/>
                <w:bCs w:val="1"/>
                <w:color w:val="auto"/>
                <w:w w:val="88"/>
                <w:vertAlign w:val="superscript"/>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Non-vested performance-based awards, January 1, 2022</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436,330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Grants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123,000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12.19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Achieved performance over target </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Vested</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(166,935)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Cancellations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Non-vested performance-based awards, June 30, 2022</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400,654</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unrecognized compensation expense remaining (in thousands)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320" w:hanging="312"/>
        <w:spacing w:after="0"/>
        <w:tabs>
          <w:tab w:leader="none" w:pos="320" w:val="left"/>
        </w:tabs>
        <w:numPr>
          <w:ilvl w:val="0"/>
          <w:numId w:val="7"/>
        </w:numPr>
        <w:rPr>
          <w:rFonts w:ascii="Arial" w:cs="Arial" w:eastAsia="Arial" w:hAnsi="Arial"/>
          <w:sz w:val="9"/>
          <w:szCs w:val="9"/>
          <w:color w:val="auto"/>
        </w:rPr>
      </w:pPr>
      <w:r>
        <w:rPr>
          <w:rFonts w:ascii="Arial" w:cs="Arial" w:eastAsia="Arial" w:hAnsi="Arial"/>
          <w:sz w:val="14"/>
          <w:szCs w:val="14"/>
          <w:color w:val="auto"/>
        </w:rPr>
        <w:t>Represents the target number of shares to be issued for each performance-based award.</w:t>
      </w:r>
    </w:p>
    <w:p>
      <w:pPr>
        <w:spacing w:after="0" w:line="55" w:lineRule="exact"/>
        <w:rPr>
          <w:rFonts w:ascii="Arial" w:cs="Arial" w:eastAsia="Arial" w:hAnsi="Arial"/>
          <w:sz w:val="9"/>
          <w:szCs w:val="9"/>
          <w:color w:val="auto"/>
        </w:rPr>
      </w:pPr>
    </w:p>
    <w:p>
      <w:pPr>
        <w:ind w:left="340" w:right="320" w:hanging="332"/>
        <w:spacing w:after="0" w:line="273" w:lineRule="auto"/>
        <w:tabs>
          <w:tab w:leader="none" w:pos="327" w:val="left"/>
        </w:tabs>
        <w:numPr>
          <w:ilvl w:val="0"/>
          <w:numId w:val="7"/>
        </w:numPr>
        <w:rPr>
          <w:rFonts w:ascii="Arial" w:cs="Arial" w:eastAsia="Arial" w:hAnsi="Arial"/>
          <w:sz w:val="9"/>
          <w:szCs w:val="9"/>
          <w:color w:val="auto"/>
        </w:rPr>
      </w:pPr>
      <w:r>
        <w:rPr>
          <w:rFonts w:ascii="Arial" w:cs="Arial" w:eastAsia="Arial" w:hAnsi="Arial"/>
          <w:sz w:val="14"/>
          <w:szCs w:val="14"/>
          <w:color w:val="auto"/>
        </w:rPr>
        <w:t>Represents the number of shares earned over target for performance-based awards granted in 2019 based on performance goals attained. These awards vested in the three months ended March 31,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performance-based awards that vested during the six months ended June 30, 2022 was $2.0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Cash-settled performance-based awards</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Each cash-settled performance-based award represents the right to receive up to 150% of the target number of deferred stock units with payment in cash equivalent to the value of one share of the Company's common stock. The number of deferred stock units earned will be determined based on the attainment of specified performance goals at the end of the performance period, as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determined by the Compensation Committee of the Board of Directors. The cash-settled performance-based awards are subject to the terms and conditions of the Company’s Plan.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cash-settled performance-based awards activity and related information for the six months ended June 30, 2022 is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Cash-settled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Weighted-</w:t>
            </w:r>
          </w:p>
        </w:tc>
      </w:tr>
      <w:tr>
        <w:trPr>
          <w:trHeight w:val="162"/>
        </w:trPr>
        <w:tc>
          <w:tcPr>
            <w:tcW w:w="8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0"/>
              </w:rPr>
              <w:t>performance-based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3"/>
              </w:rPr>
              <w:t>average fair</w:t>
            </w:r>
          </w:p>
        </w:tc>
      </w:tr>
      <w:tr>
        <w:trPr>
          <w:trHeight w:val="216"/>
        </w:trPr>
        <w:tc>
          <w:tcPr>
            <w:tcW w:w="8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
              <w:spacing w:after="0" w:line="216" w:lineRule="exact"/>
              <w:rPr>
                <w:sz w:val="20"/>
                <w:szCs w:val="20"/>
                <w:color w:val="auto"/>
              </w:rPr>
            </w:pPr>
            <w:r>
              <w:rPr>
                <w:rFonts w:ascii="Arial" w:cs="Arial" w:eastAsia="Arial" w:hAnsi="Arial"/>
                <w:sz w:val="16"/>
                <w:szCs w:val="16"/>
                <w:b w:val="1"/>
                <w:bCs w:val="1"/>
                <w:color w:val="auto"/>
                <w:w w:val="85"/>
              </w:rPr>
              <w:t xml:space="preserve">awards </w:t>
            </w:r>
            <w:r>
              <w:rPr>
                <w:rFonts w:ascii="Arial" w:cs="Arial" w:eastAsia="Arial" w:hAnsi="Arial"/>
                <w:sz w:val="21"/>
                <w:szCs w:val="21"/>
                <w:b w:val="1"/>
                <w:bCs w:val="1"/>
                <w:color w:val="auto"/>
                <w:w w:val="85"/>
                <w:vertAlign w:val="superscript"/>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7"/>
              </w:rPr>
              <w:t>value</w:t>
            </w: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Non-vested cash-settled performance-based awards, January 1, 2022</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00" w:type="dxa"/>
            <w:vAlign w:val="bottom"/>
          </w:tcPr>
          <w:p>
            <w:pPr>
              <w:ind w:left="360"/>
              <w:spacing w:after="0"/>
              <w:rPr>
                <w:sz w:val="20"/>
                <w:szCs w:val="20"/>
                <w:color w:val="auto"/>
              </w:rPr>
            </w:pPr>
            <w:r>
              <w:rPr>
                <w:rFonts w:ascii="Arial" w:cs="Arial" w:eastAsia="Arial" w:hAnsi="Arial"/>
                <w:sz w:val="16"/>
                <w:szCs w:val="16"/>
                <w:color w:val="auto"/>
              </w:rPr>
              <w:t>Grants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87,825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11.05</w:t>
            </w: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Cancellations</w:t>
            </w: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Non-vested cash-settled performance-based awards, June 30, 2022</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86,588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11.04</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unrecognized compensation expense remaining (in thousands)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bl>
    <w:p>
      <w:pPr>
        <w:spacing w:after="0" w:line="165"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Represents the target number of units to be settled in cash.</w:t>
      </w:r>
    </w:p>
    <w:p>
      <w:pPr>
        <w:spacing w:after="0" w:line="20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Compensation expense for cash-settled performance-based awards is recognized over the vesting period and will vary based on remeasurement during the performance period. If achievement of the performance metrics is not probable of achievement during the performance period, compensation expense is reversed. The awards are forfeited if the performance metrics are not achieved as of the end of the performance period. The cash</w:t>
      </w:r>
      <w:r>
        <w:rPr>
          <w:rFonts w:ascii="Arial" w:cs="Arial" w:eastAsia="Arial" w:hAnsi="Arial"/>
          <w:sz w:val="17"/>
          <w:szCs w:val="17"/>
          <w:b w:val="1"/>
          <w:bCs w:val="1"/>
          <w:color w:val="auto"/>
        </w:rPr>
        <w:t>-</w:t>
      </w:r>
      <w:r>
        <w:rPr>
          <w:rFonts w:ascii="Arial" w:cs="Arial" w:eastAsia="Arial" w:hAnsi="Arial"/>
          <w:sz w:val="17"/>
          <w:szCs w:val="17"/>
          <w:color w:val="auto"/>
        </w:rPr>
        <w:t>settled performance-based awards are liability-classified awards and are recorded within other long-term liabilities in the Company's condensed consolidated balance sheet. These awards are remeasured to fair value at the end of each reporting period until settlement. The cash-settled performance-based awards vest at the end of a three year period, as determined by the Compensation Committee.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 compensation expense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218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7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r>
      <w:tr>
        <w:trPr>
          <w:trHeight w:val="212"/>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Stock Compensation Expense Components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r>
      <w:tr>
        <w:trPr>
          <w:trHeight w:val="212"/>
        </w:trPr>
        <w:tc>
          <w:tcPr>
            <w:tcW w:w="5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Equity based stock option expense</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13"/>
        </w:trPr>
        <w:tc>
          <w:tcPr>
            <w:tcW w:w="57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Restricted and performance-based stock awards expense</w:t>
            </w: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1,187</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1,221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2,536</w:t>
            </w:r>
          </w:p>
        </w:tc>
      </w:tr>
      <w:tr>
        <w:trPr>
          <w:trHeight w:val="213"/>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 compensation expense for equity based awards</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1,280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w:t>
            </w:r>
          </w:p>
        </w:tc>
      </w:tr>
      <w:tr>
        <w:trPr>
          <w:trHeight w:val="213"/>
        </w:trPr>
        <w:tc>
          <w:tcPr>
            <w:tcW w:w="5780" w:type="dxa"/>
            <w:vAlign w:val="bottom"/>
          </w:tcPr>
          <w:p>
            <w:pPr>
              <w:ind w:left="460"/>
              <w:spacing w:after="0"/>
              <w:rPr>
                <w:sz w:val="20"/>
                <w:szCs w:val="20"/>
                <w:color w:val="auto"/>
              </w:rPr>
            </w:pPr>
            <w:r>
              <w:rPr>
                <w:rFonts w:ascii="Arial" w:cs="Arial" w:eastAsia="Arial" w:hAnsi="Arial"/>
                <w:sz w:val="16"/>
                <w:szCs w:val="16"/>
                <w:color w:val="auto"/>
              </w:rPr>
              <w:t>Liability based stock option expense</w:t>
            </w: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5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Cash-settled performance-based awards expense</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Total Stock Compensation Expense</w:t>
            </w: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1,365</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1,328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2,539</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2,772</w:t>
            </w:r>
          </w:p>
        </w:tc>
      </w:tr>
      <w:tr>
        <w:trPr>
          <w:trHeight w:val="20"/>
        </w:trPr>
        <w:tc>
          <w:tcPr>
            <w:tcW w:w="5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2022</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—(LOSS) INCOME PER COMMON SHARE</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Basic (loss) income per common share has been computed by dividing net (loss) income by the weighted-average number of shares of the Company’s common stock outstanding during the relevant period. Diluted (loss) income per common share adjusts net (loss) income and basic (loss) income per common share for the effect of all potentially dilutive shares of the Company’s common stock. Anti-dilutive securities are not included in the computation of diluted earnings per share under the treasury stock method.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calculations of basic and diluted (loss) income per common share for the three and six months ended June 30, 2022 and 2021 are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3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0" w:type="dxa"/>
            <w:vAlign w:val="bottom"/>
            <w:gridSpan w:val="9"/>
          </w:tcPr>
          <w:p>
            <w:pPr>
              <w:jc w:val="right"/>
              <w:ind w:right="230"/>
              <w:spacing w:after="0"/>
              <w:rPr>
                <w:sz w:val="20"/>
                <w:szCs w:val="20"/>
                <w:color w:val="auto"/>
              </w:rPr>
            </w:pPr>
            <w:r>
              <w:rPr>
                <w:rFonts w:ascii="Arial" w:cs="Arial" w:eastAsia="Arial" w:hAnsi="Arial"/>
                <w:sz w:val="18"/>
                <w:szCs w:val="18"/>
                <w:color w:val="auto"/>
              </w:rPr>
              <w:t>(in thousands, except per share amounts)</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 Basic and 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8,856</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Weighted-average shares outstanding – Basic</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21,239</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dilutive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380"/>
              <w:spacing w:after="0"/>
              <w:rPr>
                <w:sz w:val="20"/>
                <w:szCs w:val="20"/>
                <w:color w:val="auto"/>
              </w:rPr>
            </w:pPr>
            <w:r>
              <w:rPr>
                <w:rFonts w:ascii="Arial" w:cs="Arial" w:eastAsia="Arial" w:hAnsi="Arial"/>
                <w:sz w:val="18"/>
                <w:szCs w:val="18"/>
                <w:color w:val="auto"/>
              </w:rPr>
              <w:t>Stock options and other stock awards</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48"/>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Diluted</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(loss) income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(loss) income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Antidilutive Securities</w:t>
            </w:r>
            <w:r>
              <w:rPr>
                <w:rFonts w:ascii="Arial" w:cs="Arial" w:eastAsia="Arial" w:hAnsi="Arial"/>
                <w:sz w:val="23"/>
                <w:szCs w:val="23"/>
                <w:b w:val="1"/>
                <w:bCs w:val="1"/>
                <w:color w:val="auto"/>
                <w:vertAlign w:val="superscript"/>
              </w:rPr>
              <w:t>(1)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78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Stock options and other stock awards that have been excluded from the denominator as their inclusion would have been anti-dilutive.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 benefit of $0.1 million and income tax provision of $1.6 million for the three and six months ended June 30, 2022, respectively, represent taxes on both U.S. and foreign earnings at a combined effective income tax benefit rate of 2.5% and an income tax provision rate of (69.8)%, respectively. The negative rate for the six months ended June 30, 2022 reflects tax expense on a pretax financial reporting loss. The effective tax rate for the three and six months ended June 30, 2022 differs from the federal statutory income tax rate of 21.0% primarily due to foreign losses for which no tax benefit is recognized as such amounts are fully offset with a valuation allowance.</w:t>
      </w:r>
    </w:p>
    <w:p>
      <w:pPr>
        <w:spacing w:after="0" w:line="18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Income tax provision of $1.8 million and $4.2 million for the three and six months ended June 30, 2021, respectively, represent taxes on both U.S. and foreign earnings at combined effective income tax provision rates of 25.3% and 32.8%, respectively. The effective tax rate for the three and six months ended June 30, 2021 differs from the federal statutory income tax rate of 21.0% primarily due to state and local tax expense, and foreign losses for which no tax benefit is recognized as such amounts are fully offset with a valuation allowance, net of a benefit related to share based equity compensation.</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identified the following jurisdictions as “major” tax jurisdictions: U.S. Federal, California, Georgia, Illinois, Massachusetts, New Jersey, New York and the United Kingdom.</w:t>
      </w:r>
    </w:p>
    <w:p>
      <w:pPr>
        <w:spacing w:after="0" w:line="17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audit of the Company's New York State tax returns for years 2015-2019 closed during the quarter ended March 31, 2022 with an immaterial adjustment.</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evaluates its tax positions on a quarterly basis and revises its estimates accordingly. There were no material changes to the Company’s uncertain tax positions, interest, or penalties during the three-month periods ended June 30, 2022 and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fees and consulting fees, are not allocated to the specific segments and are reflected as unallocated corporate expenses.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3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5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0" w:type="dxa"/>
            <w:vAlign w:val="bottom"/>
            <w:gridSpan w:val="5"/>
          </w:tcPr>
          <w:p>
            <w:pPr>
              <w:ind w:left="460"/>
              <w:spacing w:after="0"/>
              <w:rPr>
                <w:sz w:val="20"/>
                <w:szCs w:val="20"/>
                <w:color w:val="auto"/>
              </w:rPr>
            </w:pPr>
            <w:r>
              <w:rPr>
                <w:rFonts w:ascii="Arial" w:cs="Arial" w:eastAsia="Arial" w:hAnsi="Arial"/>
                <w:sz w:val="18"/>
                <w:szCs w:val="18"/>
                <w:color w:val="auto"/>
              </w:rPr>
              <w:t>(in thousands)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137,191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166,583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303,409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342,764</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39,525</w:t>
            </w:r>
          </w:p>
        </w:tc>
        <w:tc>
          <w:tcPr>
            <w:tcW w:w="0" w:type="dxa"/>
            <w:vAlign w:val="bottom"/>
          </w:tcPr>
          <w:p>
            <w:pPr>
              <w:spacing w:after="0"/>
              <w:rPr>
                <w:sz w:val="1"/>
                <w:szCs w:val="1"/>
                <w:color w:val="auto"/>
              </w:rPr>
            </w:pP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151,314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186,636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382,289</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(Loss) income from operations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7,530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18,274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21,856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35,381</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 expenses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(11,368)</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income from operations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20,247</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depreciation and amortization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4"/>
          </w:tcPr>
          <w:p>
            <w:pPr>
              <w:jc w:val="right"/>
              <w:ind w:right="890"/>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U.S.</w:t>
            </w:r>
          </w:p>
        </w:tc>
        <w:tc>
          <w:tcPr>
            <w:tcW w:w="4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669,065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706,000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4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w:t>
            </w:r>
          </w:p>
        </w:tc>
        <w:tc>
          <w:tcPr>
            <w:tcW w:w="47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829,074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vMerge w:val="restart"/>
          </w:tcPr>
          <w:p>
            <w:pPr>
              <w:jc w:val="right"/>
              <w:ind w:right="2330"/>
              <w:spacing w:after="0"/>
              <w:rPr>
                <w:sz w:val="20"/>
                <w:szCs w:val="20"/>
                <w:color w:val="auto"/>
              </w:rPr>
            </w:pPr>
            <w:r>
              <w:rPr>
                <w:rFonts w:ascii="Arial" w:cs="Arial" w:eastAsia="Arial" w:hAnsi="Arial"/>
                <w:sz w:val="18"/>
                <w:szCs w:val="18"/>
                <w:color w:val="auto"/>
              </w:rPr>
              <w:t>- 25 -</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1"/>
        </w:trPr>
        <w:tc>
          <w:tcPr>
            <w:tcW w:w="352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color w:val="auto"/>
        </w:rPr>
        <w:t>—</w:t>
      </w:r>
      <w:r>
        <w:rPr>
          <w:rFonts w:ascii="Arial" w:cs="Arial" w:eastAsia="Arial" w:hAnsi="Arial"/>
          <w:sz w:val="18"/>
          <w:szCs w:val="18"/>
          <w:b w:val="1"/>
          <w:bCs w:val="1"/>
          <w:color w:val="auto"/>
        </w:rPr>
        <w:t xml:space="preserve">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Wallace EPA Matter</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spacing w:after="0" w:line="18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The EPA also designated a 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planned to expand its field investigation for the RI/FS to a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7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In February 2020, the tolling agreements were extended to November 2020. In November 2020, the tolling agreements were extended to November 2021. In October 2021, the tolling agreements were extended to November 2022. The tolling agreements do not constitute in any way an admission or acknowledgment of any fact, conclusion of law or liability by the parties to the agreements.</w:t>
      </w:r>
    </w:p>
    <w:p>
      <w:pPr>
        <w:spacing w:after="0" w:line="1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EPA released its proposed plan for a second operable unit in July 2019. The public comment period for the proposed plan ended on September 10, 2019. On September 30, 2019, the EPA issued the ROD for operable unit 2 (“OU-2”), electing to implement its preferred remedy which consists of in-situ treatment of groundwater and a monitored natural attenuation program including monitoring of the plume fringe at the Site. The EPA’s estimated total net present worth cost for its selected remedy is $17.3 million.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August 2021, WSPR received a Notice of Liability from the Department of Justice on behalf of the EPA, and in September 2021, WSPR submitted a good faith offer to conduct additional testing and remedial design, which is under consideration by the EPA.</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reserved $0.5 million to cover probable and estimable liabilities with respect to the above testing and remedial design. However, it is not possible at this time for the Company to estimate its share of its ultimate liability related to this matter. In the event of one or more adverse determinations related to this matter, it is possible that the ultimate liability resulting from this matter and the impact on the Company’s results of operations could be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Customs and Border Protection matter</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By letter dated August 26, 2019, the Company was advised that U.S. Customs and Border Protection ("CBP") had commenced an investigation, pursuant to 19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 Company believes, supports that the imported products were properly classified as specified sets. The Company's counsel filed a Lead Protest and Application for Further Review with CBP on February 5, 2020 (the "Lead Protest") relating to a single shipment made during the investigation period.</w:t>
      </w:r>
    </w:p>
    <w:p>
      <w:pPr>
        <w:spacing w:after="0" w:line="19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CBP approved the Company’s Lead Protest on June 8, 2020 stating that the specified set requirement was fulfilled with respect to the protested shipment based on information provided by the Company. Based on this decision, no additional duties will be owed for the seven tableware collections imported in this shipment.</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also compiled and submitted to CBP a complete set of supporting documents for three additional protests (for the remaining 29 tableware collections that were imported by the Company under the protested shipments). One of the additional protests was approved on October 15, 2020; the other two remain pending. If the CBP approves these additional claims and accepts the evidence presented, then no additional duties will be owed for the remaining protested shipments.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Because the period of investigation covers a five-year period, the Company is compiling supporting documentation packages for all tableware collections imported during this period.</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event CBP accepts the evidence presented, then no additional duties or penalties will be owed. If CBP rejects the Company’s position, then the estimated amount of duties that could be owed is $1.4 million. In such event, it is reasonably possible that additional penalties could be assessed, depending upon the level of culpability found, of up to $2.8 million for negligence and up to $5.6 million for gross negligence. In the event penalties are assessed, the Company will have the opportunity to further contest CBP’s findings and seek cancellation or mitigation of such assessments.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Accordingly, based on the above uncertainties and variables, the Company considers the potential losses related to this matter to be reasonably possible, but not probable. However, in the event of one or more adverse determinations related to this matter, it is possible that the ultimate liability resulting from this matter and the impact on the Company’s results of operations could be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color w:val="auto"/>
        </w:rPr>
        <w:t>—</w:t>
      </w:r>
      <w:r>
        <w:rPr>
          <w:rFonts w:ascii="Arial" w:cs="Arial" w:eastAsia="Arial" w:hAnsi="Arial"/>
          <w:sz w:val="18"/>
          <w:szCs w:val="18"/>
          <w:b w:val="1"/>
          <w:bCs w:val="1"/>
          <w:color w:val="auto"/>
        </w:rPr>
        <w:t xml:space="preserve"> 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in the six months ended June 30, 2022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auto"/>
              </w:rPr>
              <w:t>Dividend per share</w:t>
            </w:r>
          </w:p>
        </w:tc>
        <w:tc>
          <w:tcPr>
            <w:tcW w:w="2840" w:type="dxa"/>
            <w:vAlign w:val="bottom"/>
            <w:gridSpan w:val="2"/>
          </w:tcPr>
          <w:p>
            <w:pPr>
              <w:ind w:left="20"/>
              <w:spacing w:after="0"/>
              <w:rPr>
                <w:sz w:val="20"/>
                <w:szCs w:val="20"/>
                <w:color w:val="auto"/>
              </w:rPr>
            </w:pPr>
            <w:r>
              <w:rPr>
                <w:rFonts w:ascii="Arial" w:cs="Arial" w:eastAsia="Arial" w:hAnsi="Arial"/>
                <w:sz w:val="16"/>
                <w:szCs w:val="16"/>
                <w:b w:val="1"/>
                <w:bCs w:val="1"/>
                <w:color w:val="auto"/>
              </w:rPr>
              <w:t>Date declared</w:t>
            </w:r>
          </w:p>
        </w:tc>
        <w:tc>
          <w:tcPr>
            <w:tcW w:w="2820" w:type="dxa"/>
            <w:vAlign w:val="bottom"/>
            <w:gridSpan w:val="2"/>
          </w:tcPr>
          <w:p>
            <w:pPr>
              <w:spacing w:after="0"/>
              <w:rPr>
                <w:sz w:val="20"/>
                <w:szCs w:val="20"/>
                <w:color w:val="auto"/>
              </w:rPr>
            </w:pPr>
            <w:r>
              <w:rPr>
                <w:rFonts w:ascii="Arial" w:cs="Arial" w:eastAsia="Arial" w:hAnsi="Arial"/>
                <w:sz w:val="16"/>
                <w:szCs w:val="16"/>
                <w:b w:val="1"/>
                <w:bCs w:val="1"/>
                <w:color w:val="auto"/>
              </w:rPr>
              <w:t>Date of record</w:t>
            </w:r>
          </w:p>
        </w:tc>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Payment date</w:t>
            </w:r>
          </w:p>
        </w:tc>
      </w:tr>
      <w:tr>
        <w:trPr>
          <w:trHeight w:val="212"/>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$0.0425</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3/8/2022</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5/2/2022</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5/16/2022</w:t>
            </w:r>
          </w:p>
        </w:tc>
      </w:tr>
      <w:tr>
        <w:trPr>
          <w:trHeight w:val="210"/>
        </w:trPr>
        <w:tc>
          <w:tcPr>
            <w:tcW w:w="2720" w:type="dxa"/>
            <w:vAlign w:val="bottom"/>
          </w:tcPr>
          <w:p>
            <w:pPr>
              <w:ind w:left="20"/>
              <w:spacing w:after="0"/>
              <w:rPr>
                <w:sz w:val="20"/>
                <w:szCs w:val="20"/>
                <w:color w:val="auto"/>
              </w:rPr>
            </w:pPr>
            <w:r>
              <w:rPr>
                <w:rFonts w:ascii="Arial" w:cs="Arial" w:eastAsia="Arial" w:hAnsi="Arial"/>
                <w:sz w:val="16"/>
                <w:szCs w:val="16"/>
                <w:color w:val="auto"/>
              </w:rPr>
              <w:t>$0.0425</w:t>
            </w:r>
          </w:p>
        </w:tc>
        <w:tc>
          <w:tcPr>
            <w:tcW w:w="10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6/23/2022</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8/1/2022</w:t>
            </w:r>
          </w:p>
        </w:tc>
        <w:tc>
          <w:tcPr>
            <w:tcW w:w="10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6"/>
                <w:szCs w:val="16"/>
                <w:color w:val="auto"/>
              </w:rPr>
              <w:t>8/15/2022</w:t>
            </w:r>
          </w:p>
        </w:tc>
      </w:tr>
    </w:tbl>
    <w:p>
      <w:pPr>
        <w:spacing w:after="0" w:line="3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six months ended June 30, 2022, the Company paid dividends of $1.9 million. This included payments made on February 14, 2022 and May 16, 2022 of $0.9 million and $0.9 million to stockholders of record on January 31, 2022 and May 2, 2022, respectively, and payments of $0.1 million for dividends payable upon the vesting of restricted shares and performance shares.</w:t>
      </w:r>
    </w:p>
    <w:p>
      <w:pPr>
        <w:spacing w:after="0" w:line="1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the three months ended June 30, 2022, the Company reduced retained earnings for the accrual of $1.0 million relating to the dividend payable on August 15, 2022.</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On August 2, 2022, the Board of Directors declared a quarterly dividend of $0.0425 per share of common stock payable on November 15, 2022 to stockholders of record on November 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On March 14, 2022, the Company announced that its Board of Directors of the Company authorized the repurchase of up to $20.0 million of the Company’s common stock, replacing the Company’s previously-authorized $10 million share repurchase program. The repurchase authorization permits the Company to effect the repurchases from time to time through open market purchases and privately negotiated transactions. During the three and six months ended June 30, 2022, the Company repurchased 285,646 and 336,791 shares, respectively, for a total cost of $3.5 million and $4.2 million respectively, and thereafter retired the shares. Please see Part II, Item 2—Unregistered Sales of Equity Securities and Use of Proceeds included in this Quarterly Report on Form 10-Q.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50"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Six Months Ended</w:t>
      </w:r>
    </w:p>
    <w:p>
      <w:pPr>
        <w:jc w:val="center"/>
        <w:ind w:left="820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09"/>
        </w:trPr>
        <w:tc>
          <w:tcPr>
            <w:tcW w:w="8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w w:val="96"/>
              </w:rPr>
              <w:t>(in thousands)</w:t>
            </w:r>
          </w:p>
        </w:tc>
        <w:tc>
          <w:tcPr>
            <w:tcW w:w="96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6,598</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6,896</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taxes, net of refunds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5,862</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10,793</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on dilution of Vasconia ownership</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2022</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accumulated other comprehensive loss, net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6"/>
                <w:szCs w:val="16"/>
                <w:color w:val="auto"/>
              </w:rPr>
            </w:pPr>
          </w:p>
        </w:tc>
        <w:tc>
          <w:tcPr>
            <w:tcW w:w="22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5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Accumulated translation adjustment: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(31,868)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(34,017)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(31,752)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(35,846)</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Translation adjustment during period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0" w:type="dxa"/>
            <w:vAlign w:val="bottom"/>
          </w:tcPr>
          <w:p>
            <w:pPr>
              <w:spacing w:after="0"/>
              <w:rPr>
                <w:sz w:val="1"/>
                <w:szCs w:val="1"/>
                <w:color w:val="auto"/>
              </w:rPr>
            </w:pPr>
          </w:p>
        </w:tc>
      </w:tr>
      <w:tr>
        <w:trPr>
          <w:trHeight w:val="216"/>
        </w:trPr>
        <w:tc>
          <w:tcPr>
            <w:tcW w:w="578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2,042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Translation Adjustment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2,394</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(4,423)</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4,223</w:t>
            </w:r>
          </w:p>
        </w:tc>
        <w:tc>
          <w:tcPr>
            <w:tcW w:w="0" w:type="dxa"/>
            <w:vAlign w:val="bottom"/>
          </w:tcPr>
          <w:p>
            <w:pPr>
              <w:spacing w:after="0"/>
              <w:rPr>
                <w:sz w:val="1"/>
                <w:szCs w:val="1"/>
                <w:color w:val="auto"/>
              </w:rPr>
            </w:pPr>
          </w:p>
        </w:tc>
      </w:tr>
      <w:tr>
        <w:trPr>
          <w:trHeight w:val="207"/>
        </w:trPr>
        <w:tc>
          <w:tcPr>
            <w:tcW w:w="578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(36,175)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(36,175)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(31,623)</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Accumulated deferred gains (losses) on cash flow hedges: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686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(1,298)</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unrealized gains (losses)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 xml:space="preserve">Settlement of cash flow hedge </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206"/>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change in cash flow hedges, net of taxes of $243, $73, $413, $54</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Accumulated effect of retirement benefit obligations: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(3)</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actuarial loss, net of taxes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6"/>
        </w:trPr>
        <w:tc>
          <w:tcPr>
            <w:tcW w:w="578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(2,133)</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accumulated other comprehensive loss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(34,818)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(34,818)</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Amounts are recorded in equity in earnings on the unaudited condensed statements of operations.</w:t>
      </w:r>
    </w:p>
    <w:p>
      <w:pPr>
        <w:spacing w:after="0" w:line="45" w:lineRule="exact"/>
        <w:rPr>
          <w:rFonts w:ascii="Arial" w:cs="Arial" w:eastAsia="Arial" w:hAnsi="Arial"/>
          <w:sz w:val="19"/>
          <w:szCs w:val="19"/>
          <w:color w:val="auto"/>
          <w:vertAlign w:val="superscript"/>
        </w:rPr>
      </w:pPr>
    </w:p>
    <w:p>
      <w:pPr>
        <w:ind w:left="320" w:hanging="312"/>
        <w:spacing w:after="0" w:line="186" w:lineRule="auto"/>
        <w:tabs>
          <w:tab w:leader="none" w:pos="3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Amounts reclassified are recorded in interest expense and cost of sales on the unaudited condensed consolidated statement of operations.</w:t>
      </w:r>
    </w:p>
    <w:p>
      <w:pPr>
        <w:spacing w:after="0" w:line="46" w:lineRule="exact"/>
        <w:rPr>
          <w:rFonts w:ascii="Arial" w:cs="Arial" w:eastAsia="Arial" w:hAnsi="Arial"/>
          <w:sz w:val="19"/>
          <w:szCs w:val="19"/>
          <w:color w:val="auto"/>
          <w:vertAlign w:val="superscript"/>
        </w:rPr>
      </w:pPr>
    </w:p>
    <w:p>
      <w:pPr>
        <w:ind w:left="320" w:hanging="312"/>
        <w:spacing w:after="0" w:line="186" w:lineRule="auto"/>
        <w:tabs>
          <w:tab w:leader="none" w:pos="3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Amounts are recorded in selling, general and administrative expense on the unaudited condensed consolidated statements of operations.</w:t>
      </w:r>
    </w:p>
    <w:p>
      <w:pPr>
        <w:spacing w:after="0" w:line="200" w:lineRule="exact"/>
        <w:rPr>
          <w:rFonts w:ascii="Arial" w:cs="Arial" w:eastAsia="Arial" w:hAnsi="Arial"/>
          <w:sz w:val="19"/>
          <w:szCs w:val="19"/>
          <w:color w:val="auto"/>
          <w:vertAlign w:val="superscript"/>
        </w:rPr>
      </w:pPr>
    </w:p>
    <w:p>
      <w:pPr>
        <w:spacing w:after="0" w:line="379" w:lineRule="exact"/>
        <w:rPr>
          <w:rFonts w:ascii="Arial" w:cs="Arial" w:eastAsia="Arial" w:hAnsi="Arial"/>
          <w:sz w:val="19"/>
          <w:szCs w:val="19"/>
          <w:color w:val="auto"/>
          <w:vertAlign w:val="superscript"/>
        </w:rPr>
      </w:pPr>
    </w:p>
    <w:p>
      <w:pPr>
        <w:ind w:left="5540" w:hanging="111"/>
        <w:spacing w:after="0"/>
        <w:tabs>
          <w:tab w:leader="none" w:pos="5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All statements other than statements of historical facts contained in this Quarterly Report on Form 10-Q are forward-looking statements.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Discussion and Analysis of Financial Condition and Results of Operations. </w:t>
      </w:r>
      <w:r>
        <w:rPr>
          <w:rFonts w:ascii="Arial" w:cs="Arial" w:eastAsia="Arial" w:hAnsi="Arial"/>
          <w:sz w:val="17"/>
          <w:szCs w:val="17"/>
          <w:color w:val="auto"/>
        </w:rPr>
        <w:t>When used in this Quarterly Report on Form 10-Q, the words “estimates,”</w:t>
      </w:r>
      <w:r>
        <w:rPr>
          <w:rFonts w:ascii="Arial" w:cs="Arial" w:eastAsia="Arial" w:hAnsi="Arial"/>
          <w:sz w:val="17"/>
          <w:szCs w:val="17"/>
          <w:i w:val="1"/>
          <w:iCs w:val="1"/>
          <w:color w:val="auto"/>
        </w:rPr>
        <w:t xml:space="preserve"> </w:t>
      </w:r>
      <w:r>
        <w:rPr>
          <w:rFonts w:ascii="Arial" w:cs="Arial" w:eastAsia="Arial" w:hAnsi="Arial"/>
          <w:sz w:val="17"/>
          <w:szCs w:val="17"/>
          <w:color w:val="auto"/>
        </w:rPr>
        <w:t>“expects,” “intends,” “predicts,” “plans,” “believes,” “may,” “should,” “would,”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spacing w:after="0" w:line="18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There are a number of risks and uncertainties that could cause the Company’s actual results to differ materially from the forward-looking statements contained in this Quarterly Report on Form 10-Q. Important factors that could cause the Company’s actual results to differ materially from those expressed as forward-looking statements include, without limitation, those set forth in the Company’s Annual Report on Form 10-K for the fiscal year ended December 31, 2021 (the “2021 Annual Report on Form 10-K”) in Part I, Item 1A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in the Company’s subsequent filings with the U.S. Securities and Exchange Commission (the “SEC”). Such risks, uncertainties and other important factors include, among others, risks related to:</w:t>
      </w:r>
    </w:p>
    <w:p>
      <w:pPr>
        <w:spacing w:after="0" w:line="8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Macroeconomic conditions, including inflationary impacts and disruptions to the global supply chain;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ongoing impact of the COVID-19 pandemic;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in supply chain costs, including raw materials, sourcing, transportation and energy;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the United Kingdom's exit from the European Union on the Company's U.K.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tariffs and trade policies, particularly with respect to China;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legislative or regulatory risks relating to climate change;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Indebtedness, compliance with credit agreements, and access to credit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to the capital markets and credit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seasonality of the Company's cash flows;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ability to complete acquisitions or successfully integrate acquisitions, such as the recent acquisition of S'well;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Intense market competition and changing customer practices or preferences;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Dependence on third-party manufacturers;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Technology, cybersecurity and data privacy risks;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Geopolitical conditions, including war, conflict, unrest and sanctions, including those related to the conflict in Ukraine;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liability claims;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Reputational risks.</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Company is required to file its Annual Reports on Forms 10-K, Quarterly Reports on Forms 10-Q, Current Reports on Form 8-K, and other reports and documents as required from time to time with the SEC. The Company also maintains a website at </w:t>
      </w:r>
      <w:r>
        <w:rPr>
          <w:rFonts w:ascii="Arial" w:cs="Arial" w:eastAsia="Arial" w:hAnsi="Arial"/>
          <w:sz w:val="18"/>
          <w:szCs w:val="18"/>
          <w:i w:val="1"/>
          <w:iCs w:val="1"/>
          <w:u w:val="single" w:color="auto"/>
          <w:color w:val="auto"/>
        </w:rPr>
        <w:t>http://www.lifetimebrands.com</w:t>
      </w:r>
      <w:r>
        <w:rPr>
          <w:rFonts w:ascii="Arial" w:cs="Arial" w:eastAsia="Arial" w:hAnsi="Arial"/>
          <w:sz w:val="18"/>
          <w:szCs w:val="18"/>
          <w:color w:val="auto"/>
        </w:rPr>
        <w:t>. Information contained on this website is not a part of or incorporated by reference into this Quarterly Report on Form 10-Q. The Company makes available on its website the Company’s Annual Report on Form 10-K, Quarterly Reports on Form 10-Q, Current Reports on Form 8-K and any amendments to these reports as soon as reasonably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practicable after these reports are filed with or furnished to the SEC. Users can access these reports free of charge on the Company’s website. The SEC also maintains a website that contains reports, proxy and information statements, and other information regarding the Company’s electronic filings with the SEC at </w:t>
      </w:r>
      <w:r>
        <w:rPr>
          <w:rFonts w:ascii="Arial" w:cs="Arial" w:eastAsia="Arial" w:hAnsi="Arial"/>
          <w:sz w:val="18"/>
          <w:szCs w:val="18"/>
          <w:i w:val="1"/>
          <w:iCs w:val="1"/>
          <w:u w:val="single" w:color="auto"/>
          <w:color w:val="auto"/>
        </w:rPr>
        <w:t>http://www.sec.gov.</w:t>
      </w:r>
    </w:p>
    <w:p>
      <w:pPr>
        <w:spacing w:after="0" w:line="18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COMPANY</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 In 2021, Kitchenware products and Tableware products accounted for approximately 85% of the Company’s U.S. segment’s net sales and 87% of the Company’s consolidated net sales.</w:t>
      </w:r>
    </w:p>
    <w:p>
      <w:pPr>
        <w:spacing w:after="0" w:line="17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Arial" w:cs="Arial" w:eastAsia="Arial" w:hAnsi="Arial"/>
          <w:sz w:val="23"/>
          <w:szCs w:val="23"/>
          <w:color w:val="auto"/>
          <w:vertAlign w:val="superscript"/>
        </w:rPr>
        <w:t>®</w:t>
      </w:r>
      <w:r>
        <w:rPr>
          <w:rFonts w:ascii="Arial" w:cs="Arial" w:eastAsia="Arial" w:hAnsi="Arial"/>
          <w:sz w:val="18"/>
          <w:szCs w:val="18"/>
          <w:color w:val="auto"/>
        </w:rPr>
        <w:t>, KitchenAid</w:t>
      </w:r>
      <w:r>
        <w:rPr>
          <w:rFonts w:ascii="Arial" w:cs="Arial" w:eastAsia="Arial" w:hAnsi="Arial"/>
          <w:sz w:val="23"/>
          <w:szCs w:val="23"/>
          <w:color w:val="auto"/>
          <w:vertAlign w:val="superscript"/>
        </w:rPr>
        <w:t>®</w:t>
      </w:r>
      <w:r>
        <w:rPr>
          <w:rFonts w:ascii="Arial" w:cs="Arial" w:eastAsia="Arial" w:hAnsi="Arial"/>
          <w:sz w:val="18"/>
          <w:szCs w:val="18"/>
          <w:color w:val="auto"/>
        </w:rPr>
        <w:t>, Taylor</w:t>
      </w:r>
      <w:r>
        <w:rPr>
          <w:rFonts w:ascii="Arial" w:cs="Arial" w:eastAsia="Arial" w:hAnsi="Arial"/>
          <w:sz w:val="23"/>
          <w:szCs w:val="23"/>
          <w:color w:val="auto"/>
          <w:vertAlign w:val="superscript"/>
        </w:rPr>
        <w:t>®</w:t>
      </w:r>
      <w:r>
        <w:rPr>
          <w:rFonts w:ascii="Arial" w:cs="Arial" w:eastAsia="Arial" w:hAnsi="Arial"/>
          <w:sz w:val="18"/>
          <w:szCs w:val="18"/>
          <w:color w:val="auto"/>
        </w:rPr>
        <w:t>, Mikasa</w:t>
      </w:r>
      <w:r>
        <w:rPr>
          <w:rFonts w:ascii="Arial" w:cs="Arial" w:eastAsia="Arial" w:hAnsi="Arial"/>
          <w:sz w:val="23"/>
          <w:szCs w:val="23"/>
          <w:color w:val="auto"/>
          <w:vertAlign w:val="superscript"/>
        </w:rPr>
        <w:t>®</w:t>
      </w:r>
      <w:r>
        <w:rPr>
          <w:rFonts w:ascii="Arial" w:cs="Arial" w:eastAsia="Arial" w:hAnsi="Arial"/>
          <w:sz w:val="18"/>
          <w:szCs w:val="18"/>
          <w:color w:val="auto"/>
        </w:rPr>
        <w:t>, KitchenCraft</w:t>
      </w:r>
      <w:r>
        <w:rPr>
          <w:rFonts w:ascii="Arial" w:cs="Arial" w:eastAsia="Arial" w:hAnsi="Arial"/>
          <w:sz w:val="23"/>
          <w:szCs w:val="23"/>
          <w:color w:val="auto"/>
          <w:vertAlign w:val="superscript"/>
        </w:rPr>
        <w:t>®</w:t>
      </w:r>
      <w:r>
        <w:rPr>
          <w:rFonts w:ascii="Arial" w:cs="Arial" w:eastAsia="Arial" w:hAnsi="Arial"/>
          <w:sz w:val="18"/>
          <w:szCs w:val="18"/>
          <w:color w:val="auto"/>
        </w:rPr>
        <w:t>, Built NY</w:t>
      </w:r>
      <w:r>
        <w:rPr>
          <w:rFonts w:ascii="Arial" w:cs="Arial" w:eastAsia="Arial" w:hAnsi="Arial"/>
          <w:sz w:val="23"/>
          <w:szCs w:val="23"/>
          <w:color w:val="auto"/>
          <w:vertAlign w:val="superscript"/>
        </w:rPr>
        <w:t>®</w:t>
      </w:r>
      <w:r>
        <w:rPr>
          <w:rFonts w:ascii="Arial" w:cs="Arial" w:eastAsia="Arial" w:hAnsi="Arial"/>
          <w:sz w:val="18"/>
          <w:szCs w:val="18"/>
          <w:color w:val="auto"/>
        </w:rPr>
        <w:t>, Kamenstein</w:t>
      </w:r>
      <w:r>
        <w:rPr>
          <w:rFonts w:ascii="Arial" w:cs="Arial" w:eastAsia="Arial" w:hAnsi="Arial"/>
          <w:sz w:val="23"/>
          <w:szCs w:val="23"/>
          <w:color w:val="auto"/>
          <w:vertAlign w:val="superscript"/>
        </w:rPr>
        <w:t>®</w:t>
      </w:r>
      <w:r>
        <w:rPr>
          <w:rFonts w:ascii="Arial" w:cs="Arial" w:eastAsia="Arial" w:hAnsi="Arial"/>
          <w:sz w:val="18"/>
          <w:szCs w:val="18"/>
          <w:color w:val="auto"/>
        </w:rPr>
        <w:t>, Pfaltzgraff</w:t>
      </w:r>
      <w:r>
        <w:rPr>
          <w:rFonts w:ascii="Arial" w:cs="Arial" w:eastAsia="Arial" w:hAnsi="Arial"/>
          <w:sz w:val="23"/>
          <w:szCs w:val="23"/>
          <w:color w:val="auto"/>
          <w:vertAlign w:val="superscript"/>
        </w:rPr>
        <w:t>®</w:t>
      </w:r>
      <w:r>
        <w:rPr>
          <w:rFonts w:ascii="Arial" w:cs="Arial" w:eastAsia="Arial" w:hAnsi="Arial"/>
          <w:sz w:val="18"/>
          <w:szCs w:val="18"/>
          <w:color w:val="auto"/>
        </w:rPr>
        <w:t>, Rabbit</w:t>
      </w:r>
      <w:r>
        <w:rPr>
          <w:rFonts w:ascii="Arial" w:cs="Arial" w:eastAsia="Arial" w:hAnsi="Arial"/>
          <w:sz w:val="23"/>
          <w:szCs w:val="23"/>
          <w:color w:val="auto"/>
          <w:vertAlign w:val="superscript"/>
        </w:rPr>
        <w:t>®</w:t>
      </w:r>
      <w:r>
        <w:rPr>
          <w:rFonts w:ascii="Arial" w:cs="Arial" w:eastAsia="Arial" w:hAnsi="Arial"/>
          <w:sz w:val="18"/>
          <w:szCs w:val="18"/>
          <w:color w:val="auto"/>
        </w:rPr>
        <w:t>, and Sabatier</w:t>
      </w:r>
      <w:r>
        <w:rPr>
          <w:rFonts w:ascii="Arial" w:cs="Arial" w:eastAsia="Arial" w:hAnsi="Arial"/>
          <w:sz w:val="23"/>
          <w:szCs w:val="23"/>
          <w:color w:val="auto"/>
          <w:vertAlign w:val="superscript"/>
        </w:rPr>
        <w:t>®</w:t>
      </w:r>
      <w:r>
        <w:rPr>
          <w:rFonts w:ascii="Arial" w:cs="Arial" w:eastAsia="Arial" w:hAnsi="Arial"/>
          <w:sz w:val="18"/>
          <w:szCs w:val="18"/>
          <w:color w:val="auto"/>
        </w:rPr>
        <w:t>. Historically, the Company’s sales growth has come from expanding product offerings within its product categories,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32" w:lineRule="exact"/>
        <w:rPr>
          <w:sz w:val="20"/>
          <w:szCs w:val="20"/>
          <w:color w:val="auto"/>
        </w:rPr>
      </w:pPr>
    </w:p>
    <w:p>
      <w:pPr>
        <w:ind w:right="120"/>
        <w:spacing w:after="0" w:line="256" w:lineRule="auto"/>
        <w:rPr>
          <w:sz w:val="20"/>
          <w:szCs w:val="20"/>
          <w:color w:val="auto"/>
        </w:rPr>
      </w:pPr>
      <w:r>
        <w:rPr>
          <w:rFonts w:ascii="Arial" w:cs="Arial" w:eastAsia="Arial" w:hAnsi="Arial"/>
          <w:sz w:val="20"/>
          <w:szCs w:val="20"/>
          <w:color w:val="auto"/>
        </w:rPr>
        <w:t>D</w:t>
      </w:r>
      <w:r>
        <w:rPr>
          <w:rFonts w:ascii="Arial" w:cs="Arial" w:eastAsia="Arial" w:hAnsi="Arial"/>
          <w:sz w:val="17"/>
          <w:szCs w:val="17"/>
          <w:color w:val="auto"/>
        </w:rPr>
        <w:t>isruptions in the global supply chain have been caused by various factors, including increased demand for containers, limited container capacity and</w:t>
      </w:r>
      <w:r>
        <w:rPr>
          <w:rFonts w:ascii="Arial" w:cs="Arial" w:eastAsia="Arial" w:hAnsi="Arial"/>
          <w:sz w:val="20"/>
          <w:szCs w:val="20"/>
          <w:color w:val="auto"/>
        </w:rPr>
        <w:t xml:space="preserve"> </w:t>
      </w:r>
      <w:r>
        <w:rPr>
          <w:rFonts w:ascii="Arial" w:cs="Arial" w:eastAsia="Arial" w:hAnsi="Arial"/>
          <w:sz w:val="17"/>
          <w:szCs w:val="17"/>
          <w:color w:val="auto"/>
        </w:rPr>
        <w:t>backlog at shipping ports. The Company has been impacted by these disruptions and has experienced higher inbound freight cost, delays in importing inventory and an increase in product costs. In addition, the global economy is experiencing accelerated inflation, which has in part been caused by the supply chain disruptions, higher consumer spending and low interest rates. The rise in inflation is contributing to higher prices, which may result in higher input cost for products, increased transportation and labor cost and impact consumer spending and buying patterns. The Company may be adversely impacted if trends in the global supply chain disruptions and high inflation continue in 2022.</w:t>
      </w:r>
    </w:p>
    <w:p>
      <w:pPr>
        <w:spacing w:after="0" w:line="1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experienced an increase in delivery times and cost for products shipped from the U.K. warehouse to continental Europe. To remain competitive in the distribution of products within continental Europe, the Company expanded its distribution and warehouse capacity through a third-party operated distribution provider located in the Netherlands in the first quarter of 2022. The Company began shipments from this location in the second quarter of 2022.</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March 23 2022, the United States Trade Representative ("USTR") announced it had reinstated exclusions on certain product categories or harmonized tariff codes retroactive to October 12, 2021. The exclusion is effective through December 31,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benefits, stock compensation, director fees, and accounting, legal fees and consulting fees, are not allocated to the specific segments and are reflected as unallocated corporate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June 30, 2022, the Company owned 24.7%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For the period ended June 30, 2021, the Company's investment ownership was 30%. The Company's investment ownership decreased to approximately 27% on June 30, 2021 and was further reduced to 24.7% on July 29, 2021 as a result of transactions that occurred in those periods.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 for the three and six months ended June 30, 2022 and 2021 in the accompanying unaudited condensed consolidated statements of operations. Pursuant to a Shares Subscription Agreement, the Company may designate four persons to be nominated as members of Vasconia’s Board of Directors. As of June 30, 2022, Vasconia’s Board of Directors is comprised of eleven members, of whom the Company has designated two members.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On June 30, 2021, Vasconia issued additional shares of its stock, which diluted the Company’s investment ownership from approximately 30%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approximately 27%. The Company recorded a non-cash gain of $1.7 million, increasing the Company’s investment balance. Additionally, a loss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 million was recognized for the proportionate share of the diluted ownership for amounts previously recognized in accumulated other comprehensive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The net loss of $0.3 million was included in equity in earnings, net of taxes, in the accompanying unaudited condensed consolidated statements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three and six months ended June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explore opportunities to sell additional shares of its investment in Vasconia.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Company’s business and working capital needs are highly seasonal, with a majority of sales occurring in the third and fourth quarters. In 2021 and 2020, net sales for the third and fourth quarters accounted for 56% and 62% of total annual net sales, respectively. The increase in the Company's net sales in the first half of the year in 2021 compared to historical trend was a result of increased demand for the Company's products due to shifts in consumer purchasing patterns. In anticipation of the pre-holiday shipping season, inventory levels increase primarily in the June through October time period.</w:t>
      </w:r>
    </w:p>
    <w:p>
      <w:pPr>
        <w:spacing w:after="0" w:line="15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Consistent with the seasonality of the Company’s net sales and inventory levels, the Company also experiences seasonality in its inventory turnover and turnover days from one quarter to the next.</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COVID-19 pandemic has caused, and may continue to cause, shifts in some of the Company's selling and purchasing cycles as customers deviate from their historical ordering patterns.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 xml:space="preserve">There have been no material changes to the Company’s critical accounting estimates discussed in the 2021 Annual Report on Form 10-K in Item 7 under the heading </w:t>
      </w:r>
      <w:r>
        <w:rPr>
          <w:rFonts w:ascii="Arial" w:cs="Arial" w:eastAsia="Arial" w:hAnsi="Arial"/>
          <w:sz w:val="16"/>
          <w:szCs w:val="16"/>
          <w:i w:val="1"/>
          <w:iCs w:val="1"/>
          <w:color w:val="auto"/>
        </w:rPr>
        <w:t>Management’s Discussion and Analysis of Financial Condition and Results of Operations – Critical Accounting Policies and Estimates</w:t>
      </w:r>
      <w:r>
        <w:rPr>
          <w:rFonts w:ascii="Arial" w:cs="Arial" w:eastAsia="Arial" w:hAnsi="Arial"/>
          <w:sz w:val="16"/>
          <w:szCs w:val="16"/>
          <w:color w:val="auto"/>
        </w:rPr>
        <w:t>.</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statements of operations data of the Company as a percentage of net sales for the periods indicated: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282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28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Six Months Ended</w:t>
            </w:r>
          </w:p>
        </w:tc>
      </w:tr>
      <w:tr>
        <w:trPr>
          <w:trHeight w:val="213"/>
        </w:trPr>
        <w:tc>
          <w:tcPr>
            <w:tcW w:w="5440" w:type="dxa"/>
            <w:vAlign w:val="bottom"/>
          </w:tcPr>
          <w:p>
            <w:pPr>
              <w:spacing w:after="0"/>
              <w:rPr>
                <w:sz w:val="18"/>
                <w:szCs w:val="18"/>
                <w:color w:val="auto"/>
              </w:rPr>
            </w:pPr>
          </w:p>
        </w:tc>
        <w:tc>
          <w:tcPr>
            <w:tcW w:w="1840" w:type="dxa"/>
            <w:vAlign w:val="bottom"/>
            <w:tcBorders>
              <w:bottom w:val="single" w:sz="8" w:color="auto"/>
            </w:tcBorders>
            <w:gridSpan w:val="3"/>
          </w:tcPr>
          <w:p>
            <w:pPr>
              <w:ind w:left="112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w w:val="90"/>
              </w:rPr>
              <w:t>June 30,</w:t>
            </w:r>
          </w:p>
        </w:tc>
        <w:tc>
          <w:tcPr>
            <w:tcW w:w="980" w:type="dxa"/>
            <w:vAlign w:val="bottom"/>
            <w:tcBorders>
              <w:bottom w:val="single" w:sz="8" w:color="auto"/>
            </w:tcBorders>
          </w:tcPr>
          <w:p>
            <w:pPr>
              <w:spacing w:after="0"/>
              <w:rPr>
                <w:sz w:val="18"/>
                <w:szCs w:val="18"/>
                <w:color w:val="auto"/>
              </w:rPr>
            </w:pPr>
          </w:p>
        </w:tc>
      </w:tr>
      <w:tr>
        <w:trPr>
          <w:trHeight w:val="210"/>
        </w:trPr>
        <w:tc>
          <w:tcPr>
            <w:tcW w:w="54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12"/>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64.6</w:t>
            </w:r>
          </w:p>
        </w:tc>
        <w:tc>
          <w:tcPr>
            <w:tcW w:w="1460" w:type="dxa"/>
            <w:vAlign w:val="bottom"/>
            <w:gridSpan w:val="2"/>
          </w:tcPr>
          <w:p>
            <w:pPr>
              <w:jc w:val="right"/>
              <w:ind w:right="119"/>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65.4</w:t>
            </w:r>
          </w:p>
        </w:tc>
      </w:tr>
      <w:tr>
        <w:trPr>
          <w:trHeight w:val="21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3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36.5</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13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35.4</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34.6</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Distribution expenses</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10.1</w:t>
            </w:r>
          </w:p>
        </w:tc>
        <w:tc>
          <w:tcPr>
            <w:tcW w:w="1460" w:type="dxa"/>
            <w:vAlign w:val="bottom"/>
            <w:gridSpan w:val="2"/>
          </w:tcPr>
          <w:p>
            <w:pPr>
              <w:jc w:val="right"/>
              <w:ind w:right="11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9.8</w:t>
            </w: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19.4</w:t>
            </w:r>
          </w:p>
        </w:tc>
      </w:tr>
      <w:tr>
        <w:trPr>
          <w:trHeight w:val="207"/>
        </w:trPr>
        <w:tc>
          <w:tcPr>
            <w:tcW w:w="5440" w:type="dxa"/>
            <w:vAlign w:val="bottom"/>
          </w:tcPr>
          <w:p>
            <w:pPr>
              <w:ind w:left="20"/>
              <w:spacing w:after="0"/>
              <w:rPr>
                <w:sz w:val="20"/>
                <w:szCs w:val="20"/>
                <w:color w:val="auto"/>
              </w:rPr>
            </w:pPr>
            <w:r>
              <w:rPr>
                <w:rFonts w:ascii="Arial" w:cs="Arial" w:eastAsia="Arial" w:hAnsi="Arial"/>
                <w:sz w:val="16"/>
                <w:szCs w:val="16"/>
                <w:color w:val="auto"/>
              </w:rPr>
              <w:t>(Loss) income from operations</w:t>
            </w:r>
          </w:p>
        </w:tc>
        <w:tc>
          <w:tcPr>
            <w:tcW w:w="1360" w:type="dxa"/>
            <w:vAlign w:val="bottom"/>
          </w:tcPr>
          <w:p>
            <w:pPr>
              <w:ind w:left="88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5.9</w:t>
            </w:r>
          </w:p>
        </w:tc>
        <w:tc>
          <w:tcPr>
            <w:tcW w:w="1460" w:type="dxa"/>
            <w:vAlign w:val="bottom"/>
            <w:gridSpan w:val="2"/>
          </w:tcPr>
          <w:p>
            <w:pPr>
              <w:jc w:val="right"/>
              <w:ind w:right="1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5.4</w:t>
            </w: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360" w:type="dxa"/>
            <w:vAlign w:val="bottom"/>
            <w:shd w:val="clear" w:color="auto" w:fill="CCEEFF"/>
          </w:tcPr>
          <w:p>
            <w:pPr>
              <w:ind w:left="88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360" w:type="dxa"/>
            <w:vAlign w:val="bottom"/>
            <w:shd w:val="clear" w:color="auto" w:fill="CCEEFF"/>
          </w:tcPr>
          <w:p>
            <w:pPr>
              <w:ind w:left="88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Mark to market gain on interest rate derivatives</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0.0</w:t>
            </w:r>
          </w:p>
        </w:tc>
        <w:tc>
          <w:tcPr>
            <w:tcW w:w="1460" w:type="dxa"/>
            <w:vAlign w:val="bottom"/>
            <w:gridSpan w:val="2"/>
          </w:tcPr>
          <w:p>
            <w:pPr>
              <w:jc w:val="right"/>
              <w:ind w:right="1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0.1</w:t>
            </w:r>
          </w:p>
        </w:tc>
      </w:tr>
      <w:tr>
        <w:trPr>
          <w:trHeight w:val="21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 and equity in earnings</w:t>
            </w:r>
          </w:p>
        </w:tc>
        <w:tc>
          <w:tcPr>
            <w:tcW w:w="13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3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(0.7)</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Income tax benefit (provision)</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460" w:type="dxa"/>
            <w:vAlign w:val="bottom"/>
            <w:gridSpan w:val="2"/>
          </w:tcPr>
          <w:p>
            <w:pPr>
              <w:ind w:left="98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(1.2)</w:t>
            </w: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net of taxes</w:t>
            </w: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0.0</w:t>
            </w:r>
          </w:p>
        </w:tc>
      </w:tr>
      <w:tr>
        <w:trPr>
          <w:trHeight w:val="207"/>
        </w:trPr>
        <w:tc>
          <w:tcPr>
            <w:tcW w:w="544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1360" w:type="dxa"/>
            <w:vAlign w:val="bottom"/>
          </w:tcPr>
          <w:p>
            <w:pPr>
              <w:ind w:left="880"/>
              <w:spacing w:after="0"/>
              <w:rPr>
                <w:sz w:val="20"/>
                <w:szCs w:val="20"/>
                <w:color w:val="auto"/>
              </w:rPr>
            </w:pPr>
            <w:r>
              <w:rPr>
                <w:rFonts w:ascii="Arial" w:cs="Arial" w:eastAsia="Arial" w:hAnsi="Arial"/>
                <w:sz w:val="16"/>
                <w:szCs w:val="16"/>
                <w:color w:val="auto"/>
                <w:w w:val="97"/>
              </w:rPr>
              <w:t>(2.3)%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3.1 %</w:t>
            </w:r>
          </w:p>
        </w:tc>
        <w:tc>
          <w:tcPr>
            <w:tcW w:w="1460" w:type="dxa"/>
            <w:vAlign w:val="bottom"/>
            <w:gridSpan w:val="2"/>
          </w:tcPr>
          <w:p>
            <w:pPr>
              <w:ind w:left="980"/>
              <w:spacing w:after="0"/>
              <w:rPr>
                <w:sz w:val="20"/>
                <w:szCs w:val="20"/>
                <w:color w:val="auto"/>
              </w:rPr>
            </w:pPr>
            <w:r>
              <w:rPr>
                <w:rFonts w:ascii="Arial" w:cs="Arial" w:eastAsia="Arial" w:hAnsi="Arial"/>
                <w:sz w:val="16"/>
                <w:szCs w:val="16"/>
                <w:color w:val="auto"/>
                <w:w w:val="97"/>
              </w:rPr>
              <w:t>(0.9)%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3"/>
        </w:trPr>
        <w:tc>
          <w:tcPr>
            <w:tcW w:w="5440" w:type="dxa"/>
            <w:vAlign w:val="bottom"/>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340" w:right="1920"/>
        <w:spacing w:after="0" w:line="275" w:lineRule="auto"/>
        <w:rPr>
          <w:sz w:val="20"/>
          <w:szCs w:val="20"/>
          <w:color w:val="auto"/>
        </w:rPr>
      </w:pPr>
      <w:r>
        <w:rPr>
          <w:rFonts w:ascii="Arial" w:cs="Arial" w:eastAsia="Arial" w:hAnsi="Arial"/>
          <w:sz w:val="18"/>
          <w:szCs w:val="18"/>
          <w:b w:val="1"/>
          <w:bCs w:val="1"/>
          <w:color w:val="auto"/>
        </w:rPr>
        <w:t>MANAGEMENT’S DISCUSSION AND ANALYSIS THREE MONTHS ENDED JUNE 30, 2022 COMPARED TO THE THREE MONTHS ENDED JUNE 30, 2021</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Consolidated net sales for the three months ended June 30, 2022 were $151.3 million, representing a decrease of $35.3 million or 18.9%, as compared to net sales of $186.6 million for the corresponding period in 2021. In constant currency, a non-GAAP financial measure, which excludes the impact of foreign exchange fluctuations and was determined by applying 2022 average rates to 2021 local currency amounts, consolidated net sales decreased by $33.6 million, or 18.2%, as compared to consolidated net sales in the corresponding period in 2021.</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sales for the U.S. segment for the three months ended June 30, 2022 were $137.2 million, a decrease of $29.4 million, or 17.6%, as compared to net sales of $166.6 million for the corresponding period in 2021.</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Net sales for the U.S. segment’s Kitchenware product category were $84.3 million for the three months ended June 30, 2022, a decrease of $19.3 million, or 18.6%, as compared to $103.6 million for the corresponding period in 2021. The decrease was driven by lower sales for kitchen tools and gadgets, cutlery and boards, and bakeware due to inventory buildup at brick-and-mortar and e-commerce retailers.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sales for the U.S. segment’s Tableware product category were $29.9 million for the three months ended June 30, 2022, a decrease of $7.4 million, or 19.8%, as compared to $37.3 million for the corresponding period in 2021. The decrease across all product lines was due to lower sales to brick-and-mortar retailers and a warehouse club program for flatware not repeated in 2022.</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sales for the U.S. segment’s Home Solutions product category were $23.0 million for the three months ended June 30, 2022, a decrease of $2.7 million, or 10.5%, as compared to $25.7 million for the corresponding period in 2021. The decrease was due to lower sales for measurement and home décor products, partially offset by hydration product sales attributable to S'well.</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sales for the International segment were $14.1 million for the three months ended June 30, 2022, a decrease of $6.0 million, or 29.9%, as compared to net sales of $20.1 million for the corresponding period in 2021. In constant currency, which excludes the impact of foreign exchange fluctuations, net sales decreased $4.2 million, or 22.9%, as compared to consolidated net sales in the corresponding period in 2021. The decrease was driven by lower sales to brick-and-mortar retailers and e-commerce sales.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Gross margin for the three months ended June 30, 2022 was $55.2 million, or 36.5%, as compared to $66.2 million, or 35.4%, for the corresponding period in 2021.</w:t>
      </w:r>
    </w:p>
    <w:p>
      <w:pPr>
        <w:spacing w:after="0" w:line="17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Gross margin for the U.S. segment was $50.9 million, or 37.1%, for the three months ended June 30, 2022, as compared to $59.6 million, or 35.8%, for the corresponding period in 2021. The decrease in gross margin for the U.S. was driven by lower sales. The improvement in gross margin percentage was due to product mix, a tariff reduction on certain product categories and less dependency on non-vessel operating common carriers.</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Gross margin for the International segment was $4.3 million, or 30.5%, for the three months ended June 30, 2022, as compared to $6.5 million, or 32.3%, for the corresponding period in 2021. The decrease in gross margin was driven by lower sales. The decrease in the gross margin percentage was attributable to higher inbound freight cost and impact of fixed overhead costs on lower sales volume for the 2022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Distribution expenses for the three months ended June 30, 2022 were $17.4 million, as compared to $18.9 million for the corresponding period in 2021. Distribution expenses as a percentage of net sales were 11.5% for the three months ended June 30, 2022, as compared to 10.1% for the three months ended June 30, 2021.</w:t>
      </w:r>
    </w:p>
    <w:p>
      <w:pPr>
        <w:spacing w:after="0" w:line="18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Distribution expenses as a percentage of net sales for the U.S. segment were approximately 10.5% and 9.0% for the three months ended June 30, 2022 and 2021, respectively. As a percentage of sales shipped from the Company’s U.S. warehouses, excluding non-recurring expenses, distribution expenses were 11.3% and 9.4% for the three months ended June 30, 2022 and 2021, respectively. The increase in expenses as a percentage of sales was attributable to lower shipment volume and higher labor rates, partially offset by lower warehouse equipment and supply expenses.</w:t>
      </w:r>
    </w:p>
    <w:p>
      <w:pPr>
        <w:spacing w:after="0" w:line="1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Distribution expenses as a percentage of net sales for the International segment were 21.4% for the three months ended June 30, 2022, compared to 19.9% for the corresponding period in 2021. As a percentage of sales shipped from the Company’s international warehouses distribution expenses were 22.1% and 17.5% for the three months ended June 30, 2022 and 2021, respectively. The increase was attributable to lower shipment volume, labor costs and an increase in business occupancy tax expense for the U.K. warehouse. The increase was partially offset by lower shipping cost for shipments into continental Europe as a result of the new distribution center in the Netherlands.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Selling, general and administrative expenses for the three months ended June 30, 2022 were $38.3 million, an increase of $2.1 million, or 5.8%, as compared to $36.2 million for the corresponding period in 2021.</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general and administrative expenses for the U.S. segment were $29.1 million for the three months ended June 30, 2022, as compared to $26.4 million for the corresponding period in 2021. As a percentage of net sales, selling, general and administrative expenses were 21.2% and 15.8% for the three months ended June 30, 2022 and 2021, respectively. The increase was attributable to integration costs related to the S'well acquisition and an increase in advertising and consulting expenses.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expenses for the International segment were $4.3 million for the three months ended June 30, 2022, as compared to $4.2 million for the corresponding period in 2021. As a percentage of net sales, selling, general and administrative expenses were 30.5% and 20.8% for the three months ended June 30, 2022 and 2021, respectively. The expense increase was attributable to unfavorable foreign currency exchange losses, partially offset by lower amortization expense on intangible assets as a result of the prior year impairment.</w:t>
      </w:r>
    </w:p>
    <w:p>
      <w:pPr>
        <w:spacing w:after="0" w:line="17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Unallocated corporate expenses for the three months ended June 30, 2022 were $4.9 million, as compared to $5.7 million for the corresponding period in 2021. The current period decrease was driven by lower incentive compensation expense, partially offset by an increase in legal and professional fees.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Interest expense was $3.7 million and $3.8 million for the three months ended June 30, 2022 and 2021, respectively. The decrease in expense was a result of less debt outstanding on the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to market gain on interest rate derivatives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Mark to market gain on interest rate derivatives was $0.3 million for the three months ended June 30, 2022, as compared to a mark to market gain on interest rate derivatives of $0.05 million for the three months ended June 30, 2021.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As of June 30, 2022, the intent of the Company is to hold these derivative contracts until their maturity.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Income tax benefit of $0.1 million and income tax provision of $1.8 million for the three months ended June 30, 2022 and 2021, respectively, represent taxes on both U.S. and foreign earnings at a combined effective income tax benefit rate of 2.5% and an income tax provision rate of 25.3%, respectively. The effective tax rate for the three months ended June 30, 2022 differs from the federal statutory income tax rate of 21.0% primarily due to foreign losses for which no tax benefit is recognized as such amounts are fully offset with a valuation allowance. The effective tax rate for the three months ended June 30, 2021 differs from the federal statutory income tax rate of 21.0% primarily due to state and local tax expense, and foreign losses for which no tax benefit is recognized as such amounts are fully offset with a valuation allowance, net of a benefit related to share based equity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Equity in earnings of Vasconia, net of taxes, was $0.3 million for the three months ended June 30, 2022, as compared to equity in earnings of Vasconia, net of taxes, of $0.7 million for the three months ended June 30, 2021. Vasconia reported income from operations of $0.5 million for the three months ended June 30, 2022, as compared to income from operations of $6.5 million for the three months ended June 30, 2021. The decrease in income from operations was primarily attributable to decreased operating results in the current period in Vasconia's kitchenware and aluminum division.</w:t>
      </w:r>
    </w:p>
    <w:p>
      <w:pPr>
        <w:spacing w:after="0" w:line="157"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For the three months ended June 30, 2021, the Company recognized a net loss of $0.3 million related to the dilution of the Company's ownership in its Vasconia investment. The net loss was comprised of a loss of $2.0 million, related to amounts that were previously recognized in accumulated other comprehensive loss, net of a non-cash gain of $1.7 million for the difference between the selling price and the Company's basis in the diluted shares.</w:t>
      </w:r>
    </w:p>
    <w:p>
      <w:pPr>
        <w:spacing w:after="0" w:line="253" w:lineRule="exact"/>
        <w:rPr>
          <w:sz w:val="20"/>
          <w:szCs w:val="20"/>
          <w:color w:val="auto"/>
        </w:rPr>
      </w:pPr>
    </w:p>
    <w:p>
      <w:pPr>
        <w:jc w:val="center"/>
        <w:ind w:left="340" w:right="2260"/>
        <w:spacing w:after="0" w:line="275" w:lineRule="auto"/>
        <w:rPr>
          <w:sz w:val="20"/>
          <w:szCs w:val="20"/>
          <w:color w:val="auto"/>
        </w:rPr>
      </w:pPr>
      <w:r>
        <w:rPr>
          <w:rFonts w:ascii="Arial" w:cs="Arial" w:eastAsia="Arial" w:hAnsi="Arial"/>
          <w:sz w:val="18"/>
          <w:szCs w:val="18"/>
          <w:b w:val="1"/>
          <w:bCs w:val="1"/>
          <w:color w:val="auto"/>
        </w:rPr>
        <w:t>MANAGEMENT’S DISCUSSION AND ANALYSIS SIX MONTHS ENDED JUNE 30, 2022 COMPARED TO THE SIX MONTHS ENDED JUNE 30, 2021</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net sales for the six months ended June 30, 2022 were $334.0 million, a decrease of $48.3 million, or 12.6%, as compared to net sales of</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$382.3 million for the corresponding period in 2021. In constant currency, a non-GAAP financial measure, which excludes the impact of foreign exchange fluctuations and was determined by applying 2022 average rates to 2021 local currency amounts, consolidated net sales decreased by $46.3 million, or 12.2%, as compared to consolidated net sales in the corresponding period in 2021.</w:t>
      </w:r>
    </w:p>
    <w:p>
      <w:pPr>
        <w:spacing w:after="0" w:line="1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sales for the U.S. segment for the six months ended June 30, 2022 were $303.4 million, a decrease of $39.4 million, or 11.5%, as compared to net sales of $342.8 million for the corresponding period in 2021.</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sales for the U.S. segment’s Kitchenware product category were $198.5 million for the six months ended June 30, 2022, a decrease of $25.1 million, or 11.2%, as compared to $223.6 million for the corresponding period in 2021. The decrease was mainly driven by lower sales for kitchen tools and gadgets, cutlery and board, and bakeware products due to inventory buildup at brick-and-mortar and e-commerce retailers. The decrease was partially offset by an increase in sales for barware and wine products attributable to a new warehouse club program in 2022.</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sales for the U.S. segment’s Tableware product category were $56.5 million for the six months ended June 30, 2022, a decrease of $11.0 million, or 16.3%, as compared to $67.5 million for the corresponding period in 2021. The decrease came from all product lines due to lower sales to brick-and-mortar retailers and e-commerce sales.</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sales for the U.S. segment’s Home Solutions product category were $48.4 million for the six months ended June 30, 2022, a decrease of $3.2 million, or 6.2%, as compared to $51.6 million for the corresponding period in 2021. The decrease was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primarily driven by lower sales for measurement and home décor products, partially offset by hydration product sales attributable to S'well.</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sales for the International segment were $30.6 million for the six months ended June 30, 2022, a decrease of $8.9 million, or 22.5%, as compared to net sales of $39.5 million for the corresponding period in 2021. In constant currency, which excludes the impact of foreign exchange fluctuations, net sales decreased $7.0 million, or 18.6%, as compared to consolidated net sales in the corresponding period in 2021. The decrease was attributable to lower sales to brick-and-mortar retailers, e-commerce sales and a decrease in the Company’s global trading business in Asia driven by lower sales with an Australian distributor.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Gross margin for the six months ended June 30, 2022 was $118.2 million, or 35.4%, as compared to $132.2 million, or 34.6%, for the corresponding period in 2021.</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Gross margin for the U.S. segment was $108.7 million, or 35.8%, for the six months ended June 30, 2022, as compared to $119.4 million, or 34.8%, for the corresponding period in 2021. The decrease in gross margin for the U.S. was driven by lower sales. The improvement in gross margin percentage was due to product mix, a tariff reduction on certain product categories and less dependency on non-vessel operating common carriers.</w:t>
      </w:r>
    </w:p>
    <w:p>
      <w:pPr>
        <w:spacing w:after="0" w:line="16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Gross margin for the International segment was $9.5 million, or 31.0%, for the six months ended June 30, 2022, as compared to $12.7 million, or 32.2%, for the corresponding period in 2021. The decrease in gross margin was driven by lower sales. The decrease in gross margin percentage was due to the impact of fixed overhead costs on lower sales volume for the 2022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Distribution expenses for the six months ended June 30, 2022 were $36.6 million, as compared to $37.6 million for the corresponding period in 2021. Distribution expenses as a percentage of net sales were 11.0% for the six months ended June 30, 2022, as compared to 9.8% for the six months ended June 30, 2021.</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Distribution expenses as a percentage of net sales for the U.S. segment were approximately 9.6% and 8.8% for the six months ended June 30, 2022 and 2021, respectively. As a percentage of sales shipped from the Company’s U.S. warehouses, distribution expenses were 10.6% and 9.1% for the six months ended June 30, 2022 and 2021, respectively. The increase in the expenses as a percentage of sales was a result of lower shipment volume and higher labor rates, partially offset by lower warehouse equipment and supply expenses.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Distribution expenses as a percentage of net sales for the International segment were 24.0% for the six months ended June 30, 2022, compared to 18.6% for the corresponding period in 2021. Distribution expenses during the six months ended June 30, 2022 include $0.4 million for the Company’s relocation costs for its new warehouse distribution facility in the Netherlands. As a percentage of sales shipped from the Company’s international warehouse, excluding non-recurring expenses, distribution expenses were 21.9% and 15.9% for the six months ended June 30, 2022 and 2021, respectively. The increase was primarily attributed to increased shipping cost for products shipped from the U.K. warehouse to continental Europe and an increase in business occupancy tax expense for the U.K. warehouse.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Selling, general and administrative expenses for the six months ended June 30, 2022 were $77.7 million, an increase of $3.4 million, or 4.6%, as compared to $74.3 million for the corresponding period in 2021.</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Selling, general and administrative expenses for the U.S. segment were $57.6 million for the six months ended June 30, 2022, as compared to $53.8 million for the corresponding period in 2021. As a percentage of net sales, selling, general and administrative expenses were 19.0% and 15.7% for the six months ended June 30, 2022 and 2021, respectively. The increase was attributable to integration costs related to the S'well acquisition and an increase in advertising and consulting expenses.</w:t>
      </w:r>
    </w:p>
    <w:p>
      <w:pPr>
        <w:spacing w:after="0" w:line="18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Selling, general and administrative expenses for the International segment were $9.3 million for the six months ended June 30, 2022, as compared to $9.2 million for the corresponding period in 2021. The increase was primarily attributable to unfavorable foreign currency exchange losses and an increase in advertising expenses, partially offset by lower amortization expense on intangible assets as a result of the prior year impairment.</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Unallocated corporate expenses for the six months ended June 30, 2022 were $10.8 million, as compared to $11.4 million for the corresponding period in 2021. The decrease was driven by lower incentive compensation expense, partially offset by legal and professional fees related to the S'well acquisition.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expense was $7.5 million and $7.8 million for the six months ended June 30, 2022 and 2021, respectively. The decrease in expense was a result of lower debt outstanding on the Term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to market gain on interest rate derivatives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Mark to market gain on interest rate derivatives was $1.4 million for the six months ended June 30, 2022, as compared to a mark to market gain on interest rate derivatives of $0.5 million for the six months ended June 30, 2021. The increase was attributable to the change in the fair value based on the increase in interest rates.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As of June 30, 2022, the intent of the Company is to hold these derivative contracts until their maturity.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Income tax provision of $1.6 million and $4.2 million for the six months ended June 30, 2022 and 2021, respectively, represent taxes on both US and foreign earnings at combined effective income tax provision rates of (69.8)% and 32.8%, respectively. The negative tax rate for the six months ended June 30, 2022 reflects tax expense on a pretax financial reporting loss. The effective tax rate for the six months ended June 30, 2022 differs from the federal statutory income tax rate of 21% primarily due to foreign losses for which no tax benefit is recognized as such amounts are fully offset with a valuation allowance. The effective tax rate for the six months ended June 30, 2021 differs from the federal statutory income tax rate of 21% primarily due to state and local tax expense, and foreign losses for which no tax benefit is recognized as such amounts are fully offset with a valuation allowance, net of a benefit related to share based equity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Equity in earnings of Vasconia, net of taxes, was $0.8 million for the six months ended June 30, 2022, as compared to equity in earnings of Vasconia, net of taxes, of $0.5 million for the six months ended June 30, 2021. Vasconia reported income from operations of $5.2 million for the six months ended June 30, 2022, as compared to income from operations of $10.3 million for the six months ended June 30, 2021. The decrease in income from operations was primarily attributable to decreased operating results in the current period in both Vasconia's kitchenware and aluminum divisions.</w:t>
      </w:r>
    </w:p>
    <w:p>
      <w:pPr>
        <w:spacing w:after="0" w:line="157"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For the six months ended June 30, 2021, the Company recognized a net loss of $0.3 million, relating to the dilution of the Company’s ownership in its Vasconia investment. The net loss was comprised of a loss of $2.0 million, related to the amounts that were previously recognized in accumulated other comprehensive loss, net of a non-cash gain of $1.7 million for the difference between the selling price and the Company's basis in the diluted shares.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Historically, the Company’s principal sources of cash to fund liquidity needs were: (i) cash provided by operating activities and (ii) borrowings available under its revolving credit facility under the ABL Agreement, as defined below. The Company’s primary uses of funds consist of working capital requirements, capital expenditures, acquisitions and investments, and payments of principal and interest on its debt.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At June 30, 2022, the Company had cash and cash equivalents of $7.2 million, compared to $28.0 million at December 31, 2021. Working capital was</w:t>
      </w:r>
    </w:p>
    <w:p>
      <w:pPr>
        <w:spacing w:after="0" w:line="46"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$247.0 million at June 30, 2022, compared to $270.8 million at December 31, 2021. Liquidity, which includes cash and cash equivalents and availability under the ABL Agreement, was approximately $134.1 million at June 30, 2022.</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June 30, 2022, inventory turnover was 1.4 times, or 270 days, as compared to 2.3 times, or 162 days, for the three months ended June 30, 2021. The Company increased its inventory levels to address supply chain disruptions and to support anticipated customer demand. However, inventory turns have slowed in the current quarter due to macroeconomic challenges that companies across industries and retailers in particular faced. Inflation has led to weaker end market demand and supply chain disruptions have lead inventory buildup.</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believes that availability under the revolving credit facility under its ABL Agreement, including anticipated refinancing on it prior to its maturity, cash on hand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 or available on terms favorable to the Company.</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adversely affected by changes in customers' creditworthiness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2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Company’s credit agreement, dated as of March 2, 2018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that provides for a senior secured term loan credit facility in the original principal amount of $275.0 million, which matures on February 28, 2025. The Term Loan requires the Company to make an annual prepayment of principal based upon a percentage of the Company's excess cash flow, (“Excess Cash Flow”), if any. The percentage applied to the Company’s excess cash flow is based on the Company’s Total Net Leverage Ratio (as defined in the Debt Agreements). When an Excess Cash Flow payment is required, lenders have the option to decline a portion or all of the prepayment amount. This estimated amount is recorded in current maturity of term loan on the unaudited condensed consolidated balance sheets. Additionally, the Term Loan facility requires quarterly payments, which commenced on June 30, 2018, of principal equal to 0.25% of the original aggregate principal amount of the Term Loan facility. Per the Debt Agreements, when the Company makes an Excess Cash Flow payment, the payment is first applied to satisfy the future quarterly required payments in order of maturity. The quarterly principal payments have been satisfied through maturity of the Term Loan by the annual Excess Cash Flow payments.</w:t>
      </w:r>
    </w:p>
    <w:p>
      <w:pPr>
        <w:spacing w:after="0" w:line="17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maximum borrowing amount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and December 31, 2021, the total availability under the ABL Agreement was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2022</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2021</w:t>
            </w:r>
          </w:p>
        </w:tc>
      </w:tr>
      <w:tr>
        <w:trPr>
          <w:trHeight w:val="212"/>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aggregate principal allowed</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Outstanding borrowings under the ABL Agreement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(20,347)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Standby letters of credit</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(3,659)</w:t>
            </w:r>
          </w:p>
        </w:tc>
      </w:tr>
      <w:tr>
        <w:trPr>
          <w:trHeight w:val="207"/>
        </w:trPr>
        <w:tc>
          <w:tcPr>
            <w:tcW w:w="7360" w:type="dxa"/>
            <w:vAlign w:val="bottom"/>
          </w:tcPr>
          <w:p>
            <w:pPr>
              <w:ind w:left="20"/>
              <w:spacing w:after="0"/>
              <w:rPr>
                <w:sz w:val="20"/>
                <w:szCs w:val="20"/>
                <w:color w:val="auto"/>
              </w:rPr>
            </w:pPr>
            <w:r>
              <w:rPr>
                <w:rFonts w:ascii="Arial" w:cs="Arial" w:eastAsia="Arial" w:hAnsi="Arial"/>
                <w:sz w:val="16"/>
                <w:szCs w:val="16"/>
                <w:color w:val="auto"/>
              </w:rPr>
              <w:t>Total availability under the ABL Agreement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126,888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146,341</w:t>
            </w:r>
          </w:p>
        </w:tc>
      </w:tr>
      <w:tr>
        <w:trPr>
          <w:trHeight w:val="23"/>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Availability under the ABL Agreement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this means that the Company may have greater borrowing availability during the third and fourth quarters of each year. Consequently, the $150.0 million commitment thereunder may not represent actual borrowing capacity.</w:t>
      </w:r>
    </w:p>
    <w:p>
      <w:pPr>
        <w:spacing w:after="0" w:line="187" w:lineRule="exact"/>
        <w:rPr>
          <w:sz w:val="20"/>
          <w:szCs w:val="20"/>
          <w:color w:val="auto"/>
        </w:rPr>
      </w:pPr>
    </w:p>
    <w:p>
      <w:pPr>
        <w:ind w:right="480"/>
        <w:spacing w:after="0" w:line="274" w:lineRule="auto"/>
        <w:rPr>
          <w:sz w:val="20"/>
          <w:szCs w:val="20"/>
          <w:color w:val="auto"/>
        </w:rPr>
      </w:pPr>
      <w:r>
        <w:rPr>
          <w:rFonts w:ascii="Arial" w:cs="Arial" w:eastAsia="Arial" w:hAnsi="Arial"/>
          <w:sz w:val="18"/>
          <w:szCs w:val="18"/>
          <w:color w:val="auto"/>
        </w:rPr>
        <w:t>The current and non-current portions of the Company’s Term Loan facility included in the condensed consolidated balance sheets were as follows (in thousands):</w:t>
      </w: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2022</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2021</w:t>
            </w:r>
          </w:p>
        </w:tc>
      </w:tr>
      <w:tr>
        <w:trPr>
          <w:trHeight w:val="199"/>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Term Loan facility:</w:t>
            </w:r>
          </w:p>
        </w:tc>
        <w:tc>
          <w:tcPr>
            <w:tcW w:w="28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40"/>
        </w:trPr>
        <w:tc>
          <w:tcPr>
            <w:tcW w:w="7360" w:type="dxa"/>
            <w:vAlign w:val="bottom"/>
          </w:tcPr>
          <w:p>
            <w:pPr>
              <w:ind w:left="140"/>
              <w:spacing w:after="0"/>
              <w:rPr>
                <w:sz w:val="20"/>
                <w:szCs w:val="20"/>
                <w:color w:val="auto"/>
              </w:rPr>
            </w:pPr>
            <w:r>
              <w:rPr>
                <w:rFonts w:ascii="Arial" w:cs="Arial" w:eastAsia="Arial" w:hAnsi="Arial"/>
                <w:sz w:val="16"/>
                <w:szCs w:val="16"/>
                <w:color w:val="auto"/>
              </w:rPr>
              <w:t>Estimated Excess Cash Flow principal payment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7,200</w:t>
            </w:r>
          </w:p>
        </w:tc>
      </w:tr>
      <w:tr>
        <w:trPr>
          <w:trHeight w:val="243"/>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2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r>
      <w:tr>
        <w:trPr>
          <w:trHeight w:val="240"/>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Total Current portion of Term Loan facility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5,771</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7"/>
        </w:trPr>
        <w:tc>
          <w:tcPr>
            <w:tcW w:w="7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Non-current portion of Term Loan facility:</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Term Loan facility, net of current portion</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244,927</w:t>
            </w:r>
          </w:p>
        </w:tc>
      </w:tr>
      <w:tr>
        <w:trPr>
          <w:trHeight w:val="213"/>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(3,054)</w:t>
            </w:r>
          </w:p>
        </w:tc>
      </w:tr>
      <w:tr>
        <w:trPr>
          <w:trHeight w:val="234"/>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Non-current portion of Term Loan facility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237,564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241,873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estimated Excess Cash Flow principal payment recorded at June 30, 2022 represents the Company’s estimate for the 2023 Excess Cash Flow payment. The 2022 Excess Cash Flow payment, paid on March 30, 2022, totaled $6.2 million. The Excess Cash Flow payment differs from the estimated amount at December 31, 2021 of $7.2 million as certain lenders opted to not require payment per the terms of the Debt Agreements.</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17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Borrowings under the ABL Agreement bear interest, at the Company’s option, at one of the following rates: (i) alternate base rate, defined, for any day, as the greater of the prime rate, a federal funds and overnight bank funding based rate plus 0.5% or one-month LIBOR plus 1.0%, plus a margin of 0.25% to 0.75%, or (ii) LIBOR (or Euro Interbank Offered Rate "EURIBOR" for borrowings denominated in Euro; or Sterling Overnight Index Average “SONIA” for borrowings denominated in Pounds Sterling) plus a margin of 1.25% to 1.75%. The respective margins are based upon the Company’s total leverage ratio, as defined in and computed pursuant to the ABL Agreement. The interest rate on outstanding borrowings under the ABL Agreement at June 30, 2022 was between 2.44% and 5.00%. In addition, the Company pays a commitment fee of 0.375% on the unused portion of the ABL Agreement.</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The Term Loan facility bears interest, at the Company’s option, at one of the following rates: (i) alternate base rate, defined, for any day, as the greater of</w:t>
      </w:r>
    </w:p>
    <w:p>
      <w:pPr>
        <w:spacing w:after="0" w:line="46" w:lineRule="exact"/>
        <w:rPr>
          <w:sz w:val="20"/>
          <w:szCs w:val="20"/>
          <w:color w:val="auto"/>
        </w:rPr>
      </w:pPr>
    </w:p>
    <w:p>
      <w:pPr>
        <w:ind w:right="120" w:firstLine="8"/>
        <w:spacing w:after="0" w:line="255"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prime rate, (y) a federal funds and overnight bank funding based rate plus 0.5% or (z) one-month LIBOR, but not less than 1.0%, plus 1.0%, which alternate base rate shall not be less than 2.0%, plus a margin of 2.5% or (ii) LIBOR, but not less than 1.0%, plus a margin of 3.5%. The interest rate on outstanding borrowings under the Term Loan at June 30, 2022 was 4.6%.</w:t>
      </w:r>
    </w:p>
    <w:p>
      <w:pPr>
        <w:spacing w:after="0" w:line="19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45 consecutive days, the Company is required to maintain a minimum fixed charge coverage ratio of 1.10 to 1.00 as of the last day of any period of four consecutive fiscal quarters.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covenants of the Debt Agreements at June 30, 2022.</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expects that it will continue to borrow, subject to availability, and repay funds under the ABL Agreement based on working capital and other corporate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Calculations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adjusted EBITDA (including pro forma adjustments), for the last twelve months ended June 30, 2022 was $83.4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six months ended June 30, 2022 were $1.5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financial measure</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Adjusted EBITDA is a non-GAAP financial measure within the meaning of Regulation G and Item 10(e) of Regulation S-K, each promulgated by the SEC. This measure is provided because management of the Company uses this financial measure in evaluating the Company’s on-going financial results and trends, and management believes that exclusion of certain items allows for more accurate period-to-period comparison of the Company’s operating performance by investors and analysts. Management also uses this non-GAAP information as an indicator of business performance. Adjusted EBITDA, as discussed above, is also one of the measures used to calculate financial covenants required to be provided to the Company’s lenders pursuant to its Debt Agreements.</w:t>
      </w:r>
    </w:p>
    <w:p>
      <w:pPr>
        <w:spacing w:after="0" w:line="19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Investors should consider this non-GAAP financial measure in addition to, and not as a substitute for, the Company’s financial performance measures prepared in accordance with U.S. GAAP. Further, the Company’s non-GAAP information may be different from the non-GAAP information provided by other companies including other companies within the home retail industry.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net income (loss), as reported, to adjusted EBITDA, for each of the last four quarters and the 12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2022:</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rPr>
              <w:t>Quarter Ended</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6"/>
                <w:szCs w:val="16"/>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6"/>
                <w:szCs w:val="16"/>
                <w:color w:val="auto"/>
              </w:rPr>
            </w:pPr>
          </w:p>
        </w:tc>
        <w:tc>
          <w:tcPr>
            <w:tcW w:w="124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Twelve Months</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14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6"/>
              </w:rPr>
              <w:t>September 30, 2021</w:t>
            </w: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0"/>
              </w:rPr>
              <w:t>Ended June 30,</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as reported</w:t>
            </w: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8,865</w:t>
            </w:r>
          </w:p>
        </w:tc>
        <w:tc>
          <w:tcPr>
            <w:tcW w:w="0" w:type="dxa"/>
            <w:vAlign w:val="bottom"/>
          </w:tcPr>
          <w:p>
            <w:pPr>
              <w:spacing w:after="0"/>
              <w:rPr>
                <w:sz w:val="1"/>
                <w:szCs w:val="1"/>
                <w:color w:val="auto"/>
              </w:rPr>
            </w:pPr>
          </w:p>
        </w:tc>
      </w:tr>
      <w:tr>
        <w:trPr>
          <w:trHeight w:val="213"/>
        </w:trPr>
        <w:tc>
          <w:tcPr>
            <w:tcW w:w="4160" w:type="dxa"/>
            <w:vAlign w:val="bottom"/>
          </w:tcPr>
          <w:p>
            <w:pPr>
              <w:ind w:left="360"/>
              <w:spacing w:after="0"/>
              <w:rPr>
                <w:sz w:val="20"/>
                <w:szCs w:val="20"/>
                <w:color w:val="auto"/>
              </w:rPr>
            </w:pPr>
            <w:r>
              <w:rPr>
                <w:rFonts w:ascii="Arial" w:cs="Arial" w:eastAsia="Arial" w:hAnsi="Arial"/>
                <w:sz w:val="16"/>
                <w:szCs w:val="16"/>
                <w:color w:val="auto"/>
              </w:rPr>
              <w:t>Undistributed equity (earnings), net</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(1,411)</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provision (benefit)</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13,868</w:t>
            </w:r>
          </w:p>
        </w:tc>
        <w:tc>
          <w:tcPr>
            <w:tcW w:w="0" w:type="dxa"/>
            <w:vAlign w:val="bottom"/>
          </w:tcPr>
          <w:p>
            <w:pPr>
              <w:spacing w:after="0"/>
              <w:rPr>
                <w:sz w:val="1"/>
                <w:szCs w:val="1"/>
                <w:color w:val="auto"/>
              </w:rPr>
            </w:pPr>
          </w:p>
        </w:tc>
      </w:tr>
      <w:tr>
        <w:trPr>
          <w:trHeight w:val="213"/>
        </w:trPr>
        <w:tc>
          <w:tcPr>
            <w:tcW w:w="416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15,190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Mark to market (gain) on interest rate derivatives</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w:t>
            </w:r>
          </w:p>
        </w:tc>
        <w:tc>
          <w:tcPr>
            <w:tcW w:w="0" w:type="dxa"/>
            <w:vAlign w:val="bottom"/>
          </w:tcPr>
          <w:p>
            <w:pPr>
              <w:spacing w:after="0"/>
              <w:rPr>
                <w:sz w:val="1"/>
                <w:szCs w:val="1"/>
                <w:color w:val="auto"/>
              </w:rPr>
            </w:pPr>
          </w:p>
        </w:tc>
      </w:tr>
      <w:tr>
        <w:trPr>
          <w:trHeight w:val="213"/>
        </w:trPr>
        <w:tc>
          <w:tcPr>
            <w:tcW w:w="416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20,734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Intangible asset impairments</w:t>
            </w: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14,760</w:t>
            </w:r>
          </w:p>
        </w:tc>
        <w:tc>
          <w:tcPr>
            <w:tcW w:w="0" w:type="dxa"/>
            <w:vAlign w:val="bottom"/>
          </w:tcPr>
          <w:p>
            <w:pPr>
              <w:spacing w:after="0"/>
              <w:rPr>
                <w:sz w:val="1"/>
                <w:szCs w:val="1"/>
                <w:color w:val="auto"/>
              </w:rPr>
            </w:pPr>
          </w:p>
        </w:tc>
      </w:tr>
      <w:tr>
        <w:trPr>
          <w:trHeight w:val="213"/>
        </w:trPr>
        <w:tc>
          <w:tcPr>
            <w:tcW w:w="4160" w:type="dxa"/>
            <w:vAlign w:val="bottom"/>
          </w:tcPr>
          <w:p>
            <w:pPr>
              <w:ind w:left="360"/>
              <w:spacing w:after="0"/>
              <w:rPr>
                <w:sz w:val="20"/>
                <w:szCs w:val="20"/>
                <w:color w:val="auto"/>
              </w:rPr>
            </w:pPr>
            <w:r>
              <w:rPr>
                <w:rFonts w:ascii="Arial" w:cs="Arial" w:eastAsia="Arial" w:hAnsi="Arial"/>
                <w:sz w:val="16"/>
                <w:szCs w:val="16"/>
                <w:color w:val="auto"/>
              </w:rPr>
              <w:t>Stock compensation expense</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4,984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related expenses</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w:t>
            </w: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line="216" w:lineRule="exact"/>
              <w:rPr>
                <w:sz w:val="20"/>
                <w:szCs w:val="20"/>
                <w:color w:val="auto"/>
              </w:rPr>
            </w:pPr>
            <w:r>
              <w:rPr>
                <w:rFonts w:ascii="Arial" w:cs="Arial" w:eastAsia="Arial" w:hAnsi="Arial"/>
                <w:sz w:val="16"/>
                <w:szCs w:val="16"/>
                <w:color w:val="auto"/>
              </w:rPr>
              <w:t>Warehouse relocation and redesign expenses</w:t>
            </w:r>
            <w:r>
              <w:rPr>
                <w:rFonts w:ascii="Arial" w:cs="Arial" w:eastAsia="Arial" w:hAnsi="Arial"/>
                <w:sz w:val="21"/>
                <w:szCs w:val="21"/>
                <w:color w:val="auto"/>
                <w:vertAlign w:val="superscript"/>
              </w:rPr>
              <w:t>(1)</w:t>
            </w:r>
          </w:p>
        </w:tc>
        <w:tc>
          <w:tcPr>
            <w:tcW w:w="4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1,020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S'well integration costs</w:t>
            </w:r>
            <w:r>
              <w:rPr>
                <w:rFonts w:ascii="Arial" w:cs="Arial" w:eastAsia="Arial" w:hAnsi="Arial"/>
                <w:sz w:val="21"/>
                <w:szCs w:val="21"/>
                <w:color w:val="auto"/>
                <w:vertAlign w:val="superscript"/>
              </w:rPr>
              <w:t>(2)</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w:t>
            </w:r>
          </w:p>
        </w:tc>
        <w:tc>
          <w:tcPr>
            <w:tcW w:w="0" w:type="dxa"/>
            <w:vAlign w:val="bottom"/>
          </w:tcPr>
          <w:p>
            <w:pPr>
              <w:spacing w:after="0"/>
              <w:rPr>
                <w:sz w:val="1"/>
                <w:szCs w:val="1"/>
                <w:color w:val="auto"/>
              </w:rPr>
            </w:pPr>
          </w:p>
        </w:tc>
      </w:tr>
      <w:tr>
        <w:trPr>
          <w:trHeight w:val="213"/>
        </w:trPr>
        <w:tc>
          <w:tcPr>
            <w:tcW w:w="4160" w:type="dxa"/>
            <w:vAlign w:val="bottom"/>
          </w:tcPr>
          <w:p>
            <w:pPr>
              <w:ind w:left="360"/>
              <w:spacing w:after="0"/>
              <w:rPr>
                <w:sz w:val="20"/>
                <w:szCs w:val="20"/>
                <w:color w:val="auto"/>
              </w:rPr>
            </w:pPr>
            <w:r>
              <w:rPr>
                <w:rFonts w:ascii="Arial" w:cs="Arial" w:eastAsia="Arial" w:hAnsi="Arial"/>
                <w:sz w:val="16"/>
                <w:szCs w:val="16"/>
                <w:color w:val="auto"/>
              </w:rPr>
              <w:t>Wallace facility remedial design expense</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3"/>
        </w:trPr>
        <w:tc>
          <w:tcPr>
            <w:tcW w:w="416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(3)</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30,862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79,897</w:t>
            </w:r>
          </w:p>
        </w:tc>
        <w:tc>
          <w:tcPr>
            <w:tcW w:w="0" w:type="dxa"/>
            <w:vAlign w:val="bottom"/>
          </w:tcPr>
          <w:p>
            <w:pPr>
              <w:spacing w:after="0"/>
              <w:rPr>
                <w:sz w:val="1"/>
                <w:szCs w:val="1"/>
                <w:color w:val="auto"/>
              </w:rPr>
            </w:pPr>
          </w:p>
        </w:tc>
      </w:tr>
      <w:tr>
        <w:trPr>
          <w:trHeight w:val="146"/>
        </w:trPr>
        <w:tc>
          <w:tcPr>
            <w:tcW w:w="4160" w:type="dxa"/>
            <w:vAlign w:val="bottom"/>
          </w:tcPr>
          <w:p>
            <w:pPr>
              <w:ind w:left="500"/>
              <w:spacing w:after="0" w:line="146" w:lineRule="exact"/>
              <w:rPr>
                <w:sz w:val="20"/>
                <w:szCs w:val="20"/>
                <w:color w:val="auto"/>
              </w:rPr>
            </w:pPr>
            <w:r>
              <w:rPr>
                <w:rFonts w:ascii="Arial" w:cs="Arial" w:eastAsia="Arial" w:hAnsi="Arial"/>
                <w:sz w:val="16"/>
                <w:szCs w:val="16"/>
                <w:color w:val="auto"/>
              </w:rPr>
              <w:t>Pro forma historical S'well and projected synergies</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2"/>
        </w:trPr>
        <w:tc>
          <w:tcPr>
            <w:tcW w:w="4160" w:type="dxa"/>
            <w:vAlign w:val="bottom"/>
            <w:tcBorders>
              <w:bottom w:val="single" w:sz="8" w:color="CCEEFF"/>
            </w:tcBorders>
          </w:tcPr>
          <w:p>
            <w:pPr>
              <w:ind w:left="140"/>
              <w:spacing w:after="0" w:line="213" w:lineRule="exact"/>
              <w:rPr>
                <w:sz w:val="20"/>
                <w:szCs w:val="20"/>
                <w:color w:val="auto"/>
              </w:rPr>
            </w:pPr>
            <w:r>
              <w:rPr>
                <w:rFonts w:ascii="Arial" w:cs="Arial" w:eastAsia="Arial" w:hAnsi="Arial"/>
                <w:sz w:val="16"/>
                <w:szCs w:val="16"/>
                <w:color w:val="auto"/>
              </w:rPr>
              <w:t>adjustment</w:t>
            </w:r>
            <w:r>
              <w:rPr>
                <w:rFonts w:ascii="Arial" w:cs="Arial" w:eastAsia="Arial" w:hAnsi="Arial"/>
                <w:sz w:val="21"/>
                <w:szCs w:val="21"/>
                <w:color w:val="auto"/>
                <w:vertAlign w:val="superscript"/>
              </w:rPr>
              <w:t>(4)</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Pro forma Adjusted EBITDA</w:t>
            </w:r>
            <w:r>
              <w:rPr>
                <w:rFonts w:ascii="Arial" w:cs="Arial" w:eastAsia="Arial" w:hAnsi="Arial"/>
                <w:sz w:val="21"/>
                <w:szCs w:val="21"/>
                <w:color w:val="auto"/>
                <w:vertAlign w:val="superscript"/>
              </w:rPr>
              <w:t>(3)</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29,259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30,862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83,397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80" w:firstLine="8"/>
        <w:spacing w:after="0" w:line="252" w:lineRule="auto"/>
        <w:tabs>
          <w:tab w:leader="none" w:pos="163" w:val="left"/>
        </w:tabs>
        <w:numPr>
          <w:ilvl w:val="0"/>
          <w:numId w:val="13"/>
        </w:numPr>
        <w:rPr>
          <w:rFonts w:ascii="Arial" w:cs="Arial" w:eastAsia="Arial" w:hAnsi="Arial"/>
          <w:sz w:val="18"/>
          <w:szCs w:val="18"/>
          <w:color w:val="auto"/>
          <w:vertAlign w:val="superscript"/>
        </w:rPr>
      </w:pPr>
      <w:r>
        <w:rPr>
          <w:rFonts w:ascii="Arial" w:cs="Arial" w:eastAsia="Arial" w:hAnsi="Arial"/>
          <w:sz w:val="12"/>
          <w:szCs w:val="12"/>
          <w:color w:val="auto"/>
        </w:rPr>
        <w:t>For the twelve months ended June 30, 2022, the warehouse relocation and redesign expenses included $0.5 million of expenses related to the International segment and $0.5 million of expenses related to the U.S. segment. For the three months ended June 30, 2022, warehouse relocation and redesign expenses included $0.1 million of expenses related to the U.S. segment.</w:t>
      </w:r>
    </w:p>
    <w:p>
      <w:pPr>
        <w:spacing w:after="0" w:line="4"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2"/>
          <w:szCs w:val="12"/>
          <w:color w:val="auto"/>
        </w:rPr>
        <w:t>For the three months ended June 30, 2022, S'well integration costs included $0.2 million of expenses related to inventory step up adjustment in connection with S'well acquisition.</w:t>
      </w:r>
    </w:p>
    <w:p>
      <w:pPr>
        <w:spacing w:after="0" w:line="45" w:lineRule="exact"/>
        <w:rPr>
          <w:rFonts w:ascii="Arial" w:cs="Arial" w:eastAsia="Arial" w:hAnsi="Arial"/>
          <w:sz w:val="18"/>
          <w:szCs w:val="18"/>
          <w:color w:val="auto"/>
          <w:vertAlign w:val="superscript"/>
        </w:rPr>
      </w:pPr>
    </w:p>
    <w:p>
      <w:pPr>
        <w:ind w:right="220" w:firstLine="8"/>
        <w:spacing w:after="0" w:line="274" w:lineRule="auto"/>
        <w:tabs>
          <w:tab w:leader="none" w:pos="146" w:val="left"/>
        </w:tabs>
        <w:numPr>
          <w:ilvl w:val="0"/>
          <w:numId w:val="13"/>
        </w:numPr>
        <w:rPr>
          <w:rFonts w:ascii="Arial" w:cs="Arial" w:eastAsia="Arial" w:hAnsi="Arial"/>
          <w:sz w:val="16"/>
          <w:szCs w:val="16"/>
          <w:color w:val="auto"/>
          <w:vertAlign w:val="superscript"/>
        </w:rPr>
      </w:pPr>
      <w:r>
        <w:rPr>
          <w:rFonts w:ascii="Arial" w:cs="Arial" w:eastAsia="Arial" w:hAnsi="Arial"/>
          <w:sz w:val="11"/>
          <w:szCs w:val="11"/>
          <w:color w:val="auto"/>
        </w:rPr>
        <w:t>Adjusted EBITDA is a non-GAAP financial measure that is defined in the Company’s debt agreements. Adjusted EBITDA is defined as net income (loss), adjusted to exclude undistributed equity in (earnings), income tax provision (benefit), interest expense, mark to market (gain) on interest rate derivatives, depreciation and amortization, intangible asset impairments, stock compensation expense, and other items detailed in the table above that are consistent with exclusions permitted by our debt agreements.</w:t>
      </w:r>
    </w:p>
    <w:p>
      <w:pPr>
        <w:spacing w:after="0" w:line="29" w:lineRule="exact"/>
        <w:rPr>
          <w:rFonts w:ascii="Arial" w:cs="Arial" w:eastAsia="Arial" w:hAnsi="Arial"/>
          <w:sz w:val="16"/>
          <w:szCs w:val="16"/>
          <w:color w:val="auto"/>
          <w:vertAlign w:val="superscript"/>
        </w:rPr>
      </w:pPr>
    </w:p>
    <w:p>
      <w:pPr>
        <w:ind w:firstLine="8"/>
        <w:spacing w:after="0" w:line="265" w:lineRule="auto"/>
        <w:tabs>
          <w:tab w:leader="none" w:pos="152" w:val="left"/>
        </w:tabs>
        <w:numPr>
          <w:ilvl w:val="0"/>
          <w:numId w:val="13"/>
        </w:numPr>
        <w:rPr>
          <w:rFonts w:ascii="Arial" w:cs="Arial" w:eastAsia="Arial" w:hAnsi="Arial"/>
          <w:sz w:val="17"/>
          <w:szCs w:val="17"/>
          <w:color w:val="auto"/>
          <w:vertAlign w:val="superscript"/>
        </w:rPr>
      </w:pPr>
      <w:r>
        <w:rPr>
          <w:rFonts w:ascii="Arial" w:cs="Arial" w:eastAsia="Arial" w:hAnsi="Arial"/>
          <w:sz w:val="12"/>
          <w:szCs w:val="12"/>
          <w:color w:val="auto"/>
        </w:rPr>
        <w:t>Pro forma historical S'well and projected synergies adjustment represents a permitted adjustment to the Company’s adjusted EBITDA for the acquisition of S'well on March 2, 2022 pursuant to the Company’s Debt Agreements. Pro forma projected synergies represents the amount of projected cost savings, operating expense reductions and cost saving synergies projected by the Company as a result of actions taken through June 30, 2022 or expected to be taken as of June 30, 2022, net of the benefits realized during the twelve months ended June 30,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Purchase Agreement</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$30.0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w:t>
      </w:r>
    </w:p>
    <w:p>
      <w:pPr>
        <w:spacing w:after="0" w:line="17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Pursuant to the Receivable Purchase Agreement, the Company sold to HSBC $33.5 million and $79.8 million of receivables during the three and six months ended June 30, 2022, respectively and $38.9 million and $79.5 million of receivables during three and six months ended June 30, 2021, respectively. Charges of $0.2 million and $0.1 million related to the sale of the receivables are included in selling, general and administrative expenses in the unaudited condensed consolidated statements of operations for the three months ended June 30, 2022 and 2021, respectively. Charges of $0.3 million and $0.2 million related to the sale of the receivables are included in selling, general and administrative expenses in the unaudited condensed consolidated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statements of operations for the six months ended June 30, 2022 and 2021, respectively. At June 30, 2022 and 2021, $25.6 million and $14.6 million, respectively, of receivables sold were outstanding and due to HSBC from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outstanding notional value of interest rate swaps was $50.0 million at June 30, 2022.</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Company designated a portion of these interest rate swaps as cash flow hedges of the Company’s exposure to the variability of the payment of interest on a portion of its Term Loan borrowings. The hedge periods of these agreements commenced in April 2018 and expire in March 2023. The original notional values are reduced over these periods. The aggregate notional value of designated interest rate swaps was $25.0 million at June 30, 2022.</w:t>
      </w:r>
    </w:p>
    <w:p>
      <w:pPr>
        <w:spacing w:after="0" w:line="1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June 2019, the Company entered into additional interest rate swap agreements, with an aggregate notional value of $25.0 million at June 30, 2022. These non-designated interest rate swaps serve as cash flow hedges of the Company’s exposure to the variability of the payment of interest on a portion of its Term Loan borrowings and expire in February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is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w:t>
      </w:r>
    </w:p>
    <w:p>
      <w:pPr>
        <w:spacing w:after="0" w:line="8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aggregate gross notional values of foreign exchange contracts at June 30, 2022 was $13.5 million. These foreign exchange contracts have been designated as hedges in order to apply hedge accounting.</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June 30, 2022, the Company did not have any foreign currency forward contract derivatives that are not designated as hedges. These foreign exchange contracts have been designated as hedges in to order to apply hedge accounting.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in operating activities was $8.9 million for the six months ended June 30, 2022, as compared to net cash provided by operating activities of $42.1 million for the six months ended June 30, 2021. The decrease from 2022 compared to 2021 was attributable to a net loss generated in 2022 compared to net income in 2021, timing of payments for accounts payable and accrued expenses, partially offset by timing of collections related to the Company's accounts receivables.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cash used in investing activities was $19.4 million and $2.7 million for the six months ended June 30, 2022 and 2021, respectively. The increase from 2022 compared to 2021 was attributable to the cash consideration of $18.0 million paid for the acquisition of S'well.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cash provided by financing activities was $7.7 million and for the six months ended June 30, 2022, as compared to net cash used in financing activities of $42.2 million for the six months ended June 30, 2021. The change was mainly attributable to</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proceeds from the Company's revolving credit facility under its ABL Agreement in the 2022 period and the lower Excess Cash Flow principal payment on the term loan for the 2022 period compared to the 2021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March 14, 2022, the Company announced that its Board of Directors of the Company authorized the repurchase of up to $20.0 million of the Company’s common stock, replacing the Company’s previously-authorized $10 million share repurchase program. The repurchase authorization permits the Company to effect the repurchases from time to time through open market purchases and privately negotiated transactions. During the three and six months ended June 30, 2022, the Company repurchased 285,646 and 336,791 shares, respectively, for a total cost of $3.5 million and $4.2 million respectively, and thereafter retired the shares. Please see Part II, Item 2—Unregistered Sales of Equity Securities and Use of Proceeds included in this Quarterly Report on Form 10-Q.</w:t>
      </w: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material changes in market risk for changes in foreign currency exchange rates and interest rates from the information provided in Item 7A – Quantitative and Qualitative Disclosures About Market Risk in the 2021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21" w:lineRule="exact"/>
        <w:rPr>
          <w:rFonts w:ascii="Arial" w:cs="Arial" w:eastAsia="Arial" w:hAnsi="Arial"/>
          <w:sz w:val="18"/>
          <w:szCs w:val="18"/>
          <w:b w:val="1"/>
          <w:bCs w:val="1"/>
          <w:color w:val="auto"/>
        </w:rPr>
      </w:pPr>
    </w:p>
    <w:p>
      <w:pPr>
        <w:ind w:left="50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Chief Executive Officer and the Chief Financial Officer of the Company (its principal executive officer and principal financial officer, respectively) have concluded, based on their evaluation as of June 30, 2022,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65" w:lineRule="exact"/>
        <w:rPr>
          <w:rFonts w:ascii="Arial" w:cs="Arial" w:eastAsia="Arial" w:hAnsi="Arial"/>
          <w:sz w:val="18"/>
          <w:szCs w:val="18"/>
          <w:b w:val="1"/>
          <w:bCs w:val="1"/>
          <w:color w:val="auto"/>
        </w:rPr>
      </w:pPr>
    </w:p>
    <w:p>
      <w:pPr>
        <w:ind w:left="480" w:hanging="472"/>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Controls</w:t>
      </w:r>
    </w:p>
    <w:p>
      <w:pPr>
        <w:spacing w:after="0" w:line="121" w:lineRule="exact"/>
        <w:rPr>
          <w:rFonts w:ascii="Arial" w:cs="Arial" w:eastAsia="Arial" w:hAnsi="Arial"/>
          <w:sz w:val="18"/>
          <w:szCs w:val="18"/>
          <w:b w:val="1"/>
          <w:bCs w:val="1"/>
          <w:color w:val="auto"/>
        </w:rPr>
      </w:pPr>
    </w:p>
    <w:p>
      <w:pPr>
        <w:ind w:left="500" w:right="2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There were no changes in the Company’s internal controls over financial reporting that occurred during the Company’s most recent fiscal quarter that has materially affected, or is reasonably likely to materially affect, the Company’s internal controls over financial reporting.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a description of the Company’s legal proceedings, please see NOTE 13 — CONTINGENCIES, to the Company's condensed consolidated financial statements included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to the other information set forth in this Quarterly Report on Form 10-Q, readers should carefully consider the factors discussed in Part I, Item 1A—Risk Factors in the 2021 Annual Report on Form 10-K, and in the Company’s other filings with the SEC, which could materially affect the Company’s business, financial condition, cash flows or future results. There have been no material changes from the risk factors previously disclosed in Part I, Item 1A—Risk Factors in the 2021 Annual Report on Form 10-K</w:t>
      </w:r>
      <w:r>
        <w:rPr>
          <w:rFonts w:ascii="Arial" w:cs="Arial" w:eastAsia="Arial" w:hAnsi="Arial"/>
          <w:sz w:val="18"/>
          <w:szCs w:val="18"/>
          <w:b w:val="1"/>
          <w:bCs w:val="1"/>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jc w:val="center"/>
              <w:ind w:right="159"/>
              <w:spacing w:after="0"/>
              <w:rPr>
                <w:sz w:val="20"/>
                <w:szCs w:val="20"/>
                <w:color w:val="auto"/>
              </w:rPr>
            </w:pPr>
            <w:r>
              <w:rPr>
                <w:rFonts w:ascii="Arial" w:cs="Arial" w:eastAsia="Arial" w:hAnsi="Arial"/>
                <w:sz w:val="16"/>
                <w:szCs w:val="16"/>
                <w:b w:val="1"/>
                <w:bCs w:val="1"/>
                <w:color w:val="auto"/>
                <w:w w:val="97"/>
              </w:rPr>
              <w:t>Maximum</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2"/>
              </w:rPr>
              <w:t>approximate</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2"/>
              </w:rPr>
              <w:t>dollar value of</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Total number of</w:t>
            </w:r>
          </w:p>
        </w:tc>
        <w:tc>
          <w:tcPr>
            <w:tcW w:w="240" w:type="dxa"/>
            <w:vAlign w:val="bottom"/>
          </w:tcPr>
          <w:p>
            <w:pPr>
              <w:spacing w:after="0"/>
              <w:rPr>
                <w:sz w:val="14"/>
                <w:szCs w:val="14"/>
                <w:color w:val="auto"/>
              </w:rPr>
            </w:pPr>
          </w:p>
        </w:tc>
        <w:tc>
          <w:tcPr>
            <w:tcW w:w="172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8"/>
              </w:rPr>
              <w:t>shares that may</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8"/>
              </w:rPr>
              <w:t>yet be purchased</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580" w:type="dxa"/>
            <w:vAlign w:val="bottom"/>
            <w:gridSpan w:val="2"/>
            <w:vMerge w:val="restart"/>
          </w:tcPr>
          <w:p>
            <w:pPr>
              <w:jc w:val="center"/>
              <w:ind w:left="339"/>
              <w:spacing w:after="0"/>
              <w:rPr>
                <w:sz w:val="20"/>
                <w:szCs w:val="20"/>
                <w:color w:val="auto"/>
              </w:rPr>
            </w:pPr>
            <w:r>
              <w:rPr>
                <w:rFonts w:ascii="Arial" w:cs="Arial" w:eastAsia="Arial" w:hAnsi="Arial"/>
                <w:sz w:val="16"/>
                <w:szCs w:val="16"/>
                <w:b w:val="1"/>
                <w:bCs w:val="1"/>
                <w:color w:val="auto"/>
                <w:w w:val="92"/>
              </w:rPr>
              <w:t>Total number of</w:t>
            </w: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6"/>
              </w:rPr>
              <w:t>shares purchased</w:t>
            </w:r>
          </w:p>
        </w:tc>
        <w:tc>
          <w:tcPr>
            <w:tcW w:w="240" w:type="dxa"/>
            <w:vAlign w:val="bottom"/>
          </w:tcPr>
          <w:p>
            <w:pPr>
              <w:spacing w:after="0"/>
              <w:rPr>
                <w:sz w:val="14"/>
                <w:szCs w:val="14"/>
                <w:color w:val="auto"/>
              </w:rPr>
            </w:pPr>
          </w:p>
        </w:tc>
        <w:tc>
          <w:tcPr>
            <w:tcW w:w="172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0"/>
              </w:rPr>
              <w:t>under the plans</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Average price</w:t>
            </w:r>
          </w:p>
        </w:tc>
        <w:tc>
          <w:tcPr>
            <w:tcW w:w="20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as part of publicly</w:t>
            </w:r>
          </w:p>
        </w:tc>
        <w:tc>
          <w:tcPr>
            <w:tcW w:w="240" w:type="dxa"/>
            <w:vAlign w:val="bottom"/>
          </w:tcPr>
          <w:p>
            <w:pPr>
              <w:spacing w:after="0"/>
              <w:rPr>
                <w:sz w:val="14"/>
                <w:szCs w:val="14"/>
                <w:color w:val="auto"/>
              </w:rPr>
            </w:pPr>
          </w:p>
        </w:tc>
        <w:tc>
          <w:tcPr>
            <w:tcW w:w="172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3"/>
              </w:rPr>
              <w:t>or programs</w:t>
            </w:r>
          </w:p>
        </w:tc>
        <w:tc>
          <w:tcPr>
            <w:tcW w:w="0" w:type="dxa"/>
            <w:vAlign w:val="bottom"/>
          </w:tcPr>
          <w:p>
            <w:pPr>
              <w:spacing w:after="0"/>
              <w:rPr>
                <w:sz w:val="1"/>
                <w:szCs w:val="1"/>
                <w:color w:val="auto"/>
              </w:rPr>
            </w:pPr>
          </w:p>
        </w:tc>
      </w:tr>
      <w:tr>
        <w:trPr>
          <w:trHeight w:val="162"/>
        </w:trPr>
        <w:tc>
          <w:tcPr>
            <w:tcW w:w="2500" w:type="dxa"/>
            <w:vAlign w:val="bottom"/>
            <w:vMerge w:val="restart"/>
          </w:tcPr>
          <w:p>
            <w:pPr>
              <w:ind w:left="20"/>
              <w:spacing w:after="0"/>
              <w:rPr>
                <w:sz w:val="20"/>
                <w:szCs w:val="20"/>
                <w:color w:val="auto"/>
              </w:rPr>
            </w:pPr>
            <w:r>
              <w:rPr>
                <w:rFonts w:ascii="Arial" w:cs="Arial" w:eastAsia="Arial" w:hAnsi="Arial"/>
                <w:sz w:val="16"/>
                <w:szCs w:val="16"/>
                <w:color w:val="auto"/>
              </w:rPr>
              <w:t>Period</w:t>
            </w:r>
          </w:p>
        </w:tc>
        <w:tc>
          <w:tcPr>
            <w:tcW w:w="2580" w:type="dxa"/>
            <w:vAlign w:val="bottom"/>
            <w:gridSpan w:val="2"/>
          </w:tcPr>
          <w:p>
            <w:pPr>
              <w:jc w:val="center"/>
              <w:ind w:left="339"/>
              <w:spacing w:after="0" w:line="162" w:lineRule="exact"/>
              <w:rPr>
                <w:sz w:val="20"/>
                <w:szCs w:val="20"/>
                <w:color w:val="auto"/>
              </w:rPr>
            </w:pPr>
            <w:r>
              <w:rPr>
                <w:rFonts w:ascii="Arial" w:cs="Arial" w:eastAsia="Arial" w:hAnsi="Arial"/>
                <w:sz w:val="16"/>
                <w:szCs w:val="16"/>
                <w:b w:val="1"/>
                <w:bCs w:val="1"/>
                <w:color w:val="auto"/>
                <w:w w:val="85"/>
              </w:rPr>
              <w:t>shares</w:t>
            </w:r>
          </w:p>
        </w:tc>
        <w:tc>
          <w:tcPr>
            <w:tcW w:w="30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0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announced plans</w:t>
            </w:r>
          </w:p>
        </w:tc>
        <w:tc>
          <w:tcPr>
            <w:tcW w:w="240" w:type="dxa"/>
            <w:vAlign w:val="bottom"/>
          </w:tcPr>
          <w:p>
            <w:pPr>
              <w:spacing w:after="0"/>
              <w:rPr>
                <w:sz w:val="14"/>
                <w:szCs w:val="14"/>
                <w:color w:val="auto"/>
              </w:rPr>
            </w:pPr>
          </w:p>
        </w:tc>
        <w:tc>
          <w:tcPr>
            <w:tcW w:w="172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7"/>
              </w:rPr>
              <w:t>subsequent to</w:t>
            </w:r>
          </w:p>
        </w:tc>
        <w:tc>
          <w:tcPr>
            <w:tcW w:w="0" w:type="dxa"/>
            <w:vAlign w:val="bottom"/>
          </w:tcPr>
          <w:p>
            <w:pPr>
              <w:spacing w:after="0"/>
              <w:rPr>
                <w:sz w:val="1"/>
                <w:szCs w:val="1"/>
                <w:color w:val="auto"/>
              </w:rPr>
            </w:pPr>
          </w:p>
        </w:tc>
      </w:tr>
      <w:tr>
        <w:trPr>
          <w:trHeight w:val="216"/>
        </w:trPr>
        <w:tc>
          <w:tcPr>
            <w:tcW w:w="2500" w:type="dxa"/>
            <w:vAlign w:val="bottom"/>
            <w:vMerge w:val="continue"/>
          </w:tcPr>
          <w:p>
            <w:pPr>
              <w:spacing w:after="0"/>
              <w:rPr>
                <w:sz w:val="18"/>
                <w:szCs w:val="18"/>
                <w:color w:val="auto"/>
              </w:rPr>
            </w:pPr>
          </w:p>
        </w:tc>
        <w:tc>
          <w:tcPr>
            <w:tcW w:w="2580" w:type="dxa"/>
            <w:vAlign w:val="bottom"/>
            <w:gridSpan w:val="2"/>
          </w:tcPr>
          <w:p>
            <w:pPr>
              <w:jc w:val="center"/>
              <w:ind w:left="339"/>
              <w:spacing w:after="0" w:line="216" w:lineRule="exact"/>
              <w:rPr>
                <w:sz w:val="20"/>
                <w:szCs w:val="20"/>
                <w:color w:val="auto"/>
              </w:rPr>
            </w:pPr>
            <w:r>
              <w:rPr>
                <w:rFonts w:ascii="Arial" w:cs="Arial" w:eastAsia="Arial" w:hAnsi="Arial"/>
                <w:sz w:val="16"/>
                <w:szCs w:val="16"/>
                <w:b w:val="1"/>
                <w:bCs w:val="1"/>
                <w:color w:val="auto"/>
                <w:w w:val="85"/>
              </w:rPr>
              <w:t>purchased</w:t>
            </w:r>
            <w:r>
              <w:rPr>
                <w:rFonts w:ascii="Arial" w:cs="Arial" w:eastAsia="Arial" w:hAnsi="Arial"/>
                <w:sz w:val="21"/>
                <w:szCs w:val="21"/>
                <w:b w:val="1"/>
                <w:bCs w:val="1"/>
                <w:color w:val="auto"/>
                <w:w w:val="85"/>
                <w:vertAlign w:val="superscript"/>
              </w:rPr>
              <w:t>(1)</w:t>
            </w:r>
          </w:p>
        </w:tc>
        <w:tc>
          <w:tcPr>
            <w:tcW w:w="30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paid per share</w:t>
            </w:r>
          </w:p>
        </w:tc>
        <w:tc>
          <w:tcPr>
            <w:tcW w:w="2080" w:type="dxa"/>
            <w:vAlign w:val="bottom"/>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87"/>
              </w:rPr>
              <w:t>or programs</w:t>
            </w:r>
            <w:r>
              <w:rPr>
                <w:rFonts w:ascii="Arial" w:cs="Arial" w:eastAsia="Arial" w:hAnsi="Arial"/>
                <w:sz w:val="21"/>
                <w:szCs w:val="21"/>
                <w:b w:val="1"/>
                <w:bCs w:val="1"/>
                <w:color w:val="auto"/>
                <w:w w:val="87"/>
                <w:vertAlign w:val="superscript"/>
              </w:rPr>
              <w:t>(2)</w:t>
            </w:r>
          </w:p>
        </w:tc>
        <w:tc>
          <w:tcPr>
            <w:tcW w:w="240" w:type="dxa"/>
            <w:vAlign w:val="bottom"/>
          </w:tcPr>
          <w:p>
            <w:pPr>
              <w:spacing w:after="0"/>
              <w:rPr>
                <w:sz w:val="18"/>
                <w:szCs w:val="18"/>
                <w:color w:val="auto"/>
              </w:rPr>
            </w:pPr>
          </w:p>
        </w:tc>
        <w:tc>
          <w:tcPr>
            <w:tcW w:w="1720" w:type="dxa"/>
            <w:vAlign w:val="bottom"/>
          </w:tcPr>
          <w:p>
            <w:pPr>
              <w:jc w:val="center"/>
              <w:ind w:right="159"/>
              <w:spacing w:after="0" w:line="216" w:lineRule="exact"/>
              <w:rPr>
                <w:sz w:val="20"/>
                <w:szCs w:val="20"/>
                <w:color w:val="auto"/>
              </w:rPr>
            </w:pPr>
            <w:r>
              <w:rPr>
                <w:rFonts w:ascii="Arial" w:cs="Arial" w:eastAsia="Arial" w:hAnsi="Arial"/>
                <w:sz w:val="16"/>
                <w:szCs w:val="16"/>
                <w:b w:val="1"/>
                <w:bCs w:val="1"/>
                <w:color w:val="auto"/>
                <w:w w:val="87"/>
              </w:rPr>
              <w:t xml:space="preserve">end of period </w:t>
            </w:r>
            <w:r>
              <w:rPr>
                <w:rFonts w:ascii="Arial" w:cs="Arial" w:eastAsia="Arial" w:hAnsi="Arial"/>
                <w:sz w:val="21"/>
                <w:szCs w:val="21"/>
                <w:b w:val="1"/>
                <w:bCs w:val="1"/>
                <w:color w:val="auto"/>
                <w:w w:val="87"/>
                <w:vertAlign w:val="superscript"/>
              </w:rPr>
              <w:t>(2)</w:t>
            </w:r>
          </w:p>
        </w:tc>
        <w:tc>
          <w:tcPr>
            <w:tcW w:w="0" w:type="dxa"/>
            <w:vAlign w:val="bottom"/>
          </w:tcPr>
          <w:p>
            <w:pPr>
              <w:spacing w:after="0"/>
              <w:rPr>
                <w:sz w:val="1"/>
                <w:szCs w:val="1"/>
                <w:color w:val="auto"/>
              </w:rPr>
            </w:pPr>
          </w:p>
        </w:tc>
      </w:tr>
      <w:tr>
        <w:trPr>
          <w:trHeight w:val="210"/>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April 1 - April 30, 2022</w:t>
            </w: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184,805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156,666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17,315,739</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color w:val="auto"/>
              </w:rPr>
              <w:t>May 1 - May 31, 2022</w:t>
            </w:r>
          </w:p>
        </w:tc>
        <w:tc>
          <w:tcPr>
            <w:tcW w:w="2480" w:type="dxa"/>
            <w:vAlign w:val="bottom"/>
          </w:tcPr>
          <w:p>
            <w:pPr>
              <w:jc w:val="right"/>
              <w:spacing w:after="0"/>
              <w:rPr>
                <w:sz w:val="20"/>
                <w:szCs w:val="20"/>
                <w:color w:val="auto"/>
              </w:rPr>
            </w:pPr>
            <w:r>
              <w:rPr>
                <w:rFonts w:ascii="Arial" w:cs="Arial" w:eastAsia="Arial" w:hAnsi="Arial"/>
                <w:sz w:val="16"/>
                <w:szCs w:val="16"/>
                <w:color w:val="auto"/>
              </w:rPr>
              <w:t>128,980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11.73</w:t>
            </w:r>
          </w:p>
        </w:tc>
        <w:tc>
          <w:tcPr>
            <w:tcW w:w="1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128,980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15,800,577</w:t>
            </w:r>
          </w:p>
        </w:tc>
        <w:tc>
          <w:tcPr>
            <w:tcW w:w="0" w:type="dxa"/>
            <w:vAlign w:val="bottom"/>
          </w:tcPr>
          <w:p>
            <w:pPr>
              <w:spacing w:after="0"/>
              <w:rPr>
                <w:sz w:val="1"/>
                <w:szCs w:val="1"/>
                <w:color w:val="auto"/>
              </w:rPr>
            </w:pPr>
          </w:p>
        </w:tc>
      </w:tr>
      <w:tr>
        <w:trPr>
          <w:trHeight w:val="216"/>
        </w:trPr>
        <w:tc>
          <w:tcPr>
            <w:tcW w:w="2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June 1 - June 30, 2022</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29,485</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15,800,577</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right="80" w:hanging="332"/>
        <w:spacing w:after="0" w:line="228" w:lineRule="auto"/>
        <w:tabs>
          <w:tab w:leader="none" w:pos="327"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The repurchased shares include 57,624 shares acquired other than as part of a publicly announced plan or program. The Company repurchased these securities in connection with its Amended and Restated 2000 Long Term Incentive Plan, which allows participants to use shares to satisfy the exercise price of options exercised, certain tax liabilities arising from the exercise of options, and certain tax liabilities arising from the vesting of restricted stock. The foregoing number does not include unvested shares forfeited back to the Company pursuant to the terms of its stock compensation plans.</w:t>
      </w:r>
    </w:p>
    <w:p>
      <w:pPr>
        <w:spacing w:after="0" w:line="35" w:lineRule="exact"/>
        <w:rPr>
          <w:rFonts w:ascii="Arial" w:cs="Arial" w:eastAsia="Arial" w:hAnsi="Arial"/>
          <w:sz w:val="19"/>
          <w:szCs w:val="19"/>
          <w:color w:val="auto"/>
          <w:vertAlign w:val="superscript"/>
        </w:rPr>
      </w:pPr>
    </w:p>
    <w:p>
      <w:pPr>
        <w:ind w:left="340" w:right="200" w:hanging="332"/>
        <w:spacing w:after="0" w:line="217" w:lineRule="auto"/>
        <w:tabs>
          <w:tab w:leader="none" w:pos="327"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On March 14, 2022, the Company announced that its Board of Directors of the Company authorized the repurchase of up to $20.0 million of the Company’s common stock, replacing the Company’s previously-authorized $10 million share repurchase program. The repurchase authorization permits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right="140"/>
        <w:spacing w:after="0" w:line="273" w:lineRule="auto"/>
        <w:rPr>
          <w:sz w:val="20"/>
          <w:szCs w:val="20"/>
          <w:color w:val="auto"/>
        </w:rPr>
      </w:pPr>
      <w:r>
        <w:rPr>
          <w:rFonts w:ascii="Arial" w:cs="Arial" w:eastAsia="Arial" w:hAnsi="Arial"/>
          <w:sz w:val="14"/>
          <w:szCs w:val="14"/>
          <w:color w:val="auto"/>
        </w:rPr>
        <w:t>the Company to effect the repurchases from time to time through open market purchases and privately negotiated transactions. During the three months ended June 30, 2022, the Company repurchased 285,646 shares for a total cost of $3.5 million and thereafter retired the shares.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i w:val="1"/>
          <w:iCs w:val="1"/>
          <w:color w:val="auto"/>
        </w:rPr>
        <w:t>The information set forth below is included herein, by our option, for the purpose of providing disclosure under “Item 5.02 – Departure of Directors or Certain Officers; Election of Directors; Appointment of Certain Officers; Compensatory Arrangements of Certain Officers” of Form 8-K.</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1, 2022, the Company entered into an amendment (</w:t>
      </w:r>
      <w:r>
        <w:rPr>
          <w:rFonts w:ascii="Arial" w:cs="Arial" w:eastAsia="Arial" w:hAnsi="Arial"/>
          <w:sz w:val="21"/>
          <w:szCs w:val="21"/>
          <w:color w:val="auto"/>
        </w:rPr>
        <w:t>“</w:t>
      </w:r>
      <w:r>
        <w:rPr>
          <w:rFonts w:ascii="Arial" w:cs="Arial" w:eastAsia="Arial" w:hAnsi="Arial"/>
          <w:sz w:val="18"/>
          <w:szCs w:val="18"/>
          <w:color w:val="auto"/>
        </w:rPr>
        <w:t>the Employment Agreement Amendment</w:t>
      </w:r>
      <w:r>
        <w:rPr>
          <w:rFonts w:ascii="Arial" w:cs="Arial" w:eastAsia="Arial" w:hAnsi="Arial"/>
          <w:sz w:val="21"/>
          <w:szCs w:val="21"/>
          <w:color w:val="auto"/>
        </w:rPr>
        <w:t>”</w:t>
      </w:r>
      <w:r>
        <w:rPr>
          <w:rFonts w:ascii="Arial" w:cs="Arial" w:eastAsia="Arial" w:hAnsi="Arial"/>
          <w:sz w:val="18"/>
          <w:szCs w:val="18"/>
          <w:color w:val="auto"/>
        </w:rPr>
        <w:t>) to the existing effective employment agreement between the Company and Laurence Winoker.</w:t>
      </w:r>
    </w:p>
    <w:p>
      <w:pPr>
        <w:spacing w:after="0" w:line="16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Employment Agreement Amendment for Laurence Winoker reflects a change in Mr. Winoker's title from Senior Vice President, Finance, Treasurer and Chief Financial Officer to Executive Vice President, Treasurer and Chief Financial Officer, effective August 1, 2022.</w:t>
      </w:r>
    </w:p>
    <w:p>
      <w:pPr>
        <w:spacing w:after="0" w:line="1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information provided in this Item 5.02 is qualified in its entirety by reference to the terms of the Employment Agreement Amendment attached hereto as Exhibits 10.1, each of which is incorporated herein by reference.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below, which is incorporated by reference herein.</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20" w:type="dxa"/>
            <w:vAlign w:val="bottom"/>
            <w:gridSpan w:val="8"/>
          </w:tcPr>
          <w:p>
            <w:pPr>
              <w:ind w:left="2120"/>
              <w:spacing w:after="0"/>
              <w:rPr>
                <w:sz w:val="20"/>
                <w:szCs w:val="20"/>
                <w:color w:val="auto"/>
              </w:rPr>
            </w:pPr>
            <w:r>
              <w:rPr>
                <w:rFonts w:ascii="Arial" w:cs="Arial" w:eastAsia="Arial" w:hAnsi="Arial"/>
                <w:sz w:val="18"/>
                <w:szCs w:val="18"/>
                <w:b w:val="1"/>
                <w:bCs w:val="1"/>
                <w:color w:val="auto"/>
              </w:rPr>
              <w:t>Exhibit Index</w:t>
            </w:r>
          </w:p>
        </w:tc>
      </w:tr>
      <w:tr>
        <w:trPr>
          <w:trHeight w:val="257"/>
        </w:trPr>
        <w:tc>
          <w:tcPr>
            <w:tcW w:w="16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31.1</w:t>
            </w:r>
          </w:p>
        </w:tc>
        <w:tc>
          <w:tcPr>
            <w:tcW w:w="9560" w:type="dxa"/>
            <w:vAlign w:val="bottom"/>
            <w:gridSpan w:val="10"/>
          </w:tcPr>
          <w:p>
            <w:pPr>
              <w:spacing w:after="0"/>
              <w:rPr>
                <w:rFonts w:ascii="Arial" w:cs="Arial" w:eastAsia="Arial" w:hAnsi="Arial"/>
                <w:sz w:val="18"/>
                <w:szCs w:val="18"/>
                <w:color w:val="0000FF"/>
                <w:w w:val="91"/>
              </w:rPr>
            </w:pPr>
            <w:hyperlink w:anchor="page52">
              <w:r>
                <w:rPr>
                  <w:rFonts w:ascii="Arial" w:cs="Arial" w:eastAsia="Arial" w:hAnsi="Arial"/>
                  <w:sz w:val="18"/>
                  <w:szCs w:val="18"/>
                  <w:color w:val="0000FF"/>
                  <w:w w:val="91"/>
                </w:rPr>
                <w:t>Certification by Robert B. Kay, Chief Executive Officer and Director, pursuant to Rule 13a-14(a) or Rule 15d-14(a) of the Securities</w:t>
              </w:r>
            </w:hyperlink>
          </w:p>
        </w:tc>
      </w:tr>
      <w:tr>
        <w:trPr>
          <w:trHeight w:val="156"/>
        </w:trPr>
        <w:tc>
          <w:tcPr>
            <w:tcW w:w="1600" w:type="dxa"/>
            <w:vAlign w:val="bottom"/>
          </w:tcPr>
          <w:p>
            <w:pPr>
              <w:spacing w:after="0"/>
              <w:rPr>
                <w:sz w:val="13"/>
                <w:szCs w:val="13"/>
                <w:color w:val="auto"/>
              </w:rPr>
            </w:pPr>
          </w:p>
        </w:tc>
        <w:tc>
          <w:tcPr>
            <w:tcW w:w="70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and Exchange Act of 1934, as adopted pursuant to Section 302 of the Sarbanes-Oxley Act of 2002</w:t>
              </w:r>
            </w:hyperlink>
          </w:p>
        </w:tc>
        <w:tc>
          <w:tcPr>
            <w:tcW w:w="24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600" w:type="dxa"/>
            <w:vAlign w:val="bottom"/>
          </w:tcPr>
          <w:p>
            <w:pPr>
              <w:spacing w:after="0"/>
              <w:rPr>
                <w:sz w:val="20"/>
                <w:szCs w:val="20"/>
                <w:color w:val="auto"/>
              </w:rPr>
            </w:pPr>
            <w:r>
              <w:rPr>
                <w:rFonts w:ascii="Arial" w:cs="Arial" w:eastAsia="Arial" w:hAnsi="Arial"/>
                <w:sz w:val="18"/>
                <w:szCs w:val="18"/>
                <w:color w:val="auto"/>
              </w:rPr>
              <w:t>31.2</w:t>
            </w:r>
          </w:p>
        </w:tc>
        <w:tc>
          <w:tcPr>
            <w:tcW w:w="9560" w:type="dxa"/>
            <w:vAlign w:val="bottom"/>
            <w:gridSpan w:val="10"/>
          </w:tcPr>
          <w:p>
            <w:pPr>
              <w:spacing w:after="0"/>
              <w:rPr>
                <w:rFonts w:ascii="Arial" w:cs="Arial" w:eastAsia="Arial" w:hAnsi="Arial"/>
                <w:sz w:val="18"/>
                <w:szCs w:val="18"/>
                <w:color w:val="0000FF"/>
                <w:w w:val="92"/>
              </w:rPr>
            </w:pPr>
            <w:hyperlink w:anchor="page53">
              <w:r>
                <w:rPr>
                  <w:rFonts w:ascii="Arial" w:cs="Arial" w:eastAsia="Arial" w:hAnsi="Arial"/>
                  <w:sz w:val="18"/>
                  <w:szCs w:val="18"/>
                  <w:color w:val="0000FF"/>
                  <w:w w:val="92"/>
                </w:rPr>
                <w:t>Certification by Laurence Winoker, Executive Vice President, Treasurer and Chief Financial Officer, pursuant to Rule 13a-14(a) or</w:t>
              </w:r>
            </w:hyperlink>
          </w:p>
        </w:tc>
      </w:tr>
      <w:tr>
        <w:trPr>
          <w:trHeight w:val="156"/>
        </w:trPr>
        <w:tc>
          <w:tcPr>
            <w:tcW w:w="160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Rule 15d-14(a) of the Securities and Exchange Act of 1934, as adopted pursuant to Section 302 of the Sarbanes-Oxley Act of 2002</w:t>
              </w:r>
            </w:hyperlink>
          </w:p>
        </w:tc>
        <w:tc>
          <w:tcPr>
            <w:tcW w:w="20" w:type="dxa"/>
            <w:vAlign w:val="bottom"/>
            <w:tcBorders>
              <w:bottom w:val="single" w:sz="8" w:color="0000FF"/>
            </w:tcBorders>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64"/>
        </w:trPr>
        <w:tc>
          <w:tcPr>
            <w:tcW w:w="1600" w:type="dxa"/>
            <w:vAlign w:val="bottom"/>
          </w:tcPr>
          <w:p>
            <w:pPr>
              <w:spacing w:after="0"/>
              <w:rPr>
                <w:sz w:val="20"/>
                <w:szCs w:val="20"/>
                <w:color w:val="auto"/>
              </w:rPr>
            </w:pPr>
            <w:r>
              <w:rPr>
                <w:rFonts w:ascii="Arial" w:cs="Arial" w:eastAsia="Arial" w:hAnsi="Arial"/>
                <w:sz w:val="18"/>
                <w:szCs w:val="18"/>
                <w:color w:val="auto"/>
              </w:rPr>
              <w:t>32.1</w:t>
            </w:r>
          </w:p>
        </w:tc>
        <w:tc>
          <w:tcPr>
            <w:tcW w:w="9560" w:type="dxa"/>
            <w:vAlign w:val="bottom"/>
            <w:gridSpan w:val="10"/>
          </w:tcPr>
          <w:p>
            <w:pPr>
              <w:spacing w:after="0"/>
              <w:rPr>
                <w:rFonts w:ascii="Arial" w:cs="Arial" w:eastAsia="Arial" w:hAnsi="Arial"/>
                <w:sz w:val="18"/>
                <w:szCs w:val="18"/>
                <w:color w:val="0000FF"/>
                <w:w w:val="93"/>
              </w:rPr>
            </w:pPr>
            <w:hyperlink w:anchor="page54">
              <w:r>
                <w:rPr>
                  <w:rFonts w:ascii="Arial" w:cs="Arial" w:eastAsia="Arial" w:hAnsi="Arial"/>
                  <w:sz w:val="18"/>
                  <w:szCs w:val="18"/>
                  <w:color w:val="0000FF"/>
                  <w:w w:val="93"/>
                </w:rPr>
                <w:t>Certification by Robert B. Kay, Chief Executive Officer and Director, and Laurence Winoker, Executive Vice President, Treasurer</w:t>
              </w:r>
            </w:hyperlink>
          </w:p>
        </w:tc>
      </w:tr>
      <w:tr>
        <w:trPr>
          <w:trHeight w:val="155"/>
        </w:trPr>
        <w:tc>
          <w:tcPr>
            <w:tcW w:w="1600" w:type="dxa"/>
            <w:vAlign w:val="bottom"/>
          </w:tcPr>
          <w:p>
            <w:pPr>
              <w:spacing w:after="0"/>
              <w:rPr>
                <w:sz w:val="13"/>
                <w:szCs w:val="13"/>
                <w:color w:val="auto"/>
              </w:rPr>
            </w:pPr>
          </w:p>
        </w:tc>
        <w:tc>
          <w:tcPr>
            <w:tcW w:w="93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w:anchor="page54">
              <w:r>
                <w:rPr>
                  <w:rFonts w:ascii="Arial" w:cs="Arial" w:eastAsia="Arial" w:hAnsi="Arial"/>
                  <w:sz w:val="18"/>
                  <w:szCs w:val="18"/>
                  <w:color w:val="0000FF"/>
                  <w:w w:val="90"/>
                </w:rPr>
                <w:t>and Chief Financial Officer, pursuant to 18 U.S.C. Section 1350, as adopted pursuant to Section 906 of the Sarbanes-Oxley Act of</w:t>
              </w:r>
            </w:hyperlink>
          </w:p>
        </w:tc>
        <w:tc>
          <w:tcPr>
            <w:tcW w:w="20" w:type="dxa"/>
            <w:vAlign w:val="bottom"/>
            <w:tcBorders>
              <w:bottom w:val="single" w:sz="8" w:color="0000FF"/>
            </w:tcBorders>
          </w:tcPr>
          <w:p>
            <w:pPr>
              <w:spacing w:after="0"/>
              <w:rPr>
                <w:sz w:val="13"/>
                <w:szCs w:val="13"/>
                <w:color w:val="auto"/>
              </w:rPr>
            </w:pPr>
          </w:p>
        </w:tc>
        <w:tc>
          <w:tcPr>
            <w:tcW w:w="180" w:type="dxa"/>
            <w:vAlign w:val="bottom"/>
            <w:gridSpan w:val="4"/>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360" w:type="dxa"/>
            <w:vAlign w:val="bottom"/>
            <w:tcBorders>
              <w:bottom w:val="single" w:sz="8" w:color="0000FF"/>
            </w:tcBorders>
          </w:tcPr>
          <w:p>
            <w:pPr>
              <w:spacing w:after="0" w:line="156" w:lineRule="exact"/>
              <w:rPr>
                <w:rFonts w:ascii="Arial" w:cs="Arial" w:eastAsia="Arial" w:hAnsi="Arial"/>
                <w:sz w:val="18"/>
                <w:szCs w:val="18"/>
                <w:color w:val="0000FF"/>
                <w:w w:val="84"/>
              </w:rPr>
            </w:pPr>
            <w:hyperlink w:anchor="page54">
              <w:r>
                <w:rPr>
                  <w:rFonts w:ascii="Arial" w:cs="Arial" w:eastAsia="Arial" w:hAnsi="Arial"/>
                  <w:sz w:val="18"/>
                  <w:szCs w:val="18"/>
                  <w:color w:val="0000FF"/>
                  <w:w w:val="84"/>
                </w:rPr>
                <w:t>2002</w:t>
              </w:r>
            </w:hyperlink>
          </w:p>
        </w:tc>
        <w:tc>
          <w:tcPr>
            <w:tcW w:w="98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600" w:type="dxa"/>
            <w:vAlign w:val="bottom"/>
          </w:tcPr>
          <w:p>
            <w:pPr>
              <w:spacing w:after="0"/>
              <w:rPr>
                <w:sz w:val="20"/>
                <w:szCs w:val="20"/>
                <w:color w:val="auto"/>
              </w:rPr>
            </w:pPr>
            <w:r>
              <w:rPr>
                <w:rFonts w:ascii="Arial" w:cs="Arial" w:eastAsia="Arial" w:hAnsi="Arial"/>
                <w:sz w:val="18"/>
                <w:szCs w:val="18"/>
                <w:color w:val="auto"/>
              </w:rPr>
              <w:t>10.1</w:t>
            </w:r>
          </w:p>
        </w:tc>
        <w:tc>
          <w:tcPr>
            <w:tcW w:w="9560" w:type="dxa"/>
            <w:vAlign w:val="bottom"/>
            <w:gridSpan w:val="10"/>
          </w:tcPr>
          <w:p>
            <w:pPr>
              <w:spacing w:after="0"/>
              <w:rPr>
                <w:rFonts w:ascii="Arial" w:cs="Arial" w:eastAsia="Arial" w:hAnsi="Arial"/>
                <w:sz w:val="18"/>
                <w:szCs w:val="18"/>
                <w:color w:val="0000FF"/>
                <w:w w:val="94"/>
              </w:rPr>
            </w:pPr>
            <w:hyperlink w:anchor="page50">
              <w:r>
                <w:rPr>
                  <w:rFonts w:ascii="Arial" w:cs="Arial" w:eastAsia="Arial" w:hAnsi="Arial"/>
                  <w:sz w:val="18"/>
                  <w:szCs w:val="18"/>
                  <w:color w:val="0000FF"/>
                  <w:w w:val="94"/>
                </w:rPr>
                <w:t>Third Amendment to Amended and Restated Employment Agreement, dated as of August 1, 2022, between the Company and</w:t>
              </w:r>
            </w:hyperlink>
          </w:p>
        </w:tc>
      </w:tr>
      <w:tr>
        <w:trPr>
          <w:trHeight w:val="156"/>
        </w:trPr>
        <w:tc>
          <w:tcPr>
            <w:tcW w:w="160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50">
              <w:r>
                <w:rPr>
                  <w:rFonts w:ascii="Arial" w:cs="Arial" w:eastAsia="Arial" w:hAnsi="Arial"/>
                  <w:sz w:val="18"/>
                  <w:szCs w:val="18"/>
                  <w:color w:val="0000FF"/>
                  <w:w w:val="90"/>
                </w:rPr>
                <w:t>Laurence Winoker</w:t>
              </w:r>
            </w:hyperlink>
          </w:p>
        </w:tc>
        <w:tc>
          <w:tcPr>
            <w:tcW w:w="7740" w:type="dxa"/>
            <w:vAlign w:val="bottom"/>
            <w:tcBorders>
              <w:top w:val="single" w:sz="8" w:color="0000FF"/>
            </w:tcBorders>
            <w:gridSpan w:val="2"/>
          </w:tcPr>
          <w:p>
            <w:pPr>
              <w:spacing w:after="0"/>
              <w:rPr>
                <w:sz w:val="13"/>
                <w:szCs w:val="13"/>
                <w:color w:val="auto"/>
              </w:rPr>
            </w:pPr>
          </w:p>
        </w:tc>
        <w:tc>
          <w:tcPr>
            <w:tcW w:w="480" w:type="dxa"/>
            <w:vAlign w:val="bottom"/>
            <w:gridSpan w:val="6"/>
          </w:tcPr>
          <w:p>
            <w:pPr>
              <w:spacing w:after="0"/>
              <w:rPr>
                <w:sz w:val="13"/>
                <w:szCs w:val="13"/>
                <w:color w:val="auto"/>
              </w:rPr>
            </w:pPr>
          </w:p>
        </w:tc>
      </w:tr>
      <w:tr>
        <w:trPr>
          <w:trHeight w:val="290"/>
        </w:trPr>
        <w:tc>
          <w:tcPr>
            <w:tcW w:w="1600" w:type="dxa"/>
            <w:vAlign w:val="bottom"/>
          </w:tcPr>
          <w:p>
            <w:pPr>
              <w:spacing w:after="0"/>
              <w:rPr>
                <w:sz w:val="20"/>
                <w:szCs w:val="20"/>
                <w:color w:val="auto"/>
              </w:rPr>
            </w:pPr>
            <w:r>
              <w:rPr>
                <w:rFonts w:ascii="Arial" w:cs="Arial" w:eastAsia="Arial" w:hAnsi="Arial"/>
                <w:sz w:val="18"/>
                <w:szCs w:val="18"/>
                <w:color w:val="auto"/>
              </w:rPr>
              <w:t>101.INS</w:t>
            </w:r>
          </w:p>
        </w:tc>
        <w:tc>
          <w:tcPr>
            <w:tcW w:w="9560" w:type="dxa"/>
            <w:vAlign w:val="bottom"/>
            <w:gridSpan w:val="10"/>
          </w:tcPr>
          <w:p>
            <w:pPr>
              <w:spacing w:after="0"/>
              <w:rPr>
                <w:sz w:val="20"/>
                <w:szCs w:val="20"/>
                <w:color w:val="auto"/>
              </w:rPr>
            </w:pPr>
            <w:r>
              <w:rPr>
                <w:rFonts w:ascii="Arial" w:cs="Arial" w:eastAsia="Arial" w:hAnsi="Arial"/>
                <w:sz w:val="18"/>
                <w:szCs w:val="18"/>
                <w:color w:val="auto"/>
                <w:w w:val="94"/>
              </w:rPr>
              <w:t>Inline XBRL Instance Document (the instance document does not appear in the Interactive Data File because its XBRL tags are</w:t>
            </w:r>
          </w:p>
        </w:tc>
      </w:tr>
      <w:tr>
        <w:trPr>
          <w:trHeight w:val="230"/>
        </w:trPr>
        <w:tc>
          <w:tcPr>
            <w:tcW w:w="1600" w:type="dxa"/>
            <w:vAlign w:val="bottom"/>
          </w:tcPr>
          <w:p>
            <w:pPr>
              <w:spacing w:after="0"/>
              <w:rPr>
                <w:sz w:val="20"/>
                <w:szCs w:val="20"/>
                <w:color w:val="auto"/>
              </w:rPr>
            </w:pPr>
          </w:p>
        </w:tc>
        <w:tc>
          <w:tcPr>
            <w:tcW w:w="9560" w:type="dxa"/>
            <w:vAlign w:val="bottom"/>
            <w:gridSpan w:val="10"/>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97"/>
        </w:trPr>
        <w:tc>
          <w:tcPr>
            <w:tcW w:w="1600" w:type="dxa"/>
            <w:vAlign w:val="bottom"/>
          </w:tcPr>
          <w:p>
            <w:pPr>
              <w:spacing w:after="0"/>
              <w:rPr>
                <w:sz w:val="20"/>
                <w:szCs w:val="20"/>
                <w:color w:val="auto"/>
              </w:rPr>
            </w:pPr>
            <w:r>
              <w:rPr>
                <w:rFonts w:ascii="Arial" w:cs="Arial" w:eastAsia="Arial" w:hAnsi="Arial"/>
                <w:sz w:val="18"/>
                <w:szCs w:val="18"/>
                <w:color w:val="auto"/>
              </w:rPr>
              <w:t>101.SCH</w:t>
            </w:r>
          </w:p>
        </w:tc>
        <w:tc>
          <w:tcPr>
            <w:tcW w:w="956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101.DEF</w:t>
            </w:r>
          </w:p>
        </w:tc>
        <w:tc>
          <w:tcPr>
            <w:tcW w:w="956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101.CAL</w:t>
            </w:r>
          </w:p>
        </w:tc>
        <w:tc>
          <w:tcPr>
            <w:tcW w:w="956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4"/>
        </w:trPr>
        <w:tc>
          <w:tcPr>
            <w:tcW w:w="1600" w:type="dxa"/>
            <w:vAlign w:val="bottom"/>
          </w:tcPr>
          <w:p>
            <w:pPr>
              <w:spacing w:after="0"/>
              <w:rPr>
                <w:sz w:val="20"/>
                <w:szCs w:val="20"/>
                <w:color w:val="auto"/>
              </w:rPr>
            </w:pPr>
            <w:r>
              <w:rPr>
                <w:rFonts w:ascii="Arial" w:cs="Arial" w:eastAsia="Arial" w:hAnsi="Arial"/>
                <w:sz w:val="18"/>
                <w:szCs w:val="18"/>
                <w:color w:val="auto"/>
              </w:rPr>
              <w:t>101.LAB</w:t>
            </w:r>
          </w:p>
        </w:tc>
        <w:tc>
          <w:tcPr>
            <w:tcW w:w="956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101.PRE</w:t>
            </w:r>
          </w:p>
        </w:tc>
        <w:tc>
          <w:tcPr>
            <w:tcW w:w="956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44"/>
        </w:trPr>
        <w:tc>
          <w:tcPr>
            <w:tcW w:w="1600" w:type="dxa"/>
            <w:vAlign w:val="bottom"/>
          </w:tcPr>
          <w:p>
            <w:pPr>
              <w:spacing w:after="0"/>
              <w:rPr>
                <w:sz w:val="20"/>
                <w:szCs w:val="20"/>
                <w:color w:val="auto"/>
              </w:rPr>
            </w:pPr>
            <w:r>
              <w:rPr>
                <w:rFonts w:ascii="Arial" w:cs="Arial" w:eastAsia="Arial" w:hAnsi="Arial"/>
                <w:sz w:val="18"/>
                <w:szCs w:val="18"/>
                <w:color w:val="auto"/>
              </w:rPr>
              <w:t>104</w:t>
            </w:r>
          </w:p>
        </w:tc>
        <w:tc>
          <w:tcPr>
            <w:tcW w:w="9560" w:type="dxa"/>
            <w:vAlign w:val="bottom"/>
            <w:gridSpan w:val="10"/>
          </w:tcPr>
          <w:p>
            <w:pPr>
              <w:spacing w:after="0"/>
              <w:rPr>
                <w:sz w:val="20"/>
                <w:szCs w:val="20"/>
                <w:color w:val="auto"/>
              </w:rPr>
            </w:pPr>
            <w:r>
              <w:rPr>
                <w:rFonts w:ascii="Arial" w:cs="Arial" w:eastAsia="Arial" w:hAnsi="Arial"/>
                <w:sz w:val="18"/>
                <w:szCs w:val="18"/>
                <w:color w:val="auto"/>
              </w:rPr>
              <w:t>The cover page from this Quarterly Report on Form 10-Q, formatted in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Lifetime Brands, Inc.</w:t>
            </w:r>
          </w:p>
        </w:tc>
        <w:tc>
          <w:tcPr>
            <w:tcW w:w="1920" w:type="dxa"/>
            <w:vAlign w:val="bottom"/>
          </w:tcPr>
          <w:p>
            <w:pPr>
              <w:spacing w:after="0"/>
              <w:rPr>
                <w:sz w:val="20"/>
                <w:szCs w:val="20"/>
                <w:color w:val="auto"/>
              </w:rPr>
            </w:pPr>
          </w:p>
        </w:tc>
      </w:tr>
      <w:tr>
        <w:trPr>
          <w:trHeight w:val="49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B. Kay</w:t>
            </w:r>
          </w:p>
        </w:tc>
        <w:tc>
          <w:tcPr>
            <w:tcW w:w="1920" w:type="dxa"/>
            <w:vAlign w:val="bottom"/>
          </w:tcPr>
          <w:p>
            <w:pPr>
              <w:ind w:left="820"/>
              <w:spacing w:after="0"/>
              <w:rPr>
                <w:sz w:val="20"/>
                <w:szCs w:val="20"/>
                <w:color w:val="auto"/>
              </w:rPr>
            </w:pPr>
            <w:r>
              <w:rPr>
                <w:rFonts w:ascii="Arial" w:cs="Arial" w:eastAsia="Arial" w:hAnsi="Arial"/>
                <w:sz w:val="18"/>
                <w:szCs w:val="18"/>
                <w:color w:val="auto"/>
                <w:w w:val="89"/>
              </w:rPr>
              <w:t>August 4, 2022</w:t>
            </w:r>
          </w:p>
        </w:tc>
      </w:tr>
      <w:tr>
        <w:trPr>
          <w:trHeight w:val="222"/>
        </w:trPr>
        <w:tc>
          <w:tcPr>
            <w:tcW w:w="3460" w:type="dxa"/>
            <w:vAlign w:val="bottom"/>
          </w:tcPr>
          <w:p>
            <w:pPr>
              <w:ind w:left="20"/>
              <w:spacing w:after="0"/>
              <w:rPr>
                <w:sz w:val="20"/>
                <w:szCs w:val="20"/>
                <w:color w:val="auto"/>
              </w:rPr>
            </w:pPr>
            <w:r>
              <w:rPr>
                <w:rFonts w:ascii="Arial" w:cs="Arial" w:eastAsia="Arial" w:hAnsi="Arial"/>
                <w:sz w:val="18"/>
                <w:szCs w:val="18"/>
                <w:color w:val="auto"/>
              </w:rPr>
              <w:t>Robert B. Kay</w:t>
            </w:r>
          </w:p>
        </w:tc>
        <w:tc>
          <w:tcPr>
            <w:tcW w:w="1920" w:type="dxa"/>
            <w:vAlign w:val="bottom"/>
          </w:tcPr>
          <w:p>
            <w:pPr>
              <w:spacing w:after="0"/>
              <w:rPr>
                <w:sz w:val="19"/>
                <w:szCs w:val="19"/>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c>
          <w:tcPr>
            <w:tcW w:w="1920" w:type="dxa"/>
            <w:vAlign w:val="bottom"/>
          </w:tcPr>
          <w:p>
            <w:pPr>
              <w:spacing w:after="0"/>
              <w:rPr>
                <w:sz w:val="19"/>
                <w:szCs w:val="19"/>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920" w:type="dxa"/>
            <w:vAlign w:val="bottom"/>
          </w:tcPr>
          <w:p>
            <w:pPr>
              <w:spacing w:after="0"/>
              <w:rPr>
                <w:sz w:val="20"/>
                <w:szCs w:val="20"/>
                <w:color w:val="auto"/>
              </w:rPr>
            </w:pPr>
          </w:p>
        </w:tc>
      </w:tr>
      <w:tr>
        <w:trPr>
          <w:trHeight w:val="49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Laurence Winoker</w:t>
            </w:r>
          </w:p>
        </w:tc>
        <w:tc>
          <w:tcPr>
            <w:tcW w:w="1920" w:type="dxa"/>
            <w:vAlign w:val="bottom"/>
          </w:tcPr>
          <w:p>
            <w:pPr>
              <w:ind w:left="820"/>
              <w:spacing w:after="0"/>
              <w:rPr>
                <w:sz w:val="20"/>
                <w:szCs w:val="20"/>
                <w:color w:val="auto"/>
              </w:rPr>
            </w:pPr>
            <w:r>
              <w:rPr>
                <w:rFonts w:ascii="Arial" w:cs="Arial" w:eastAsia="Arial" w:hAnsi="Arial"/>
                <w:sz w:val="18"/>
                <w:szCs w:val="18"/>
                <w:color w:val="auto"/>
                <w:w w:val="89"/>
              </w:rPr>
              <w:t>August 4, 2022</w:t>
            </w:r>
          </w:p>
        </w:tc>
      </w:tr>
      <w:tr>
        <w:trPr>
          <w:trHeight w:val="222"/>
        </w:trPr>
        <w:tc>
          <w:tcPr>
            <w:tcW w:w="3460" w:type="dxa"/>
            <w:vAlign w:val="bottom"/>
          </w:tcPr>
          <w:p>
            <w:pPr>
              <w:ind w:left="20"/>
              <w:spacing w:after="0"/>
              <w:rPr>
                <w:sz w:val="20"/>
                <w:szCs w:val="20"/>
                <w:color w:val="auto"/>
              </w:rPr>
            </w:pPr>
            <w:r>
              <w:rPr>
                <w:rFonts w:ascii="Arial" w:cs="Arial" w:eastAsia="Arial" w:hAnsi="Arial"/>
                <w:sz w:val="18"/>
                <w:szCs w:val="18"/>
                <w:color w:val="auto"/>
              </w:rPr>
              <w:t>Laurence Winoker</w:t>
            </w:r>
          </w:p>
        </w:tc>
        <w:tc>
          <w:tcPr>
            <w:tcW w:w="1920" w:type="dxa"/>
            <w:vAlign w:val="bottom"/>
          </w:tcPr>
          <w:p>
            <w:pPr>
              <w:spacing w:after="0"/>
              <w:rPr>
                <w:sz w:val="19"/>
                <w:szCs w:val="19"/>
                <w:color w:val="auto"/>
              </w:rPr>
            </w:pPr>
          </w:p>
        </w:tc>
      </w:tr>
      <w:tr>
        <w:trPr>
          <w:trHeight w:val="176"/>
        </w:trPr>
        <w:tc>
          <w:tcPr>
            <w:tcW w:w="3460" w:type="dxa"/>
            <w:vAlign w:val="bottom"/>
          </w:tcPr>
          <w:p>
            <w:pPr>
              <w:ind w:left="20"/>
              <w:spacing w:after="0" w:line="176" w:lineRule="exact"/>
              <w:rPr>
                <w:sz w:val="20"/>
                <w:szCs w:val="20"/>
                <w:color w:val="auto"/>
              </w:rPr>
            </w:pPr>
            <w:r>
              <w:rPr>
                <w:rFonts w:ascii="Arial" w:cs="Arial" w:eastAsia="Arial" w:hAnsi="Arial"/>
                <w:sz w:val="18"/>
                <w:szCs w:val="18"/>
                <w:color w:val="auto"/>
                <w:w w:val="92"/>
              </w:rPr>
              <w:t>Executive Vice President, Treasurer and Chief</w:t>
            </w:r>
          </w:p>
        </w:tc>
        <w:tc>
          <w:tcPr>
            <w:tcW w:w="1920" w:type="dxa"/>
            <w:vAlign w:val="bottom"/>
          </w:tcPr>
          <w:p>
            <w:pPr>
              <w:spacing w:after="0"/>
              <w:rPr>
                <w:sz w:val="15"/>
                <w:szCs w:val="15"/>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Financial Officer</w:t>
            </w:r>
          </w:p>
        </w:tc>
        <w:tc>
          <w:tcPr>
            <w:tcW w:w="1920" w:type="dxa"/>
            <w:vAlign w:val="bottom"/>
          </w:tcPr>
          <w:p>
            <w:pPr>
              <w:spacing w:after="0"/>
              <w:rPr>
                <w:sz w:val="19"/>
                <w:szCs w:val="19"/>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w w:val="99"/>
              </w:rPr>
              <w:t>(Principal Financial and Accounting Officer)</w:t>
            </w:r>
          </w:p>
        </w:tc>
        <w:tc>
          <w:tcPr>
            <w:tcW w:w="19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220"/>
          </w:cols>
          <w:pgMar w:left="320" w:top="121" w:right="359" w:bottom="1440" w:gutter="0" w:footer="0" w:header="0"/>
        </w:sectPr>
      </w:pPr>
    </w:p>
    <w:bookmarkStart w:id="49" w:name="page50"/>
    <w:bookmarkEnd w:id="49"/>
    <w:p>
      <w:pPr>
        <w:jc w:val="center"/>
        <w:spacing w:after="0"/>
        <w:rPr>
          <w:sz w:val="20"/>
          <w:szCs w:val="20"/>
          <w:color w:val="auto"/>
        </w:rPr>
      </w:pPr>
      <w:r>
        <w:rPr>
          <w:rFonts w:ascii="Arial" w:cs="Arial" w:eastAsia="Arial" w:hAnsi="Arial"/>
          <w:sz w:val="22"/>
          <w:szCs w:val="22"/>
          <w:b w:val="1"/>
          <w:bCs w:val="1"/>
          <w:color w:val="auto"/>
        </w:rPr>
        <w:t>THIRD AMENDMENT TO THE AMENDED AND RESTATED</w:t>
      </w: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88" w:lineRule="exact"/>
        <w:rPr>
          <w:sz w:val="20"/>
          <w:szCs w:val="20"/>
          <w:color w:val="auto"/>
        </w:rPr>
      </w:pPr>
    </w:p>
    <w:p>
      <w:pPr>
        <w:jc w:val="both"/>
        <w:ind w:firstLine="271"/>
        <w:spacing w:after="0" w:line="229" w:lineRule="auto"/>
        <w:rPr>
          <w:sz w:val="20"/>
          <w:szCs w:val="20"/>
          <w:color w:val="auto"/>
        </w:rPr>
      </w:pPr>
      <w:r>
        <w:rPr>
          <w:rFonts w:ascii="Arial" w:cs="Arial" w:eastAsia="Arial" w:hAnsi="Arial"/>
          <w:sz w:val="21"/>
          <w:szCs w:val="21"/>
          <w:color w:val="auto"/>
        </w:rPr>
        <w:t>This Third Amendment (this “Amendment”), dated as of August 1, 2022 by and between Lifetime Brands, Inc., a Delaware corporation (the “Company”) and Laurence Winoker (the “Executive”) shall be effective as of August 1, 2022 (the “Amendment Effective Date”) and amends the Amended and Restated Employment Agreement, dated as of September 10, 2015 between the Company and the Executive, as previously amended (the “Employment Agreement”).</w:t>
      </w:r>
    </w:p>
    <w:p>
      <w:pPr>
        <w:spacing w:after="0" w:line="185" w:lineRule="exact"/>
        <w:rPr>
          <w:sz w:val="20"/>
          <w:szCs w:val="20"/>
          <w:color w:val="auto"/>
        </w:rPr>
      </w:pPr>
    </w:p>
    <w:p>
      <w:pPr>
        <w:jc w:val="both"/>
        <w:ind w:right="20" w:firstLine="223"/>
        <w:spacing w:after="0" w:line="232" w:lineRule="auto"/>
        <w:rPr>
          <w:sz w:val="20"/>
          <w:szCs w:val="20"/>
          <w:color w:val="auto"/>
        </w:rPr>
      </w:pPr>
      <w:r>
        <w:rPr>
          <w:rFonts w:ascii="Arial" w:cs="Arial" w:eastAsia="Arial" w:hAnsi="Arial"/>
          <w:sz w:val="22"/>
          <w:szCs w:val="22"/>
          <w:color w:val="auto"/>
        </w:rPr>
        <w:t>WHEREAS, pursuant to Section 14(a) of the Employment Agreement, the Company wishes to further amend the Employment Agreement to reflect a change in the Executive’s title as of the Amendment Effective Date.</w:t>
      </w:r>
    </w:p>
    <w:p>
      <w:pPr>
        <w:spacing w:after="0" w:line="186" w:lineRule="exact"/>
        <w:rPr>
          <w:sz w:val="20"/>
          <w:szCs w:val="20"/>
          <w:color w:val="auto"/>
        </w:rPr>
      </w:pPr>
    </w:p>
    <w:p>
      <w:pPr>
        <w:jc w:val="both"/>
        <w:ind w:firstLine="236"/>
        <w:spacing w:after="0" w:line="232" w:lineRule="auto"/>
        <w:rPr>
          <w:sz w:val="20"/>
          <w:szCs w:val="20"/>
          <w:color w:val="auto"/>
        </w:rPr>
      </w:pPr>
      <w:r>
        <w:rPr>
          <w:rFonts w:ascii="Arial" w:cs="Arial" w:eastAsia="Arial" w:hAnsi="Arial"/>
          <w:sz w:val="22"/>
          <w:szCs w:val="22"/>
          <w:color w:val="auto"/>
        </w:rPr>
        <w:t>NOW, THEREFORE, in consideration of Executive’s continued employment with the Company and other good and sufficient consideration set forth herein, the Company and the Executive hereby agree as follows: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  Section 2(a) of the Employment Agreement shall be deleted in its entirety and replaced with the following:</w:t>
      </w:r>
    </w:p>
    <w:p>
      <w:pPr>
        <w:spacing w:after="0" w:line="206" w:lineRule="exact"/>
        <w:rPr>
          <w:sz w:val="20"/>
          <w:szCs w:val="20"/>
          <w:color w:val="auto"/>
        </w:rPr>
      </w:pPr>
    </w:p>
    <w:p>
      <w:pPr>
        <w:jc w:val="both"/>
        <w:ind w:left="660"/>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Duties</w:t>
      </w:r>
      <w:r>
        <w:rPr>
          <w:rFonts w:ascii="Arial" w:cs="Arial" w:eastAsia="Arial" w:hAnsi="Arial"/>
          <w:sz w:val="22"/>
          <w:szCs w:val="22"/>
          <w:color w:val="auto"/>
        </w:rPr>
        <w:t>. During the Employment Term, the Executive shall be Executive Vice President, Treasurer and Chief Financial Officer (the “CFO”). In such capacity, the Executive shall serve as advisor to the Chief Executive Officer of the Company (the “CEO”) and shall report directly to the CEO. The Executive shall perform such other duties on behalf of the Company and its subsidiaries as are consistent with his position and as may be assigned to him by the CEO. The Executive hereby agrees to devote his full business time, energies and attention, and to use his best efforts, skills and abilities to faithfully perform his duties hereunder and to forward the business and affairs of the Company, and to promote the Company’s interests.”</w:t>
      </w:r>
    </w:p>
    <w:p>
      <w:pPr>
        <w:spacing w:after="0" w:line="191" w:lineRule="exact"/>
        <w:rPr>
          <w:sz w:val="20"/>
          <w:szCs w:val="20"/>
          <w:color w:val="auto"/>
        </w:rPr>
      </w:pPr>
    </w:p>
    <w:p>
      <w:pPr>
        <w:jc w:val="both"/>
        <w:ind w:firstLine="8"/>
        <w:spacing w:after="0" w:line="223" w:lineRule="auto"/>
        <w:tabs>
          <w:tab w:leader="none" w:pos="324"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Employment Agreement, as amended by this Amendment, constitutes the entire and exclusive agreement between the parties with respect to the subject matter hereof. All previous discussions and agreements with respect to the subject matter of this Amendment are superseded by this Amendment.</w:t>
      </w:r>
    </w:p>
    <w:p>
      <w:pPr>
        <w:spacing w:after="0" w:line="185" w:lineRule="exact"/>
        <w:rPr>
          <w:rFonts w:ascii="Arial" w:cs="Arial" w:eastAsia="Arial" w:hAnsi="Arial"/>
          <w:sz w:val="22"/>
          <w:szCs w:val="22"/>
          <w:color w:val="auto"/>
        </w:rPr>
      </w:pPr>
    </w:p>
    <w:p>
      <w:pPr>
        <w:ind w:firstLine="8"/>
        <w:spacing w:after="0" w:line="223" w:lineRule="auto"/>
        <w:tabs>
          <w:tab w:leader="none" w:pos="324" w:val="left"/>
        </w:tabs>
        <w:numPr>
          <w:ilvl w:val="0"/>
          <w:numId w:val="16"/>
        </w:numPr>
        <w:rPr>
          <w:rFonts w:ascii="Arial" w:cs="Arial" w:eastAsia="Arial" w:hAnsi="Arial"/>
          <w:sz w:val="21"/>
          <w:szCs w:val="21"/>
          <w:color w:val="auto"/>
        </w:rPr>
      </w:pPr>
      <w:r>
        <w:rPr>
          <w:rFonts w:ascii="Arial" w:cs="Arial" w:eastAsia="Arial" w:hAnsi="Arial"/>
          <w:sz w:val="21"/>
          <w:szCs w:val="21"/>
          <w:color w:val="auto"/>
        </w:rPr>
        <w:t>Except as expressly amended hereby, all the terms, conditions, and provisions of the Employment Agreement shall remain in full force and effect. This Amendment shall form a part of the Employment Agreement for all purposes.</w:t>
      </w:r>
    </w:p>
    <w:p>
      <w:pPr>
        <w:spacing w:after="0" w:line="1" w:lineRule="exact"/>
        <w:rPr>
          <w:rFonts w:ascii="Arial" w:cs="Arial" w:eastAsia="Arial" w:hAnsi="Arial"/>
          <w:sz w:val="21"/>
          <w:szCs w:val="21"/>
          <w:color w:val="auto"/>
        </w:rPr>
      </w:pPr>
    </w:p>
    <w:p>
      <w:pPr>
        <w:jc w:val="both"/>
        <w:ind w:firstLine="8"/>
        <w:spacing w:after="0" w:line="217" w:lineRule="auto"/>
        <w:tabs>
          <w:tab w:leader="none" w:pos="324"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This Amendment may be executed in counterparts and by facsimile or other electronic means, including by portable document format (PDF), each of which shall be deemed to have the same legal effect as an original and together shall constitute one and the same instrument.</w:t>
      </w:r>
    </w:p>
    <w:p>
      <w:pPr>
        <w:spacing w:after="0" w:line="186" w:lineRule="exact"/>
        <w:rPr>
          <w:rFonts w:ascii="Arial" w:cs="Arial" w:eastAsia="Arial" w:hAnsi="Arial"/>
          <w:sz w:val="22"/>
          <w:szCs w:val="22"/>
          <w:color w:val="auto"/>
        </w:rPr>
      </w:pPr>
    </w:p>
    <w:p>
      <w:pPr>
        <w:ind w:left="340" w:hanging="332"/>
        <w:spacing w:after="0"/>
        <w:tabs>
          <w:tab w:leader="none" w:pos="3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Company represents and warrants that it has the full power and authority to enter into this Amendment.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remainder of this page is intentionally left blank]</w:t>
      </w:r>
    </w:p>
    <w:p>
      <w:pPr>
        <w:sectPr>
          <w:pgSz w:w="11900" w:h="16838" w:orient="portrait"/>
          <w:cols w:equalWidth="0" w:num="1">
            <w:col w:w="11240"/>
          </w:cols>
          <w:pgMar w:left="320" w:top="1382" w:right="339" w:bottom="1440" w:gutter="0" w:footer="0" w:header="0"/>
        </w:sectPr>
      </w:pPr>
    </w:p>
    <w:bookmarkStart w:id="50" w:name="page51"/>
    <w:bookmarkEnd w:id="50"/>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executed this Amendment as of the day and year first written above.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LIFETIME BRANDS, INC.</w:t>
      </w:r>
    </w:p>
    <w:p>
      <w:pPr>
        <w:spacing w:after="0" w:line="233"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By:  /s/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50165</wp:posOffset>
            </wp:positionV>
            <wp:extent cx="18859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0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Robert B. Kay</w:t>
      </w:r>
    </w:p>
    <w:p>
      <w:pPr>
        <w:spacing w:after="0" w:line="3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EXECUTIVE</w:t>
      </w:r>
    </w:p>
    <w:p>
      <w:pPr>
        <w:spacing w:after="0" w:line="58"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24130</wp:posOffset>
            </wp:positionV>
            <wp:extent cx="1714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65"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Laurence Winoker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2</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DB1/ 118493770.2</w:t>
      </w:r>
    </w:p>
    <w:p>
      <w:pPr>
        <w:sectPr>
          <w:pgSz w:w="11900" w:h="16838" w:orient="portrait"/>
          <w:cols w:equalWidth="0" w:num="1">
            <w:col w:w="10139"/>
          </w:cols>
          <w:pgMar w:left="320" w:top="1440" w:right="1440"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Kay, certify that: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1.I have reviewed this quarterly report on Form 10-Q of Lifetime Brands, Inc. (“the registrant”);</w:t>
      </w:r>
    </w:p>
    <w:p>
      <w:pPr>
        <w:spacing w:after="0" w:line="117" w:lineRule="exact"/>
        <w:rPr>
          <w:sz w:val="20"/>
          <w:szCs w:val="20"/>
          <w:color w:val="auto"/>
        </w:rPr>
      </w:pPr>
    </w:p>
    <w:p>
      <w:pPr>
        <w:jc w:val="both"/>
        <w:ind w:left="420" w:right="180" w:hanging="7"/>
        <w:spacing w:after="0" w:line="263" w:lineRule="auto"/>
        <w:tabs>
          <w:tab w:leader="none" w:pos="6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left="420" w:right="340" w:hanging="7"/>
        <w:spacing w:after="0" w:line="342" w:lineRule="auto"/>
        <w:tabs>
          <w:tab w:leader="none" w:pos="6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jc w:val="both"/>
        <w:ind w:left="420" w:right="260" w:hanging="7"/>
        <w:spacing w:after="0" w:line="263" w:lineRule="auto"/>
        <w:tabs>
          <w:tab w:leader="none" w:pos="6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700" w:right="140" w:hanging="315"/>
        <w:spacing w:after="0" w:line="286" w:lineRule="auto"/>
        <w:tabs>
          <w:tab w:leader="none" w:pos="1690" w:val="left"/>
        </w:tabs>
        <w:numPr>
          <w:ilvl w:val="3"/>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700" w:right="40" w:hanging="315"/>
        <w:spacing w:after="0" w:line="263" w:lineRule="auto"/>
        <w:tabs>
          <w:tab w:leader="none" w:pos="1700" w:val="left"/>
        </w:tabs>
        <w:numPr>
          <w:ilvl w:val="3"/>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700" w:right="140" w:hanging="315"/>
        <w:spacing w:after="0" w:line="263" w:lineRule="auto"/>
        <w:tabs>
          <w:tab w:leader="none" w:pos="1690" w:val="left"/>
        </w:tabs>
        <w:numPr>
          <w:ilvl w:val="3"/>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700" w:right="40" w:hanging="315"/>
        <w:spacing w:after="0" w:line="263" w:lineRule="auto"/>
        <w:tabs>
          <w:tab w:leader="none" w:pos="1700" w:val="left"/>
        </w:tabs>
        <w:numPr>
          <w:ilvl w:val="3"/>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520" w:hanging="320"/>
        <w:spacing w:after="0" w:line="342" w:lineRule="auto"/>
        <w:tabs>
          <w:tab w:leader="none" w:pos="1290" w:val="left"/>
        </w:tabs>
        <w:numPr>
          <w:ilvl w:val="2"/>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00" w:hanging="320"/>
        <w:spacing w:after="0" w:line="277" w:lineRule="auto"/>
        <w:tabs>
          <w:tab w:leader="none" w:pos="13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6231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Robert B. Kay</w:t>
      </w:r>
    </w:p>
    <w:p>
      <w:pPr>
        <w:ind w:left="680"/>
        <w:spacing w:after="0"/>
        <w:rPr>
          <w:sz w:val="20"/>
          <w:szCs w:val="20"/>
          <w:color w:val="auto"/>
        </w:rPr>
      </w:pPr>
      <w:r>
        <w:rPr>
          <w:rFonts w:ascii="Arial" w:cs="Arial" w:eastAsia="Arial" w:hAnsi="Arial"/>
          <w:sz w:val="18"/>
          <w:szCs w:val="18"/>
          <w:color w:val="auto"/>
        </w:rPr>
        <w:t>Chief Executive Officer and Director</w:t>
      </w:r>
    </w:p>
    <w:p>
      <w:pPr>
        <w:spacing w:after="0" w:line="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Date: August 4, 2022</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Laurence Winoker, certify that:</w:t>
      </w:r>
    </w:p>
    <w:p>
      <w:pPr>
        <w:spacing w:after="0" w:line="103" w:lineRule="exact"/>
        <w:rPr>
          <w:sz w:val="20"/>
          <w:szCs w:val="20"/>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17"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left="980" w:right="440" w:hanging="648"/>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5"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960" w:right="80" w:hanging="656"/>
        <w:spacing w:after="0" w:line="311" w:lineRule="auto"/>
        <w:tabs>
          <w:tab w:leader="none" w:pos="195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0" w:lineRule="exact"/>
        <w:rPr>
          <w:rFonts w:ascii="Arial" w:cs="Arial" w:eastAsia="Arial" w:hAnsi="Arial"/>
          <w:sz w:val="16"/>
          <w:szCs w:val="16"/>
          <w:color w:val="auto"/>
        </w:rPr>
      </w:pPr>
    </w:p>
    <w:p>
      <w:pPr>
        <w:ind w:left="1960" w:right="260" w:hanging="656"/>
        <w:spacing w:after="0" w:line="286" w:lineRule="auto"/>
        <w:tabs>
          <w:tab w:leader="none" w:pos="19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960" w:right="460" w:hanging="656"/>
        <w:spacing w:after="0" w:line="263"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80" w:right="60" w:hanging="648"/>
        <w:spacing w:after="0" w:line="342"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960" w:right="140" w:hanging="656"/>
        <w:spacing w:after="0" w:line="263" w:lineRule="auto"/>
        <w:tabs>
          <w:tab w:leader="none" w:pos="195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960" w:right="140" w:hanging="656"/>
        <w:spacing w:after="0" w:line="277"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14605</wp:posOffset>
            </wp:positionV>
            <wp:extent cx="19545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Laurence Winoker</w:t>
      </w:r>
    </w:p>
    <w:p>
      <w:pPr>
        <w:ind w:left="1000"/>
        <w:spacing w:after="0" w:line="203" w:lineRule="auto"/>
        <w:rPr>
          <w:sz w:val="20"/>
          <w:szCs w:val="20"/>
          <w:color w:val="auto"/>
        </w:rPr>
      </w:pPr>
      <w:r>
        <w:rPr>
          <w:rFonts w:ascii="Arial" w:cs="Arial" w:eastAsia="Arial" w:hAnsi="Arial"/>
          <w:sz w:val="18"/>
          <w:szCs w:val="18"/>
          <w:color w:val="auto"/>
        </w:rPr>
        <w:t>Executive Vice President,</w:t>
      </w:r>
    </w:p>
    <w:p>
      <w:pPr>
        <w:ind w:left="1000"/>
        <w:spacing w:after="0"/>
        <w:rPr>
          <w:sz w:val="20"/>
          <w:szCs w:val="20"/>
          <w:color w:val="auto"/>
        </w:rPr>
      </w:pPr>
      <w:r>
        <w:rPr>
          <w:rFonts w:ascii="Arial" w:cs="Arial" w:eastAsia="Arial" w:hAnsi="Arial"/>
          <w:sz w:val="18"/>
          <w:szCs w:val="18"/>
          <w:color w:val="auto"/>
        </w:rPr>
        <w:t>Treasurer and Chief Financial Officer</w:t>
      </w:r>
    </w:p>
    <w:p>
      <w:pPr>
        <w:spacing w:after="0" w:line="6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Date: August 4, 2022</w:t>
      </w:r>
    </w:p>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Certification by Robert B. Kay, Chief Executive Officer and Director, and Laurence Winoker, Senior Vice President - Finance, Treasurer and Chief Financial Officer, Pursuant to 18 U.S.C. Section 1350, as Adopted Pursuant to Section 906 of the Sarbanes-Oxley Act of 2002.</w:t>
      </w:r>
    </w:p>
    <w:p>
      <w:pPr>
        <w:spacing w:after="0" w:line="1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Robert B. Kay, Chief Executive Officer and Director, and I, Laurence Winoker, Senior Vice President – Finance, Treasurer and Chief Financial Officer, of Lifetime Brands, Inc., a Delaware corporation (the “Company”), each hereby certify that:</w:t>
      </w:r>
    </w:p>
    <w:p>
      <w:pPr>
        <w:spacing w:after="0" w:line="170" w:lineRule="exact"/>
        <w:rPr>
          <w:sz w:val="20"/>
          <w:szCs w:val="20"/>
          <w:color w:val="auto"/>
        </w:rPr>
      </w:pPr>
    </w:p>
    <w:p>
      <w:pPr>
        <w:ind w:left="660" w:right="440" w:hanging="328"/>
        <w:spacing w:after="0" w:line="277" w:lineRule="auto"/>
        <w:tabs>
          <w:tab w:leader="none" w:pos="6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periodic report on Form 10-Q for the period ended June 30, 2022 (the “Form 10-Q”)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B. Kay</w:t>
            </w:r>
          </w:p>
        </w:tc>
        <w:tc>
          <w:tcPr>
            <w:tcW w:w="120" w:type="dxa"/>
            <w:vAlign w:val="bottom"/>
          </w:tcPr>
          <w:p>
            <w:pPr>
              <w:spacing w:after="0"/>
              <w:rPr>
                <w:sz w:val="20"/>
                <w:szCs w:val="20"/>
                <w:color w:val="auto"/>
              </w:rPr>
            </w:pP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Laurence Winoker</w:t>
            </w:r>
          </w:p>
        </w:tc>
      </w:tr>
      <w:tr>
        <w:trPr>
          <w:trHeight w:val="159"/>
        </w:trPr>
        <w:tc>
          <w:tcPr>
            <w:tcW w:w="486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Robert B. Kay</w:t>
            </w:r>
          </w:p>
        </w:tc>
        <w:tc>
          <w:tcPr>
            <w:tcW w:w="5800" w:type="dxa"/>
            <w:vAlign w:val="bottom"/>
          </w:tcPr>
          <w:p>
            <w:pPr>
              <w:ind w:left="20"/>
              <w:spacing w:after="0" w:line="159" w:lineRule="exact"/>
              <w:rPr>
                <w:sz w:val="20"/>
                <w:szCs w:val="20"/>
                <w:color w:val="auto"/>
              </w:rPr>
            </w:pPr>
            <w:r>
              <w:rPr>
                <w:rFonts w:ascii="Arial" w:cs="Arial" w:eastAsia="Arial" w:hAnsi="Arial"/>
                <w:sz w:val="16"/>
                <w:szCs w:val="16"/>
                <w:color w:val="auto"/>
              </w:rPr>
              <w:t>Laurence Winoker</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Chief Executive Officer and Director</w:t>
            </w:r>
          </w:p>
        </w:tc>
        <w:tc>
          <w:tcPr>
            <w:tcW w:w="5800" w:type="dxa"/>
            <w:vAlign w:val="bottom"/>
          </w:tcPr>
          <w:p>
            <w:pPr>
              <w:ind w:left="20"/>
              <w:spacing w:after="0"/>
              <w:rPr>
                <w:sz w:val="20"/>
                <w:szCs w:val="20"/>
                <w:color w:val="auto"/>
              </w:rPr>
            </w:pPr>
            <w:r>
              <w:rPr>
                <w:rFonts w:ascii="Arial" w:cs="Arial" w:eastAsia="Arial" w:hAnsi="Arial"/>
                <w:sz w:val="16"/>
                <w:szCs w:val="16"/>
                <w:color w:val="auto"/>
              </w:rPr>
              <w:t>Executive Vice President, Treasurer and Chief Financial Officer</w:t>
            </w:r>
          </w:p>
        </w:tc>
      </w:tr>
      <w:tr>
        <w:trPr>
          <w:trHeight w:val="505"/>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Date: August 4, 2022</w:t>
            </w:r>
          </w:p>
        </w:tc>
        <w:tc>
          <w:tcPr>
            <w:tcW w:w="5800" w:type="dxa"/>
            <w:vAlign w:val="bottom"/>
          </w:tcPr>
          <w:p>
            <w:pPr>
              <w:ind w:left="20"/>
              <w:spacing w:after="0"/>
              <w:rPr>
                <w:sz w:val="20"/>
                <w:szCs w:val="20"/>
                <w:color w:val="auto"/>
              </w:rPr>
            </w:pPr>
            <w:r>
              <w:rPr>
                <w:rFonts w:ascii="Arial" w:cs="Arial" w:eastAsia="Arial" w:hAnsi="Arial"/>
                <w:sz w:val="18"/>
                <w:szCs w:val="18"/>
                <w:color w:val="auto"/>
              </w:rPr>
              <w:t>Date: August 4, 2022</w:t>
            </w:r>
          </w:p>
        </w:tc>
      </w:tr>
    </w:tbl>
    <w:p>
      <w:pPr>
        <w:spacing w:after="0" w:line="29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certification required by 18 U.S.C. Section 1350 has been provided to Lifetime Brands, Inc. and will be retained by Lifetime Brands, Inc. and furnished to the SEC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lvl w:ilvl="1">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lowerRoman"/>
      <w:start w:val="10"/>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lvl w:ilvl="1">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lowerRoman"/>
      <w:start w:val="10"/>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2"/>
    </w:lvl>
  </w:abstractNum>
  <w:abstractNum w:abstractNumId="16">
    <w:nsid w:val="3F2DBA31"/>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17">
    <w:nsid w:val="7C83E45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2022-08-04T16:02:17Z</dcterms:created>
  <dcterms:modified xsi:type="dcterms:W3CDTF">2022-08-04T16:02:17Z</dcterms:modified>
</cp:coreProperties>
</file>