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11-2682486</w:t>
      </w:r>
    </w:p>
    <w:p>
      <w:pPr>
        <w:spacing w:after="0" w:line="31" w:lineRule="exact"/>
        <w:rPr>
          <w:sz w:val="24"/>
          <w:szCs w:val="24"/>
          <w:color w:val="auto"/>
        </w:rPr>
      </w:pPr>
    </w:p>
    <w:p>
      <w:pPr>
        <w:sectPr>
          <w:pgSz w:w="11900" w:h="16838" w:orient="portrait"/>
          <w:cols w:equalWidth="0" w:num="2">
            <w:col w:w="7500" w:space="720"/>
            <w:col w:w="3200"/>
          </w:cols>
          <w:pgMar w:left="240" w:top="230" w:right="2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 Stewart Avenue, Garden City, New York, 11530</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9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July 31, 2017 was 14,798,440.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JUNE 30, 2017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1"/>
        </w:trPr>
        <w:tc>
          <w:tcPr>
            <w:tcW w:w="1120" w:type="dxa"/>
            <w:vAlign w:val="bottom"/>
            <w:gridSpan w:val="2"/>
            <w:vMerge w:val="continue"/>
          </w:tcPr>
          <w:p>
            <w:pPr>
              <w:spacing w:after="0"/>
              <w:rPr>
                <w:sz w:val="17"/>
                <w:szCs w:val="17"/>
                <w:color w:val="auto"/>
              </w:rPr>
            </w:pPr>
          </w:p>
        </w:tc>
        <w:tc>
          <w:tcPr>
            <w:tcW w:w="9500" w:type="dxa"/>
            <w:vAlign w:val="bottom"/>
            <w:gridSpan w:val="14"/>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June 30, 2017 (unaudited) and December 31, 2016</w:t>
              </w:r>
            </w:hyperlink>
          </w:p>
        </w:tc>
        <w:tc>
          <w:tcPr>
            <w:tcW w:w="27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 Three and Six Months Ended June 30, 2017 and 2016</w:t>
              </w:r>
            </w:hyperlink>
          </w:p>
        </w:tc>
        <w:tc>
          <w:tcPr>
            <w:tcW w:w="9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 – Three and Six Months Ended June 30, 2017</w:t>
              </w:r>
            </w:hyperlink>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2016</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–Six Months Ended June 30, 2017 and 2016</w:t>
              </w:r>
            </w:hyperlink>
          </w:p>
        </w:tc>
        <w:tc>
          <w:tcPr>
            <w:tcW w:w="16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Borders>
              <w:top w:val="single" w:sz="8" w:color="0000EE"/>
            </w:tcBorders>
            <w:gridSpan w:val="8"/>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Review Report of Independent Registered Public Accounting Firm</w:t>
              </w:r>
            </w:hyperlink>
          </w:p>
        </w:tc>
        <w:tc>
          <w:tcPr>
            <w:tcW w:w="46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0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72"/>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774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18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1"/>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1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31"/>
        </w:trPr>
        <w:tc>
          <w:tcPr>
            <w:tcW w:w="11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9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 less allowances of $4,349 at June 30, 2017 and $5,725 at December 31, 2016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67,509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104,556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(Note 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167,428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135,212</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8,796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receivable (Note H)</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251,426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256,447</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INVESTMENTS (Note B)</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25,170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(Note C)</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88,129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DEFERRED INCOME TAXES (Note H)</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r>
      <w:tr>
        <w:trPr>
          <w:trHeight w:val="223"/>
        </w:trPr>
        <w:tc>
          <w:tcPr>
            <w:tcW w:w="910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395,182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399,854</w:t>
            </w:r>
          </w:p>
        </w:tc>
        <w:tc>
          <w:tcPr>
            <w:tcW w:w="10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maturity of Credit Agreement Term Loan (Note D)</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9,343</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Short term loan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29,698</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37,159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45,212</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(Note H)</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r>
      <w:tr>
        <w:trPr>
          <w:trHeight w:val="223"/>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91,286</w:t>
            </w:r>
          </w:p>
        </w:tc>
        <w:tc>
          <w:tcPr>
            <w:tcW w:w="10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DEFERRED INCOME TAXES (Note H)</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6,161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(Note 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Preferred stock, $1.00 par value, shares authorized: 100 shares of Series A and 2,000,000 shares of Series B; none</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$.01 par value, shares authorized: 50,000,000 at June 30, 2017 and December 31, 2016; shares issued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00" w:type="dxa"/>
            <w:vAlign w:val="bottom"/>
          </w:tcPr>
          <w:p>
            <w:pPr>
              <w:ind w:left="540"/>
              <w:spacing w:after="0"/>
              <w:rPr>
                <w:sz w:val="20"/>
                <w:szCs w:val="20"/>
                <w:color w:val="auto"/>
              </w:rPr>
            </w:pPr>
            <w:r>
              <w:rPr>
                <w:rFonts w:ascii="Arial" w:cs="Arial" w:eastAsia="Arial" w:hAnsi="Arial"/>
                <w:sz w:val="18"/>
                <w:szCs w:val="18"/>
                <w:color w:val="auto"/>
              </w:rPr>
              <w:t>and outstanding: 14,797,690 at June 30, 2017 and 14,555,936 at December 31, 2016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173,600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56,210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60,981</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(Note K)</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(31,666)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(36,999)</w:t>
            </w: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201,180</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197,728</w:t>
            </w:r>
          </w:p>
        </w:tc>
        <w:tc>
          <w:tcPr>
            <w:tcW w:w="100" w:type="dxa"/>
            <w:vAlign w:val="bottom"/>
          </w:tcPr>
          <w:p>
            <w:pPr>
              <w:spacing w:after="0"/>
              <w:rPr>
                <w:sz w:val="20"/>
                <w:szCs w:val="20"/>
                <w:color w:val="auto"/>
              </w:rPr>
            </w:pPr>
          </w:p>
        </w:tc>
      </w:tr>
      <w:tr>
        <w:trPr>
          <w:trHeight w:val="230"/>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395,182</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399,854</w:t>
            </w:r>
          </w:p>
        </w:tc>
      </w:tr>
      <w:tr>
        <w:trPr>
          <w:trHeight w:val="20"/>
        </w:trPr>
        <w:tc>
          <w:tcPr>
            <w:tcW w:w="9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- 2 -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117,393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230,749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144,011</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145,430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Distribution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26,015</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 (Note D)</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Loss before income taxes and equity in earnings</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(Note H)</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Equity in earnings (losses), net of taxes (Note B)</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COMMON SHARE (NOTE G)</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COMMON SHARE (NOTE G)</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gridSpan w:val="2"/>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0.0425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0.0425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0.085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independent registered public accounting firm review report and notes to unaudited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(1,191)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$(3,427)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(3,076)</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(4,755)</w:t>
            </w: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(4,775)</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$ 1,233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(4,258)</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(10,254)</w:t>
            </w: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- 4 -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Six Months Ended</w:t>
      </w:r>
    </w:p>
    <w:p>
      <w:pPr>
        <w:jc w:val="center"/>
        <w:ind w:left="93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(5,479)</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7,062</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(earnings) losses, net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Gain on disposal of fixed assets</w:t>
            </w:r>
          </w:p>
        </w:tc>
        <w:tc>
          <w:tcPr>
            <w:tcW w:w="10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37,950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(30,769)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(16,357)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(4,311)</w:t>
            </w:r>
          </w:p>
        </w:tc>
      </w:tr>
      <w:tr>
        <w:trPr>
          <w:trHeight w:val="216"/>
        </w:trPr>
        <w:tc>
          <w:tcPr>
            <w:tcW w:w="20" w:type="dxa"/>
            <w:vAlign w:val="bottom"/>
          </w:tcPr>
          <w:p>
            <w:pPr>
              <w:spacing w:after="0"/>
              <w:rPr>
                <w:sz w:val="18"/>
                <w:szCs w:val="18"/>
                <w:color w:val="auto"/>
              </w:rPr>
            </w:pPr>
          </w:p>
        </w:tc>
        <w:tc>
          <w:tcPr>
            <w:tcW w:w="942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(5,031)</w:t>
            </w:r>
          </w:p>
        </w:tc>
      </w:tr>
      <w:tr>
        <w:trPr>
          <w:trHeight w:val="27"/>
        </w:trPr>
        <w:tc>
          <w:tcPr>
            <w:tcW w:w="2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(19,575)</w:t>
            </w: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Proceeds from disposition of GSI</w:t>
            </w:r>
          </w:p>
        </w:tc>
        <w:tc>
          <w:tcPr>
            <w:tcW w:w="10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r>
      <w:tr>
        <w:trPr>
          <w:trHeight w:val="230"/>
        </w:trPr>
        <w:tc>
          <w:tcPr>
            <w:tcW w:w="20" w:type="dxa"/>
            <w:vAlign w:val="bottom"/>
          </w:tcPr>
          <w:p>
            <w:pPr>
              <w:spacing w:after="0"/>
              <w:rPr>
                <w:sz w:val="20"/>
                <w:szCs w:val="20"/>
                <w:color w:val="auto"/>
              </w:rPr>
            </w:pPr>
          </w:p>
        </w:tc>
        <w:tc>
          <w:tcPr>
            <w:tcW w:w="94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123,534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120,334</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(110,937)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(79,206)</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Repayment of Credit Agreement Term Loan</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(20,500)</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Payments on Short Term Loan</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Payments for capital leases</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94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 (Note K)</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r>
      <w:tr>
        <w:trPr>
          <w:trHeight w:val="230"/>
        </w:trPr>
        <w:tc>
          <w:tcPr>
            <w:tcW w:w="20" w:type="dxa"/>
            <w:vAlign w:val="bottom"/>
          </w:tcPr>
          <w:p>
            <w:pPr>
              <w:spacing w:after="0"/>
              <w:rPr>
                <w:sz w:val="20"/>
                <w:szCs w:val="20"/>
                <w:color w:val="auto"/>
              </w:rPr>
            </w:pPr>
          </w:p>
        </w:tc>
        <w:tc>
          <w:tcPr>
            <w:tcW w:w="942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8"/>
                <w:szCs w:val="18"/>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260" w:right="360"/>
        <w:spacing w:after="0" w:line="449" w:lineRule="auto"/>
        <w:rPr>
          <w:sz w:val="20"/>
          <w:szCs w:val="20"/>
          <w:color w:val="auto"/>
        </w:rPr>
      </w:pPr>
      <w:r>
        <w:rPr>
          <w:rFonts w:ascii="Arial" w:cs="Arial" w:eastAsia="Arial" w:hAnsi="Arial"/>
          <w:sz w:val="18"/>
          <w:szCs w:val="18"/>
          <w:color w:val="auto"/>
        </w:rPr>
        <w:t>See accompanying independent registered public accounting firm review report and notes to unaudited condensed consolidated financial statements. - 5 -</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4500"/>
        <w:spacing w:after="0" w:line="378" w:lineRule="auto"/>
        <w:rPr>
          <w:sz w:val="20"/>
          <w:szCs w:val="20"/>
          <w:color w:val="auto"/>
        </w:rPr>
      </w:pPr>
      <w:r>
        <w:rPr>
          <w:rFonts w:ascii="Arial" w:cs="Arial" w:eastAsia="Arial" w:hAnsi="Arial"/>
          <w:sz w:val="18"/>
          <w:szCs w:val="18"/>
          <w:b w:val="1"/>
          <w:bCs w:val="1"/>
          <w:color w:val="auto"/>
        </w:rPr>
        <w:t>NOTE A — BASIS OF PRESENTATION AND SUMMARY ACCOUNTING POLICIES Organization and business</w:t>
      </w:r>
    </w:p>
    <w:p>
      <w:pPr>
        <w:ind w:right="160"/>
        <w:spacing w:after="0" w:line="302" w:lineRule="auto"/>
        <w:rPr>
          <w:sz w:val="20"/>
          <w:szCs w:val="20"/>
          <w:color w:val="auto"/>
        </w:rPr>
      </w:pPr>
      <w:r>
        <w:rPr>
          <w:rFonts w:ascii="Arial" w:cs="Arial" w:eastAsia="Arial" w:hAnsi="Arial"/>
          <w:sz w:val="16"/>
          <w:szCs w:val="16"/>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its Pfaltzgraff, Mikasa, Fred and Friends, Built NY, Lifetime Sterling and The English Table internet websites.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U.S. generally accepted accounting principles for complete financial statements. In the opinion of management, all adjustments considered necessary for a fair presentation, which consist only of normal recurring accruals, have been included. These condensed consolidated financial statements should be read in conjunction with the condensed consolidated financial statements and footnotes thereto included in the Company’s Annual Report on Form 10-K for the fiscal year ended December 31, 2016. Operating results for the three and six month periods ended June 30, 2017 are not necessarily indicative of the results that may be expected for the year ending December 31, 2017.</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2016 and 2015, net sales for the third and fourth quarters accounted for 61% and 59%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when title passes to the customer, which is primarily at the shipping point for wholesale sales and upon delivery to the customer for retail sales. Shipping and handling fees that are billed to customers in sales transactions are included in net sales and amounted to $431,000 and $497,000 for the three months ended June 30, 2017 and 2016, respectively, and $992,000 and $1,033,000 for the six months ended June 30, 2017 and 2016, respectively. Net sales exclude taxes that are collected from customers and remitted to the taxing authorities.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and an estimate of sales returns are reflected as reductions in net sales in the Company’s condensed consolidated statements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Company’s Receivable Purchase Agreement with HSBC, are reflected as a reduction of accounts receivable in the Company’s condensed consolidated balance sheet at the time of sale and any related expense is included in selling, general and administrative expenses in the Company’s condensed consolidated statements of operations. Pursuant to this agreement, the Company sold to HSBC $17.6 million and $39.2 million of Receivables during the three and six month periods ended June 30, 2017, respectively. A charge of $63,000 and $130,000 related to the sale of the Receivables is included in selling, general and administrative expenses in the condensed consolidated statement of operations for the three and six month periods ended June 30, 2017,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June 30,</w:t>
            </w:r>
          </w:p>
        </w:tc>
        <w:tc>
          <w:tcPr>
            <w:tcW w:w="1440" w:type="dxa"/>
            <w:vAlign w:val="bottom"/>
            <w:gridSpan w:val="4"/>
          </w:tcPr>
          <w:p>
            <w:pPr>
              <w:ind w:left="5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40" w:type="dxa"/>
            <w:vAlign w:val="bottom"/>
          </w:tcPr>
          <w:p>
            <w:pPr>
              <w:spacing w:after="0"/>
              <w:rPr>
                <w:sz w:val="14"/>
                <w:szCs w:val="14"/>
                <w:color w:val="auto"/>
              </w:rPr>
            </w:pPr>
          </w:p>
        </w:tc>
        <w:tc>
          <w:tcPr>
            <w:tcW w:w="7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600"/>
              <w:spacing w:after="0" w:line="142" w:lineRule="exact"/>
              <w:rPr>
                <w:sz w:val="20"/>
                <w:szCs w:val="20"/>
                <w:color w:val="auto"/>
              </w:rPr>
            </w:pPr>
            <w:r>
              <w:rPr>
                <w:rFonts w:ascii="Arial" w:cs="Arial" w:eastAsia="Arial" w:hAnsi="Arial"/>
                <w:sz w:val="14"/>
                <w:szCs w:val="14"/>
                <w:color w:val="auto"/>
                <w:w w:val="92"/>
              </w:rPr>
              <w:t>(in thousands)</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$164,645</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132,564</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 in process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167,428</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135,212</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determined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term loan and short term loan approximate fair value since such borrowings bear interest at variable market rates.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accounts for derivative instruments in accordance with Accounting Standard Codification (“ASC”) Topic No. 815, Derivatives and Hedging.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to the extent the derivative is considered highly effective in achieving offsetting changes in fair value or cash flows attributable to the risk being hedged, until the hedged item is recognized in earnings. If a derivative which is designated as part of a hedging relationship is considered ineffective in achieving offsetting changes in fair value or cash flows attributable to the risk being hedged, the changes in fair value are recorded in operations. For derivatives that do not qualify or are not designated as hedging instruments for accounting purposes, changes in fair value are recorded in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2016, to reduce costs and achieve synergies, the Company began the process of integrating its legal entities operating in Europe. During the three and six months ended June 30, 2017, the Company recorded $254,000, of restructuring expense related to the execution of this plan, primarily related to severance. The Company expects to incur approximately $0.7 million of additional restructuring charges in 2017 related to this integration.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December 2015, the Company commenced an in-depth review of its U.S. Wholesale business segment, which included the evaluation of the segment’s efficiency and effectiveness. The Company expanded this restructuring plan in the first quarter of 2016 to focus on more specific actions required to achieve the plan’s objectives. During the three and six months ended June 30, 2016, the Company recorded $1.1 million and $1.7 million, respectively, of restructuring expense related to the execution of this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after assessing qualitative factors, the Company determines that it is not more likely than not that the fair value of a reporting unit is less than its carrying amount, then performing the two-step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an unconditional option, the Company will proceed with performing the two-step process. 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IBNR claims, actual claims may vary significantly from estimated claims.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Effective January 1, 2017, the Company adopted Accounting Standard Update (“ASU”) 2016-09, </w:t>
      </w:r>
      <w:r>
        <w:rPr>
          <w:rFonts w:ascii="Arial" w:cs="Arial" w:eastAsia="Arial" w:hAnsi="Arial"/>
          <w:sz w:val="16"/>
          <w:szCs w:val="16"/>
          <w:i w:val="1"/>
          <w:iCs w:val="1"/>
          <w:color w:val="auto"/>
        </w:rPr>
        <w:t>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standard requires, on a prospective basis, all income tax effects of awards to be recognized in the income statement when the awards vest or</w:t>
      </w:r>
      <w:r>
        <w:rPr>
          <w:rFonts w:ascii="Arial" w:cs="Arial" w:eastAsia="Arial" w:hAnsi="Arial"/>
          <w:sz w:val="16"/>
          <w:szCs w:val="16"/>
          <w:i w:val="1"/>
          <w:iCs w:val="1"/>
          <w:color w:val="auto"/>
        </w:rPr>
        <w:t xml:space="preserve"> </w:t>
      </w:r>
      <w:r>
        <w:rPr>
          <w:rFonts w:ascii="Arial" w:cs="Arial" w:eastAsia="Arial" w:hAnsi="Arial"/>
          <w:sz w:val="16"/>
          <w:szCs w:val="16"/>
          <w:color w:val="auto"/>
        </w:rPr>
        <w:t>are settled. The standard also allows an employer to repurchase more of an employee’s shares than is currently allowed for tax withholding purposes without triggering liability accounting, and allows companies to make a policy election to account for forfeitures as they occur. In connection with the adoption of this standard, the Company adopted a policy to account for forfeitures as they occur on a modified retrospective basis. The change in policy of accounting for forfeitures resulted in a $46,000 decrease to retained earnings, net of tax, which the company recorded as of January 1, 2017. Upon adoption of ASU 2016-09, on a prospective basis, excess tax benefits from share-based award activity will be presented as an operating activity in the Company’s statement of cash flow.</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2017, the Company adopted ASU 2015-11, </w:t>
      </w:r>
      <w:r>
        <w:rPr>
          <w:rFonts w:ascii="Arial" w:cs="Arial" w:eastAsia="Arial" w:hAnsi="Arial"/>
          <w:sz w:val="16"/>
          <w:szCs w:val="16"/>
          <w:i w:val="1"/>
          <w:iCs w:val="1"/>
          <w:color w:val="auto"/>
        </w:rPr>
        <w:t>Inventory: Simplifying the Measurement of Inventory</w:t>
      </w:r>
      <w:r>
        <w:rPr>
          <w:rFonts w:ascii="Arial" w:cs="Arial" w:eastAsia="Arial" w:hAnsi="Arial"/>
          <w:sz w:val="16"/>
          <w:szCs w:val="16"/>
          <w:color w:val="auto"/>
        </w:rPr>
        <w:t>, which affects reporting entities that measure inventory using either the first-in, first-out or average cost method. Specifically, the guidance requires that inventory be measured at the lower of cost and net realizable value. Net realizable value is the estimated selling price in the ordinary course of business, less reasonably predictable cost of completion, disposal, and transportation. This adoption did not have a material impact on the Company’s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Financial Accounting Standards Board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is permitted for interim or annual goodwill impairment tests performed on testing dates after January 1, 2017. The Company is evaluating the effect of adopting this pronouncement.</w:t>
      </w:r>
    </w:p>
    <w:p>
      <w:pPr>
        <w:spacing w:after="0" w:line="18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to assist with evaluating whether transactions should be accounted for as acquisitions (or disposals) of assets or businesses. This guidance is effective for fiscal years beginning after December 15, 2017, and interim periods within those years. Early adoption is permitted for transactions not reported in financial statements that have been issued or made available for issuance.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requires a lessee to initially recognize a lease liability for the obligation to make lease payments, and a right-of-use asset, for the right to use the underlying asset for the lease term, on the lessee’s balance sheet. The guidance is effective for fiscal years beginning after December 15, 2018, and interim periods within with those years, and is required to be applied using a modified retrospective approach at the beginning of the earliest period presented. Early adoption is permitted. The Company is in the process of evaluating the effect the guidance will have on its existing accounting policies and its consolidated financial statements, but expects there will be an increase in assets and liabilities on the consolidated balance sheets at adoption due to the recording of the right-of-use assets and corresponding lease liabilities, which may be material.</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issued as a new Topic, ASC Topic 606, to clarify the principles of recognizing revenue and create common revenue recognition guidance under U.S. GAAP and International Financial Reporting Standards. Following the FASB’s finalization of a one year deferral of this standard, Topic 606 is now effective for fiscal years and interim periods within those fiscal years beginning after December 15, 2017, with early adoption permitted for fiscal years, and interim periods within those fiscal years, beginning on or after December 15, 2016. Topic 606 can be adopted either retrospectively to each reporting period presented or as a cumulative effect adjustment as of the date of the adoption.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In March 2016, the FASB issued Accounting Standards Update No. 2016-08,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(Topic 606): Principal versus Agent Considerations (Reporting Revenue Gross versus Net) </w:t>
      </w:r>
      <w:r>
        <w:rPr>
          <w:rFonts w:ascii="Arial" w:cs="Arial" w:eastAsia="Arial" w:hAnsi="Arial"/>
          <w:sz w:val="17"/>
          <w:szCs w:val="17"/>
          <w:color w:val="auto"/>
        </w:rPr>
        <w:t>which clarifies the implementation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versus agent considerations.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intends to adopt the new guidance provided under Topic 606 on January 1, 2018, with a cumulative-effect adjustment to opening retained earnings under the modified retrospective approach. Currently, the Company recognizes revenue when title passes to customers and incentives and promotions are recognized as a reduction of revenue, which generally reflects the consideration the Company expects to receive in exchange for the goods sold. The Company’s implementation of this ASU includes the evaluation of its customer agreements to identify terms or conditions that could be considered a performance obligation such that, if material to the terms of the contract, consideration would be allocated to the performance obligation and could accelerate or defer the timing of recognizing revenue. The Company continues to evaluate the presentation of certain contract costs (whether presented gross or offset against revenues) and its principal versus agent arrangements.</w:t>
      </w:r>
    </w:p>
    <w:p>
      <w:pPr>
        <w:spacing w:after="0" w:line="17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Company’s evaluation of the new guidance provided under Topic 606 is not yet complete; however, based on the nature of the Company’s primary revenue sources and current policies, the Company does not expect a significant change in the timing and presentation of recognizing its revenue.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—INVESTMENTS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owns an approximately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three and six month periods ended June 30, 2017 and 2016 in the accompanying condensed consolidated statements of operations. The value of the Company’s investment balance has been translated from Mexican Pesos (“MXN”) to U.S. Dollars (“USD”) using the spot rates of MXN 18.05 and MXN 20.70 at June 30, 2017 and December 31, 2016, respectively. The Company’s proportionate share of Vasconia’s net income has been translated from MXN to USD using the average exchange rates of MXN 18.54 and MXN 18.09 during the three months ended June 30, 2017 and 2016, respectively, and MXN 18.54 to MXN 20.30 and MXN 18.06 to MXN 18.07 during the six months ended June 30, 2017 and 2016, respectively. The effect of the translation of the Company’s investment resulted in an increase to the investment of $1.8 million and a decrease to the investment of $1.7 million during the six months ended June 30, 2017 and 2016, respectively (also see Note K). These translation effects are recorded in accumulated other comprehensive income (loss). Included within prepaid expenses and other current assets at June 30, 2017 and December 31, 2016 are amounts due from Vasconia of $85,000 and $83,000, respectively. Included within accrued expenses and accounts payable at June 30, 2017 and December 31, 2016 are amounts due to Vasconia of $24,000 and $220,000,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summarized statement of income information for Vasconia in USD and MXN is as follows:</w:t>
      </w:r>
    </w:p>
    <w:p>
      <w:pPr>
        <w:spacing w:after="0" w:line="244"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Three Months Ended</w:t>
      </w:r>
    </w:p>
    <w:p>
      <w:pPr>
        <w:jc w:val="center"/>
        <w:ind w:left="64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66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23"/>
        </w:trPr>
        <w:tc>
          <w:tcPr>
            <w:tcW w:w="6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5"/>
          </w:tcPr>
          <w:p>
            <w:pPr>
              <w:ind w:left="480"/>
              <w:spacing w:after="0" w:line="123"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52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color w:val="auto"/>
              </w:rPr>
              <w:t>USD</w:t>
            </w:r>
          </w:p>
        </w:tc>
        <w:tc>
          <w:tcPr>
            <w:tcW w:w="30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color w:val="auto"/>
              </w:rPr>
              <w:t>MXN</w:t>
            </w:r>
          </w:p>
        </w:tc>
        <w:tc>
          <w:tcPr>
            <w:tcW w:w="18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USD</w:t>
            </w:r>
          </w:p>
        </w:tc>
        <w:tc>
          <w:tcPr>
            <w:tcW w:w="2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MXN</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$41,736</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773,825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$37,854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684,771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143,790</w:t>
            </w: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7,446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134,700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31,258</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37,502</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1,168</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21,663</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516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9,335</w:t>
            </w:r>
          </w:p>
        </w:tc>
      </w:tr>
      <w:tr>
        <w:trPr>
          <w:trHeight w:val="328"/>
        </w:trPr>
        <w:tc>
          <w:tcPr>
            <w:tcW w:w="6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6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23"/>
        </w:trPr>
        <w:tc>
          <w:tcPr>
            <w:tcW w:w="6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5"/>
          </w:tcPr>
          <w:p>
            <w:pPr>
              <w:ind w:left="480"/>
              <w:spacing w:after="0" w:line="123"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52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color w:val="auto"/>
              </w:rPr>
              <w:t>USD</w:t>
            </w:r>
          </w:p>
        </w:tc>
        <w:tc>
          <w:tcPr>
            <w:tcW w:w="30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color w:val="auto"/>
              </w:rPr>
              <w:t>MXN</w:t>
            </w:r>
          </w:p>
        </w:tc>
        <w:tc>
          <w:tcPr>
            <w:tcW w:w="18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color w:val="auto"/>
              </w:rPr>
              <w:t>USD</w:t>
            </w:r>
          </w:p>
        </w:tc>
        <w:tc>
          <w:tcPr>
            <w:tcW w:w="2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MXN</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$78,558</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$1,521,320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$75,178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$1,357,349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15,609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303,211</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12,864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232,334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80,587</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54,135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46,706</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736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13,294</w:t>
            </w:r>
          </w:p>
        </w:tc>
      </w:tr>
    </w:tbl>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recorded equity in earnings of Vasconia of $458,000 and $998,000, net of taxes, for the three and six months ended June 30, 2017, respectively. The Company recorded equity in losses of Vasconia of $171,000 and $321,000, net of taxes, for the three and six months ended June 30, 2016, respectively. Due to the requirement to record tax benefits/expenses for foreign currency translation losses/gains through other comprehensive income (loss), with a corresponding adjustment to deferred tax liabilities, equity in earnings for the three and six months ended June 30, 2017 includes a deferred tax benefit of $0.1 million and $0.4 million, respectively. Equity in losses for the three and six months ended June 30, 2016 includes deferred tax expense of $0.3 million and $0.5 million,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2017 and December 31, 2016, the fair value (based upon Vasconia’s quoted stock price) of the Company’s investment in Vasconia was $34.0 million and $29.0 million, respectively. The carrying value of the Company’s investment in Vasconia was $24.9 million and $22.5 million as of June 30, 2017 and December 31, 2016, respectively.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Company evaluated the disclosure requirements of ASC Topic No.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and determined that at June 30, 2017, the Company did not have a controlling voting interest or variable interest in any of its investments and therefore continued accounting for the investments using the equity method of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June 30, 2017</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2016</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Finite-lived intangible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31,763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(9,679)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(8,286)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(14,569)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(762)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122,288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(34,159)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119,452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12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Company’s Second Amended and Restated Credit Agreement with JPMorgan Chase Bank, N.A, as Administrative Agent and Co-Collateral Agent, and HSBC Bank USA, National Association, as Syndication Agent and Co-Collateral Agent, and the other Lenders and Loan Parties party thereto, as amended, (the “Credit Agreement”), which expires in January 2019, provides for, among other things, a revolving credit facility commitment totaling $175.0 million, $40.0 million of which is available for multi-currency borrowings (the “Revolving Credit Facility”) and a term loan facility (the “Term Loan”).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June 30, 2017 and December 31, 2016, borrowings outstanding under the Revolving Credit Facility were $99.0 million and $86.2 million, respectively, and open letters of credit were $2.8 million and $2.4 million, respectively. In April 2017, the Company repaid the $7.0 million outstanding balance under the Term Loan. As of June 30, 2017 and December 31, 2016, $0 and $9.5 million was outstanding under the Term Loan, respectively. At June 30, 2017 and December 31, 2016, unamortized debt issuance costs were $0 and $157,000, respectively.</w:t>
      </w:r>
    </w:p>
    <w:p>
      <w:pPr>
        <w:spacing w:after="0" w:line="18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June 30, 2017, availability under the Revolving Credit Facility was approximately $62.8 million. The borrowing capacity under the Revolving Credit Facility depends, in part, on eligible levels of accounts receivable and inventory that fluctuate regularly, and certain trademark values based upon periodic appraisals, and may be lower in the first and second quarters when the Company’s inventory level is lower due to seasonality.</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payment obligations under the Revolving Credit Facility are unconditionally guaranteed by each of its existing U.S. subsidiaries and will be unconditionally guaranteed by each of its future U.S.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payment obligations under the Revolving Credit Facility are also direct obligations of its foreign subsidiary borrowers designated as such under the Credit Agreement and, subject to limitations on such guaranties, are guaranteed by the foreign subsidiary borrowers, as well as by the Company. The obligations of the Company under the Revolving Credit Facility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a first-priority lien, subject to certain permitted liens, with respect to the assets of the Company and its domestic subsidiaries pledged as collateral in favor of lenders under the Revolving Credit Facility.</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rates on outstanding borrowings at June 30, 2017 ranged from 2.25% to 5.25%. In addition, the Company pays a commitment fee of 0.375% on the unused portion of the Revolving Credit Facility.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Credit Agreement provides for customary restrictions and events of default. Restrictions include limitations on additional indebtedness, acquisitions, investments and payment of dividends, among other things. Further, the Credit Agreement provides that at any time any Term Loan is outstanding or at any time no Term Loan is outstanding and availability under the Revolving Credit Facility is less than $17.5 million and continuing until availability of at least $20.0 million is maintained for three consecutive months, the Company is required to maintain a minimum fixed charge coverage ratio of 1.20 to 1.00 for each of four consecutive fiscal quarter periods. The Company was in compliance with the financial covenants of the Credit Agreement as of June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DERIVATIVES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is a party to interest rate swap agreements with an aggregate notional value of $10.5 million and $14.0 million, at June 30, 2017 and December 31, 2016, respectively, to manage interest rate exposure in connection with its variable interest rate borrowings. The hedge periods of these agreements commenced in March 2013 and expire in June 2018 and the notional amounts amortize over these periods. The interest rate swap agreements were designated as cash flow hedges under ASC Topic No. 815. The effective portion of the fair value gain or loss on these agreements is recorded as a component of accumulated other comprehensive income (loss).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has also entered into certain foreign exchange contracts, primarily to offset the earnings impact related to fluctuations in foreign currency exchange rates associated with sales and inventory purchases denominated in foreign currencies. The aggregate gross notional value of foreign exchange contracts at June 30, 2017 and December 31, 2016 were $44.6 million and $38.3 million, respectively. These foreign exchange contracts have not been designated as hedges as required in order to apply hedge accounting. The changes in the fair value of these contracts are recorded in earnings immediately.</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Balance Sheet Location</w:t>
            </w:r>
          </w:p>
        </w:tc>
        <w:tc>
          <w:tcPr>
            <w:tcW w:w="4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920" w:type="dxa"/>
            <w:vAlign w:val="bottom"/>
            <w:gridSpan w:val="3"/>
          </w:tcPr>
          <w:p>
            <w:pPr>
              <w:ind w:left="116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ind w:left="1160"/>
              <w:spacing w:after="0" w:line="201" w:lineRule="exact"/>
              <w:rPr>
                <w:sz w:val="20"/>
                <w:szCs w:val="20"/>
                <w:color w:val="auto"/>
              </w:rPr>
            </w:pPr>
            <w:r>
              <w:rPr>
                <w:rFonts w:ascii="Arial" w:cs="Arial" w:eastAsia="Arial" w:hAnsi="Arial"/>
                <w:sz w:val="18"/>
                <w:szCs w:val="18"/>
                <w:color w:val="auto"/>
              </w:rPr>
              <w:t>Deferred rent &amp;</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96"/>
              </w:rPr>
              <w:t>other long-term liability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9"/>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8"/>
              </w:rPr>
              <w:t>Balance Sheet Location</w:t>
            </w:r>
          </w:p>
        </w:tc>
        <w:tc>
          <w:tcPr>
            <w:tcW w:w="48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Foreign exchange contracts</w:t>
            </w: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Prepaid expenses</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7"/>
              </w:rPr>
              <w:t>and other current assets</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814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designated as hedging instruments are recognized in other comprehensive income (loss)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 amounts recorded in accumulated other comprehensive income (loss) are expected to be reclassified to interest expense in the next twelve months.</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0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65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 in Earnings on</w:t>
            </w:r>
          </w:p>
        </w:tc>
        <w:tc>
          <w:tcPr>
            <w:tcW w:w="200" w:type="dxa"/>
            <w:vAlign w:val="bottom"/>
          </w:tcPr>
          <w:p>
            <w:pPr>
              <w:spacing w:after="0"/>
              <w:rPr>
                <w:sz w:val="14"/>
                <w:szCs w:val="14"/>
                <w:color w:val="auto"/>
              </w:rPr>
            </w:pPr>
          </w:p>
        </w:tc>
        <w:tc>
          <w:tcPr>
            <w:tcW w:w="980" w:type="dxa"/>
            <w:vAlign w:val="bottom"/>
            <w:gridSpan w:val="2"/>
          </w:tcPr>
          <w:p>
            <w:pPr>
              <w:jc w:val="center"/>
              <w:ind w:left="384"/>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500" w:type="dxa"/>
            <w:vAlign w:val="bottom"/>
          </w:tcPr>
          <w:p>
            <w:pPr>
              <w:spacing w:after="0" w:line="142" w:lineRule="exact"/>
              <w:rPr>
                <w:sz w:val="20"/>
                <w:szCs w:val="20"/>
                <w:color w:val="auto"/>
              </w:rPr>
            </w:pPr>
            <w:r>
              <w:rPr>
                <w:rFonts w:ascii="Arial" w:cs="Arial" w:eastAsia="Arial" w:hAnsi="Arial"/>
                <w:sz w:val="14"/>
                <w:szCs w:val="14"/>
                <w:b w:val="1"/>
                <w:bCs w:val="1"/>
                <w:color w:val="auto"/>
              </w:rPr>
              <w:t>Derivatives not designated as hedging instruments</w:t>
            </w: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Derivatives</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(1,377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(1,566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$ 867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administrative expense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F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June 22, 2017, the shareholders of the Company approved an amendment to the Company’s Amended and Restated 2000 Long-Term Incentive Plan (the “Plan”). The Plan revised the terms and conditions of the Amended and Restated 2000 Long-Term Incentive Plan to increase the shares available for grant under the plan by 437,500 shares, permit certain awards under the Plan to continue to qualify for the exemption from the $1.0 million deduction limit under Section 162(m) of the Internal Revenue Code of 1986, as amended (the “Code”), and include and clarify several features that promote good governance.</w:t>
      </w:r>
    </w:p>
    <w:p>
      <w:pPr>
        <w:spacing w:after="0" w:line="15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June 30, 2017, there were 499,577 shares available for awards that could be granted under the Company’s Amended and Restated 2000 Long-Term Incentive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six months ended June 30, 2017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remaining</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life (years)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1,775,400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Grants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17.38</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Cancellations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15.98</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Options outstanding, June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1,739,200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4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$ 8,114,000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June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1,468,506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$ 7,694,000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June 30, 2017. The intrinsic value is calculated for each in-the-money stock option as the difference between the closing price of the Company’s common stock on June 30, 2017 and the exercise price.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for the six month periods ended June 30, 2017 and 2016 was $0.9 million and $0.9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a stock option that is exercised is calculated at the date of exercise.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unrecognized stock option compensation expense at June 30, 2017, before the effect of income taxes, was $1.6 million and is expected to be recognized over a weighted-average period of 2.3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six months ended June 30, 2017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January 1, 2017</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130,352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June 30, 2017</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227,608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$3,748,000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six months ended June 30, 2017 was $1.2 million.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by the end of the performance periods, as determined by the Compensation Committee. The shares are subject to the terms and conditions of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performance-based award activity and related information for the six months ended June 30, 2017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5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58"/>
        </w:trPr>
        <w:tc>
          <w:tcPr>
            <w:tcW w:w="5460" w:type="dxa"/>
            <w:vAlign w:val="bottom"/>
          </w:tcPr>
          <w:p>
            <w:pPr>
              <w:spacing w:after="0"/>
              <w:rPr>
                <w:sz w:val="13"/>
                <w:szCs w:val="13"/>
                <w:color w:val="auto"/>
              </w:rPr>
            </w:pPr>
          </w:p>
        </w:tc>
        <w:tc>
          <w:tcPr>
            <w:tcW w:w="2280" w:type="dxa"/>
            <w:vAlign w:val="bottom"/>
            <w:gridSpan w:val="3"/>
          </w:tcPr>
          <w:p>
            <w:pPr>
              <w:jc w:val="center"/>
              <w:ind w:left="778"/>
              <w:spacing w:after="0" w:line="158" w:lineRule="exact"/>
              <w:rPr>
                <w:sz w:val="20"/>
                <w:szCs w:val="20"/>
                <w:color w:val="auto"/>
              </w:rPr>
            </w:pPr>
            <w:r>
              <w:rPr>
                <w:rFonts w:ascii="Arial" w:cs="Arial" w:eastAsia="Arial" w:hAnsi="Arial"/>
                <w:sz w:val="14"/>
                <w:szCs w:val="14"/>
                <w:b w:val="1"/>
                <w:bCs w:val="1"/>
                <w:color w:val="auto"/>
                <w:w w:val="95"/>
              </w:rPr>
              <w:t>Performance-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grant</w:t>
            </w:r>
          </w:p>
        </w:tc>
      </w:tr>
      <w:tr>
        <w:trPr>
          <w:trHeight w:val="149"/>
        </w:trPr>
        <w:tc>
          <w:tcPr>
            <w:tcW w:w="5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based awards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r>
      <w:tr>
        <w:trPr>
          <w:trHeight w:val="162"/>
        </w:trPr>
        <w:tc>
          <w:tcPr>
            <w:tcW w:w="5460" w:type="dxa"/>
            <w:vAlign w:val="bottom"/>
          </w:tcPr>
          <w:p>
            <w:pPr>
              <w:spacing w:after="0"/>
              <w:rPr>
                <w:sz w:val="14"/>
                <w:szCs w:val="14"/>
                <w:color w:val="auto"/>
              </w:rPr>
            </w:pPr>
          </w:p>
        </w:tc>
        <w:tc>
          <w:tcPr>
            <w:tcW w:w="2000" w:type="dxa"/>
            <w:vAlign w:val="bottom"/>
            <w:gridSpan w:val="2"/>
          </w:tcPr>
          <w:p>
            <w:pPr>
              <w:jc w:val="center"/>
              <w:ind w:left="1058"/>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2017</w:t>
            </w:r>
          </w:p>
        </w:tc>
        <w:tc>
          <w:tcPr>
            <w:tcW w:w="1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Grants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87,000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Cancellations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Non-vested performance-based awards, June 30, 2017</w:t>
            </w:r>
          </w:p>
        </w:tc>
        <w:tc>
          <w:tcPr>
            <w:tcW w:w="1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232,170</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$ 2,511,000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1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recognized total stock compensation expense of $0.7 million for the three months ended June 30, 2017, of which $0.2 million represents stock option compensation expense and $0.5 million represents restricted stock and performance based compensation expense. For the six months ended June 30, 2017 the Company recognized total stock compensation expense of $1.5 million, of which $0.6 million represents stock option compensation expense, $0.9 million represents restricted stock and performance based compensation expense.</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recognized total stock compensation expense of $0.5 million for the three months ended June 30, 2016, of which $0.2 million represents stock option compensation expense and $0.3 million represents restricted stock and performance based compensation expense. For the six months ended June 30, 2016 the Company recognized total stock compensation expense of $1.3 million, of which $0.7 million represents stock option compensation expense, $0.6 million represents restricted stock and performance based compensation expense and $32,000 represents stock awards granted in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G—LOSS PER COMMON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The calculations of basic and diluted loss per common share for the three and six month periods ended June 30, 2017 and 2016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gridSpan w:val="7"/>
          </w:tcPr>
          <w:p>
            <w:pPr>
              <w:jc w:val="right"/>
              <w:ind w:right="2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basic and diluted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4"/>
              </w:rPr>
              <w:t>(2,096)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(5,479)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w w:val="95"/>
              </w:rPr>
              <w:t>Weighted-average shares outstanding – basic and diluted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8"/>
              <w:spacing w:after="0"/>
              <w:rPr>
                <w:sz w:val="20"/>
                <w:szCs w:val="20"/>
                <w:color w:val="auto"/>
              </w:rPr>
            </w:pPr>
            <w:r>
              <w:rPr>
                <w:rFonts w:ascii="Arial" w:cs="Arial" w:eastAsia="Arial" w:hAnsi="Arial"/>
                <w:sz w:val="18"/>
                <w:szCs w:val="18"/>
                <w:color w:val="auto"/>
                <w:w w:val="87"/>
              </w:rPr>
              <w:t>14,456</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14,155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14,426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14,059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80" w:type="dxa"/>
            <w:vAlign w:val="bottom"/>
            <w:vMerge w:val="restart"/>
          </w:tcPr>
          <w:p>
            <w:pPr>
              <w:jc w:val="right"/>
              <w:ind w:right="1270"/>
              <w:spacing w:after="0"/>
              <w:rPr>
                <w:sz w:val="20"/>
                <w:szCs w:val="20"/>
                <w:color w:val="auto"/>
              </w:rPr>
            </w:pPr>
            <w:r>
              <w:rPr>
                <w:rFonts w:ascii="Arial" w:cs="Arial" w:eastAsia="Arial" w:hAnsi="Arial"/>
                <w:sz w:val="18"/>
                <w:szCs w:val="18"/>
                <w:color w:val="auto"/>
              </w:rPr>
              <w:t>- 16 -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computation of diluted loss per common share for the three and six months ended June 30, 2017 excludes 1,990,982 shares and 1,997,072 shares, respectively, related to options to purchase shares and other stock awards. The computation of diluted loss per common share for the three and six months ended June 30, 2016 excludes 2,084,767 shares and 2,187,139 shares, respectively, related to options to purchase shares and other stock awards. These shares, in each case, were excluded due to their antidilutive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TAXES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 quarterly basis, the Company evaluates its tax positions and revises its estimates accordingly. The estimated value of the Company’s uncertain tax positions at June 30, 2017 is a gross liability of tax and interest of $115,000. The Company believes that $54,000 of its tax positions will be resolved within the next twelve months.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York, New Jersey and the United Kingdom. The Company is no longer subject to U.S. Federal income tax examinations for the years prior to 2014. At June 30, 2017, the periods subject to examination for the Company’s major state jurisdictions are the years ended 2013 through 2016.</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Company’s policy for recording interest and penalties is to record such items as a component of income taxes. Interest and penalties were not material to the Company’s financial position, results of operations or cash flows as of and for the three and six month periods ended June 30, 2017 and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BUSINESS SEGMENTS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operates in three reportable business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where the Company markets and sells a limited selection of its products directly to consumers through its Pfaltzgraff, Mikasa, Fred and Friends, Built NY and Lifetime Sterling internet websites.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While the three segments distribute similar products, the segments are distinct due to the different methods the Company uses to sell, market and distribute the products. Management evaluates the performance of the U.S. Wholesale, International and Retail Direct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8"/>
          </w:tcPr>
          <w:p>
            <w:pPr>
              <w:ind w:left="3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U.S. Wholesale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94,770</w:t>
            </w:r>
          </w:p>
        </w:tc>
        <w:tc>
          <w:tcPr>
            <w:tcW w:w="980" w:type="dxa"/>
            <w:vAlign w:val="bottom"/>
            <w:gridSpan w:val="5"/>
          </w:tcPr>
          <w:p>
            <w:pPr>
              <w:jc w:val="right"/>
              <w:ind w:right="240"/>
              <w:spacing w:after="0"/>
              <w:rPr>
                <w:sz w:val="20"/>
                <w:szCs w:val="20"/>
                <w:color w:val="auto"/>
              </w:rPr>
            </w:pPr>
            <w:r>
              <w:rPr>
                <w:rFonts w:ascii="Arial" w:cs="Arial" w:eastAsia="Arial" w:hAnsi="Arial"/>
                <w:sz w:val="18"/>
                <w:szCs w:val="18"/>
                <w:color w:val="auto"/>
              </w:rPr>
              <w:t>$ 92,738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$182,162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175,006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21,560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40,593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45,233</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Retail Direct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117,393</w:t>
            </w:r>
          </w:p>
        </w:tc>
        <w:tc>
          <w:tcPr>
            <w:tcW w:w="9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118,050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230,749</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228,975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Wholesale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Direct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Wholesale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Direct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Total depreciation and amortization</w:t>
            </w:r>
          </w:p>
        </w:tc>
        <w:tc>
          <w:tcPr>
            <w:tcW w:w="1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24"/>
                <w:szCs w:val="24"/>
                <w:color w:val="auto"/>
              </w:rPr>
            </w:pPr>
          </w:p>
        </w:tc>
        <w:tc>
          <w:tcPr>
            <w:tcW w:w="108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7"/>
          </w:tcPr>
          <w:p>
            <w:pPr>
              <w:jc w:val="right"/>
              <w:ind w:right="6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U.S. Wholesale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90"/>
              </w:rPr>
              <w:t>$283,942</w:t>
            </w:r>
          </w:p>
        </w:tc>
        <w:tc>
          <w:tcPr>
            <w:tcW w:w="240" w:type="dxa"/>
            <w:vAlign w:val="bottom"/>
          </w:tcPr>
          <w:p>
            <w:pPr>
              <w:spacing w:after="0"/>
              <w:rPr>
                <w:sz w:val="18"/>
                <w:szCs w:val="18"/>
                <w:color w:val="auto"/>
              </w:rPr>
            </w:pP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287,313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93,946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Retail Direct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Other</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16,868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395,182</w:t>
            </w:r>
          </w:p>
        </w:tc>
        <w:tc>
          <w:tcPr>
            <w:tcW w:w="2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399,854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J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that it leases from PRIDCO to conduct an environmental investigation, and the Company granted such access. In February 2013, the EPA requested access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conduct a further environmental investigation at the property. PRIDCO agreed to such access and the Company consented. EPA conducted a further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investigation during 2013 and, in April 2015, notified the Company and PRIDCO that the results from vapor intrusion sampling may warrant 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measures to mitigate potential exposure to sub-slab soil gas. The Company reviewed the information provided by the EPA and requested that PRIDCO,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property owner, find and implement a solution acceptable to the EPA. While WSPR did not cause the sub-surface condition that resulted in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vapor intrusion, in order to protect the health of its employees and continue its business operations, it has nevertheless implemented corrective 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measures to prevent vapor intrusion such as sealing floors of the building and conducting periodic air monitoring to address potential exposure. On</w:t>
      </w:r>
    </w:p>
    <w:p>
      <w:pPr>
        <w:spacing w:after="0" w:line="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condensed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K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six months ended June 30, 2017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Dividend per share</w:t>
            </w:r>
          </w:p>
        </w:tc>
        <w:tc>
          <w:tcPr>
            <w:tcW w:w="254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gridSpan w:val="2"/>
          </w:tcPr>
          <w:p>
            <w:pPr>
              <w:ind w:left="480"/>
              <w:spacing w:after="0"/>
              <w:rPr>
                <w:sz w:val="20"/>
                <w:szCs w:val="20"/>
                <w:color w:val="auto"/>
              </w:rPr>
            </w:pPr>
            <w:r>
              <w:rPr>
                <w:rFonts w:ascii="Arial" w:cs="Arial" w:eastAsia="Arial" w:hAnsi="Arial"/>
                <w:sz w:val="14"/>
                <w:szCs w:val="14"/>
                <w:b w:val="1"/>
                <w:bCs w:val="1"/>
                <w:color w:val="auto"/>
              </w:rPr>
              <w:t>Date of record</w:t>
            </w:r>
          </w:p>
        </w:tc>
        <w:tc>
          <w:tcPr>
            <w:tcW w:w="2380" w:type="dxa"/>
            <w:vAlign w:val="bottom"/>
            <w:gridSpan w:val="2"/>
          </w:tcPr>
          <w:p>
            <w:pPr>
              <w:ind w:left="1040"/>
              <w:spacing w:after="0"/>
              <w:rPr>
                <w:sz w:val="20"/>
                <w:szCs w:val="20"/>
                <w:color w:val="auto"/>
              </w:rPr>
            </w:pPr>
            <w:r>
              <w:rPr>
                <w:rFonts w:ascii="Arial" w:cs="Arial" w:eastAsia="Arial" w:hAnsi="Arial"/>
                <w:sz w:val="14"/>
                <w:szCs w:val="14"/>
                <w:b w:val="1"/>
                <w:bCs w:val="1"/>
                <w:color w:val="auto"/>
              </w:rPr>
              <w:t>Payment date</w:t>
            </w: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0.0425</w:t>
            </w:r>
          </w:p>
        </w:tc>
        <w:tc>
          <w:tcPr>
            <w:tcW w:w="25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8, 2017</w:t>
            </w: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2017</w:t>
            </w:r>
          </w:p>
        </w:tc>
        <w:tc>
          <w:tcPr>
            <w:tcW w:w="10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15, 2017</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0.0425</w:t>
            </w:r>
          </w:p>
        </w:tc>
        <w:tc>
          <w:tcPr>
            <w:tcW w:w="254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June 22, 2017</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rPr>
              <w:t>August 1, 2017</w:t>
            </w:r>
          </w:p>
        </w:tc>
        <w:tc>
          <w:tcPr>
            <w:tcW w:w="2380" w:type="dxa"/>
            <w:vAlign w:val="bottom"/>
            <w:gridSpan w:val="2"/>
          </w:tcPr>
          <w:p>
            <w:pPr>
              <w:ind w:left="1040"/>
              <w:spacing w:after="0"/>
              <w:rPr>
                <w:sz w:val="20"/>
                <w:szCs w:val="20"/>
                <w:color w:val="auto"/>
              </w:rPr>
            </w:pPr>
            <w:r>
              <w:rPr>
                <w:rFonts w:ascii="Arial" w:cs="Arial" w:eastAsia="Arial" w:hAnsi="Arial"/>
                <w:sz w:val="18"/>
                <w:szCs w:val="18"/>
                <w:color w:val="auto"/>
              </w:rPr>
              <w:t>August 15, 2017</w:t>
            </w:r>
          </w:p>
        </w:tc>
      </w:tr>
      <w:tr>
        <w:trPr>
          <w:trHeight w:val="350"/>
        </w:trPr>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80" w:type="dxa"/>
            <w:vAlign w:val="bottom"/>
            <w:gridSpan w:val="3"/>
          </w:tcPr>
          <w:p>
            <w:pPr>
              <w:jc w:val="right"/>
              <w:ind w:right="480"/>
              <w:spacing w:after="0"/>
              <w:rPr>
                <w:sz w:val="20"/>
                <w:szCs w:val="20"/>
                <w:color w:val="auto"/>
              </w:rPr>
            </w:pPr>
            <w:r>
              <w:rPr>
                <w:rFonts w:ascii="Arial" w:cs="Arial" w:eastAsia="Arial" w:hAnsi="Arial"/>
                <w:sz w:val="18"/>
                <w:szCs w:val="18"/>
                <w:color w:val="auto"/>
              </w:rPr>
              <w:t>- 19 -</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15, 2017 and May 15, 2017, the Company paid cash dividends of $613,000 and $613,000, respectively, to shareholders of record on February 1, 2017 and May 1, 2017, respectively. In the three months ended June 30, 2017, the Company reduced retained earnings for the accrual of $639,000 relating to the dividend payable on August 15, 2017.</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4, 2017, the Board of Directors declared a quarterly dividend of $0.0425 per share payable on November 15, 2017 to shareholders of record on November 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Six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60" w:type="dxa"/>
            <w:vAlign w:val="bottom"/>
            <w:gridSpan w:val="2"/>
          </w:tcPr>
          <w:p>
            <w:pPr>
              <w:jc w:val="right"/>
              <w:ind w:right="234"/>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Supplemental disclosure of cash flow information:</w:t>
            </w: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800" w:type="dxa"/>
            <w:vAlign w:val="bottom"/>
            <w:gridSpan w:val="2"/>
          </w:tcPr>
          <w:p>
            <w:pPr>
              <w:jc w:val="right"/>
              <w:ind w:right="128"/>
              <w:spacing w:after="0"/>
              <w:rPr>
                <w:sz w:val="20"/>
                <w:szCs w:val="20"/>
                <w:color w:val="auto"/>
              </w:rPr>
            </w:pPr>
            <w:r>
              <w:rPr>
                <w:rFonts w:ascii="Arial" w:cs="Arial" w:eastAsia="Arial" w:hAnsi="Arial"/>
                <w:sz w:val="18"/>
                <w:szCs w:val="18"/>
                <w:color w:val="auto"/>
              </w:rPr>
              <w:t>$1,704</w:t>
            </w:r>
          </w:p>
        </w:tc>
        <w:tc>
          <w:tcPr>
            <w:tcW w:w="760" w:type="dxa"/>
            <w:vAlign w:val="bottom"/>
          </w:tcPr>
          <w:p>
            <w:pPr>
              <w:jc w:val="right"/>
              <w:spacing w:after="0"/>
              <w:rPr>
                <w:sz w:val="20"/>
                <w:szCs w:val="20"/>
                <w:color w:val="auto"/>
              </w:rPr>
            </w:pPr>
            <w:r>
              <w:rPr>
                <w:rFonts w:ascii="Arial" w:cs="Arial" w:eastAsia="Arial" w:hAnsi="Arial"/>
                <w:sz w:val="18"/>
                <w:szCs w:val="18"/>
                <w:color w:val="auto"/>
              </w:rPr>
              <w:t>$ 1,971</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8,753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3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3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$5,288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$(5,133)</w:t>
            </w:r>
          </w:p>
        </w:tc>
      </w:tr>
      <w:tr>
        <w:trPr>
          <w:trHeight w:val="365"/>
        </w:trPr>
        <w:tc>
          <w:tcPr>
            <w:tcW w:w="4000" w:type="dxa"/>
            <w:vAlign w:val="bottom"/>
          </w:tcPr>
          <w:p>
            <w:pPr>
              <w:spacing w:after="0"/>
              <w:rPr>
                <w:sz w:val="24"/>
                <w:szCs w:val="24"/>
                <w:color w:val="auto"/>
              </w:rPr>
            </w:pPr>
          </w:p>
        </w:tc>
        <w:tc>
          <w:tcPr>
            <w:tcW w:w="3100" w:type="dxa"/>
            <w:vAlign w:val="bottom"/>
          </w:tcPr>
          <w:p>
            <w:pPr>
              <w:jc w:val="right"/>
              <w:ind w:right="2490"/>
              <w:spacing w:after="0"/>
              <w:rPr>
                <w:sz w:val="20"/>
                <w:szCs w:val="20"/>
                <w:color w:val="auto"/>
              </w:rPr>
            </w:pPr>
            <w:r>
              <w:rPr>
                <w:rFonts w:ascii="Arial" w:cs="Arial" w:eastAsia="Arial" w:hAnsi="Arial"/>
                <w:sz w:val="18"/>
                <w:szCs w:val="18"/>
                <w:color w:val="auto"/>
              </w:rPr>
              <w:t>- 20 -</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78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(33,668)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(35,644)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 (loss) during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(30,356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(17,716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(30,356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(17,716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Derivative fair value adjustment, net of taxes of $1 and $3 for the three month periods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ended June 30, 2017 and 2016, respectively and $9 and $32 for the six month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periods ended June 30, 2017 and 2016,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(1,337)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40"/>
              <w:spacing w:after="0" w:line="201" w:lineRule="exact"/>
              <w:rPr>
                <w:sz w:val="20"/>
                <w:szCs w:val="20"/>
                <w:color w:val="auto"/>
              </w:rPr>
            </w:pPr>
            <w:r>
              <w:rPr>
                <w:rFonts w:ascii="Arial" w:cs="Arial" w:eastAsia="Arial" w:hAnsi="Arial"/>
                <w:sz w:val="18"/>
                <w:szCs w:val="18"/>
                <w:color w:val="auto"/>
                <w:w w:val="98"/>
              </w:rPr>
              <w:t>Amortization of actuarial losses, net of taxes of $10 and $9 for the three month</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w w:val="97"/>
              </w:rPr>
              <w:t>periods ended June 30, 2017 and 2016, respectively and $20 and $18 for the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six month periods ended June 30, 2017 and 2016, respectively.</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other comprehensive loss at end of period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(31,666</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(18,960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(31,666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(18,960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recorded in equity in earnings (losses) on the condensed consolidated statements of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condensed consolidated statements of operations.</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60"/>
          </w:cols>
          <w:pgMar w:left="24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Lifetime Brands, Inc.:</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reviewed the condensed consolidated balance sheet of Lifetime Brands, Inc. as of June 30, 2017, and the related condensed consolidated statements of operations and comprehensive income (loss) for the three-and six month periods ended June 30, 2017 and 2016, and the related condensed consolidated statements of cash flows for the six month periods ended June 30, 2017 and 2016. These financial statements are the responsibility of the Company’s management.</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Lifetime Brands, Inc. as of December 31, 2016, and the related consolidated statements of operations, comprehensive (loss) income, stockholders’ equity, and cash flows for the year then ended (not presented herein) and we expressed an unqualified audit opinion on those consolidated financial statements in our report dated March 16, 2017. We did not audit the consolidated financial statements of Grupo Vasconia, S.A.B. and Subsidiaries (a corporation in which the Company has a 30% interest), which statements have been audited by other auditors whose report has been furnished to us, and our opinion on the consolidated financial statements, insofar as it relates to the amounts included for Grupo Vasconia, S.A.B. and Subsidiaries, is based solely on the report of the other auditors. In the consolidated financial statements, the Company’s investment in Grupo Vasconia, S.A.B. and Subsidiaries is stated at $22.5 million at December 31, 2016, and the Company’s equity in the net income of Grupo Vasconia, S.A.B. and Subsidiaries is stated at $0.6 million for the year ended December 31, 2016. In our opinion, the accompanying condensed consolidated balance sheet of Lifetime Brands, Inc. as of December 31, 2016, is fairly stated, in all material respects, in relation to the consolidated balance sheet from which it has been derived.</w:t>
      </w:r>
    </w:p>
    <w:p>
      <w:pPr>
        <w:spacing w:after="0" w:line="16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When used in this Quarterly Report on Form 10-Q, the words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“anticipates,” “projects,” “plans,” “intends,” “believes,” “may,” “should,” “seeks,” and variations of such words or similar expressions are intended to identify forward-looking statements. All forward-looking statements, including, without limitation,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2016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9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cookware, pantryware, spice racks, and bakeware); and Tableware (dinnerware, stemware, flatware and giftware); and one category, Home Solutions, which comprises other products used in the home (thermal beverageware, food storage, neoprene travel products and home décor). In 2016, Kitchenware products and Tableware products accounted for approximately 90% of the Company’s U.S. Wholesale net sales and 88% of the Company’s consolidated net sales.</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heart of the Company is a culture of innovation. The Company employs over 120 artists, engineers, industrial designers and graphics specialists, who create new products, packaging and merchandising concepts. The Company expects to introduce approximately 4,000 new or redesigned products globally in 2017. Newly introduced products typically reach their peak sales in 12 to 18 months.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Sabatier</w:t>
      </w:r>
      <w:r>
        <w:rPr>
          <w:rFonts w:ascii="Arial" w:cs="Arial" w:eastAsia="Arial" w:hAnsi="Arial"/>
          <w:sz w:val="14"/>
          <w:szCs w:val="14"/>
          <w:color w:val="auto"/>
        </w:rPr>
        <w:t>®</w:t>
      </w:r>
      <w:r>
        <w:rPr>
          <w:rFonts w:ascii="Arial" w:cs="Arial" w:eastAsia="Arial" w:hAnsi="Arial"/>
          <w:sz w:val="17"/>
          <w:szCs w:val="17"/>
          <w:color w:val="auto"/>
        </w:rPr>
        <w:t>, Mossy Oak</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Copco</w:t>
      </w:r>
      <w:r>
        <w:rPr>
          <w:rFonts w:ascii="Arial" w:cs="Arial" w:eastAsia="Arial" w:hAnsi="Arial"/>
          <w:sz w:val="14"/>
          <w:szCs w:val="14"/>
          <w:color w:val="auto"/>
        </w:rPr>
        <w:t>®</w:t>
      </w:r>
      <w:r>
        <w:rPr>
          <w:rFonts w:ascii="Arial" w:cs="Arial" w:eastAsia="Arial" w:hAnsi="Arial"/>
          <w:sz w:val="17"/>
          <w:szCs w:val="17"/>
          <w:color w:val="auto"/>
        </w:rPr>
        <w:t>, masterclass</w:t>
      </w:r>
      <w:r>
        <w:rPr>
          <w:rFonts w:ascii="Arial" w:cs="Arial" w:eastAsia="Arial" w:hAnsi="Arial"/>
          <w:sz w:val="14"/>
          <w:szCs w:val="14"/>
          <w:color w:val="auto"/>
        </w:rPr>
        <w:t>®</w:t>
      </w:r>
      <w:r>
        <w:rPr>
          <w:rFonts w:ascii="Arial" w:cs="Arial" w:eastAsia="Arial" w:hAnsi="Arial"/>
          <w:sz w:val="17"/>
          <w:szCs w:val="17"/>
          <w:color w:val="auto"/>
        </w:rPr>
        <w:t>, Towle</w:t>
      </w:r>
      <w:r>
        <w:rPr>
          <w:rFonts w:ascii="Arial" w:cs="Arial" w:eastAsia="Arial" w:hAnsi="Arial"/>
          <w:sz w:val="14"/>
          <w:szCs w:val="14"/>
          <w:color w:val="auto"/>
        </w:rPr>
        <w:t>®</w:t>
      </w:r>
      <w:r>
        <w:rPr>
          <w:rFonts w:ascii="Arial" w:cs="Arial" w:eastAsia="Arial" w:hAnsi="Arial"/>
          <w:sz w:val="17"/>
          <w:szCs w:val="17"/>
          <w:color w:val="auto"/>
        </w:rPr>
        <w:t>, Fred</w:t>
      </w:r>
      <w:r>
        <w:rPr>
          <w:rFonts w:ascii="Arial" w:cs="Arial" w:eastAsia="Arial" w:hAnsi="Arial"/>
          <w:sz w:val="14"/>
          <w:szCs w:val="14"/>
          <w:color w:val="auto"/>
        </w:rPr>
        <w:t>®</w:t>
      </w:r>
      <w:r>
        <w:rPr>
          <w:rFonts w:ascii="Arial" w:cs="Arial" w:eastAsia="Arial" w:hAnsi="Arial"/>
          <w:sz w:val="17"/>
          <w:szCs w:val="17"/>
          <w:color w:val="auto"/>
        </w:rPr>
        <w:t xml:space="preserve"> and La Cafetière</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operates in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its Pfaltzgraff, Mikasa, Fred and Friends, Built NY and Lifetime Sterling internet websites. The Company has segmented its operations to reflect the manner in which management reviews and evaluates its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net income, net of taxes, as equity in earnings (losses) in the Company’s condensed consolidated statements of operations. Pursuant to a Shares Subscription Agreement (the “Agreement”), the Company may designate four persons to be nominated as members of Vasconia’s Board of Directors. As of June 30, 2017, Vasconia’s Board of Directors is comprised of ten members of whom the Company has designated three members.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2016 and 2015, net sales for the third and fourth quarters accounted for 61% and 59%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2016, to reduce costs and achieve synergies, the Company began the process of integrating its legal entities operating in Europe. During the three and six months ended June 30, 2017, the Company recorded $254,000 of restructuring expense related to the execution of this plan, primarily related to severance. The Company expects to incur approximately $0.7 million of additional restructuring charges in 2017 related to this integration.</w:t>
      </w:r>
    </w:p>
    <w:p>
      <w:pPr>
        <w:spacing w:after="0" w:line="16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2015 the Company commenced an in-depth review of its U.S. Wholesale business segment, which included the evaluation of the segment’s efficiency and effectiveness, with the objective of developing a plan to restructure its operations as appropriate. During 2016 the Company expanded this restructuring plan to focus on specific actions required to achieve the plan’s objectives. The restructuring plan included the realignment of product categories to best achieve the Company’s strategic plan and implementation of cost reduction initiatives. During the three and six months ended June 30, 2016, the Company recorded $1.1 million and $1.7 million of restructuring expense related to the U.S. Wholesale restructuring.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is an update to the corresponding accounting policy set forth in the Company’s 2016 Annual Report on Form 10-K. Except as modified below, there have been no material changes to the Company’s critical accounting policies and estimates discussed in Item 7. Management’s Discussion and Analysis of Financial Condition and Results of Operations – Critical Accounting Policies and Estimates included in the Company’s Annual Report on Form 10-K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 awards expected to vest.</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Compensation expense for performance awards is recognized over the vesting period, and will vary based on remeasurement during the performance period. If the performance metrics are not probable of achievement during the performance period, compensation expense would be reversed. The awards are forfeited if the performance metrics are not achieved as of the end of the performance period. The performance share awards vest in full at the end of a three year period.</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bases the estimated fair value of restricted stock awards on the fair value of its common stock on the date of grant. The estimated fair value of an award is determined based on the closing price of the Company’s common stock on the date of grant multiplied by the number of shares awarded. Compensation expense is recognized on a straight-line basis over the vesting period. Forfeitures are accounted for as they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2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63.6</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62.4</w:t>
            </w:r>
          </w:p>
        </w:tc>
        <w:tc>
          <w:tcPr>
            <w:tcW w:w="5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Distribution expenses</w:t>
            </w:r>
          </w:p>
        </w:tc>
        <w:tc>
          <w:tcPr>
            <w:tcW w:w="3520" w:type="dxa"/>
            <w:vAlign w:val="bottom"/>
            <w:gridSpan w:val="3"/>
          </w:tcPr>
          <w:p>
            <w:pPr>
              <w:jc w:val="right"/>
              <w:ind w:right="448"/>
              <w:spacing w:after="0"/>
              <w:rPr>
                <w:sz w:val="20"/>
                <w:szCs w:val="20"/>
                <w:color w:val="auto"/>
              </w:rPr>
            </w:pPr>
            <w:r>
              <w:rPr>
                <w:rFonts w:ascii="Arial" w:cs="Arial" w:eastAsia="Arial" w:hAnsi="Arial"/>
                <w:sz w:val="18"/>
                <w:szCs w:val="18"/>
                <w:color w:val="auto"/>
              </w:rPr>
              <w:t>10.7</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10.5</w:t>
            </w: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5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5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28.2</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25.3</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3520" w:type="dxa"/>
            <w:vAlign w:val="bottom"/>
            <w:gridSpan w:val="3"/>
          </w:tcPr>
          <w:p>
            <w:pPr>
              <w:jc w:val="right"/>
              <w:ind w:right="388"/>
              <w:spacing w:after="0"/>
              <w:rPr>
                <w:sz w:val="20"/>
                <w:szCs w:val="20"/>
                <w:color w:val="auto"/>
              </w:rPr>
            </w:pPr>
            <w:r>
              <w:rPr>
                <w:rFonts w:ascii="Arial" w:cs="Arial" w:eastAsia="Arial" w:hAnsi="Arial"/>
                <w:sz w:val="18"/>
                <w:szCs w:val="18"/>
                <w:color w:val="auto"/>
              </w:rPr>
              <w:t>(0.9)</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 and equity in earnings</w:t>
            </w:r>
          </w:p>
        </w:tc>
        <w:tc>
          <w:tcPr>
            <w:tcW w:w="25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1020" w:type="dxa"/>
            <w:vAlign w:val="bottom"/>
            <w:gridSpan w:val="2"/>
          </w:tcPr>
          <w:p>
            <w:pPr>
              <w:jc w:val="right"/>
              <w:ind w:right="388"/>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Equity in earnings (losses), net of taxes</w:t>
            </w:r>
          </w:p>
        </w:tc>
        <w:tc>
          <w:tcPr>
            <w:tcW w:w="2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00" w:type="dxa"/>
            <w:vAlign w:val="bottom"/>
            <w:vMerge w:val="restart"/>
          </w:tcPr>
          <w:p>
            <w:pPr>
              <w:jc w:val="right"/>
              <w:ind w:right="1250"/>
              <w:spacing w:after="0"/>
              <w:rPr>
                <w:sz w:val="20"/>
                <w:szCs w:val="20"/>
                <w:color w:val="auto"/>
              </w:rPr>
            </w:pPr>
            <w:r>
              <w:rPr>
                <w:rFonts w:ascii="Arial" w:cs="Arial" w:eastAsia="Arial" w:hAnsi="Arial"/>
                <w:sz w:val="18"/>
                <w:szCs w:val="18"/>
                <w:color w:val="auto"/>
              </w:rPr>
              <w:t>- 26 -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198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JUNE 30, 2017 COMPARED TO THE THREE MONTHS ENDED JUNE 30,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sales for the three months ended June 30, 2017 were $117.4 million, a decrease of $0.7 million, or 0.6%, as compared to net sales of $118.1 million for the corresponding period in 2016.</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sales for the U.S. Wholesale segment for the three months ended June 30, 2017 were $94.8 million, an increase of $2.1 million, or 2.3%, as compared to net sales of $92.7 million for the corresponding period in 2016.</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sales for the U.S. Wholesale segment’s Kitchenware product category were $61.5 million for the three months ended June 30, 2017, an increase of $2.9 million, or 4.9%, as compared to $58.6 million for the corresponding period in 2016. The increase in the U.S. Wholesale segment’s Kitchenware product category was attributable to increases in the kitchen tools and gadgets, cookware and bakeware product lines.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U.S. Wholesale segment’s Tableware product category were $22.3 million for the three months ended June 30, 2017, a decrease of $4.4 million, or 16.5%, as compared to $26.7 million for the corresponding period in 2016. The decrease was attributable to the sales decline at department stores and a club promotion not repeated.</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sales for the U.S. Wholesale segment’s Home Solutions product category were $11.0 million for the three months ended June 30, 2017, an increase of $3.5 million, or 46.7%, as compared to $7.5 million for the corresponding period in 2016. The increase reflects the continued growth in hydration programs, including products under the Built brand. This increase was partially offset by a decline in the home decór product lines.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International segment were $19.4 million for the three months ended June 30, 2017, a decrease of $2.2 million, or 10.2%, as compared to net sales of $21.6 million for the corresponding period in 2016. In constant currency, net sales increased approximately 0.8%. The increase, in constant currency, was due to an increase in kitchenware sales to online retailers and export sales. This increase was partially offset by a decrease in tableware sales.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Retail Direct segment were $3.3 million for the three months ended June 30, 2017, a decrease of $0.5 million, or 13.2%, as compared to net sales of $3.8 million for the corresponding period in 2016. The decrease was attributable to more emphasis on the wholesale online sales channel and a decrease in promotions.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margin for the three months ended June 30, 2017 was $42.8 million, or 36.5%, as compared to $43.0 million, or 36.4%, for the corresponding period in 2016.</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Gross margin for the U.S. Wholesale segment was $34.6 million, or 36.5%, for the three months ended June 30, 2017, as compared to $33.0 million, or 35.6%, for the corresponding period in 2016. Gross margin fluctuates from period to period based on a number of factors, including product and customer mix. The increase reflects a change in customer and product mix, in part from the timing of customer programs.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margin for the International segment was $6.0 million, or 31.1%, for the three months ended June 30, 2017, as compared to $7.5 million, or 34.8% for the corresponding period in 2016. The decrease in margin is the result of tableware product lines de-emphasized, higher customer allowances and increases in product testing and factory audit expenses.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Gross margin for the Retail Direct segment was $2.2 million, or 67.4%, for the three months ended June 30, 2017, as compared to $2.5 million, or 65.9%, for the corresponding period in 2016. The increase in gross margin percentage in the Retail Direct segment reflects a decrease in promotions.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Distribution expenses for the three months ended June 30, 2017 were $12.6 million as compared to $12.4 million for the corresponding period in 2016. Distribution expenses as a percentage of net sales were 10.7% for the three months ended June 30, 2017, as compared to 10.5% for the three months ended June 30, 2016.</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Distribution expenses as a percentage of net sales for the U.S. Wholesale segment were approximately 9.8% and 9.4% for the three months ended June 30, 2017 and 2016, respectively. As a percentage of sales shipped from the Company’s warehouses, distribution expenses for the U.S. Wholesale segment were 10.8% for the three months ended June 30, 2017 and 10.3% for the three months ended June 30, 2016. The increases reflect the effect of an increase in facility costs, labor costs and higher prepaid freight sales.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11.3% and 12.0% for the three months ended June 30, 2017 and 2016, respectively. Distribution expenses as a percentage of sales shipped from the Company’s U.K. warehouses were 12.9% and 13.4% for the three months ended June 30, 2017 and 2016, respectively. The improvement reflects an improvement in labor management, freight rates and the decrease in the use of third party warehousing.</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33.3% and 28.9% for the three months ended June 30, 2017 and 2016, respectively. The increase was from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expenses for the three months ended June 30, 2017 were $33.1 million, an increase of $3.3 million, or 11.1%, as compared to $29.8 million for the corresponding period in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three months ended June 30, 2017, for the U.S. Wholesale segment were $21.6 million, an increase of</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$1.6 million, or 8.0%, from $20.0 million for the corresponding period in 2016. The 2017 period reflects an increase in employee related expenses (including severance), intangible amortization related to the Company’s 2016 acquisitions, customer credit insurance and an increase in marketing expense. As a percentage of net sales, selling, general and administrative expenses were 22.8% and 21.6% for the three months ended June 30, 2017 and 2016, respectively.</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for the three months ended June 30, 2017 for the International segment were $7.3 million, an increase of $2.0 million, from $5.3 million for the corresponding period in 2016. The increase in expenses was primarily due to unrealized losses on foreign currency contracts in the current period, as compared to unrealized gains on foreign currency contracts in the corresponding 2016 period, resulting from the Company’s hedging activity. In addition, the increase in expenses is attributable to SAP implementation costs.</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Selling, general and administrative expenses for the Retail Direct segment were $1.4 million for the three months ended June 30, 2017, as compared to $1.3 million for the three months ended June 30, 2016. The increase in expenses was primarily due to an increase in employee headcount.</w:t>
      </w:r>
    </w:p>
    <w:p>
      <w:pPr>
        <w:spacing w:after="0" w:line="14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Unallocated corporate expenses for the three months ended June 30, 2017 were $2.8 million as compared to $3.2 million for the corresponding period in 2016. The decrease was primarily attributable to a decrease in professional fees and acquisition related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June 30, 2017, the Company recorded $0.3 million of restructuring expense, primarily for severance related to the integration of legal entities operating in Europe.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three months ended June 30, 2016, the Company recorded $1.1 million of restructuring expense, primarily for consulting fees related to the execution of the U.S. Wholesale restructuring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for the three months ended June 30, 2017 was $1.0 million, a decrease of $0.1 million, from $1.1 million for the three months ended June 30, 2016. The decrease in expense was attributable to a decrease in average borrowings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April 2017, the Company prepaid the remaining outstanding balance under the Company’s Term Loan. In connection therewith, the Company wrote-off debt issuance costs of $0.1 million.</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Term Loan. In connection therewith, the Company wrote-off debt issuance costs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income tax benefit for the three months ended June 30, 2017 was $1.7 million as compared to $0.5 million for the corresponding period in 2016. The Company’s effective tax rate for the three months ended June 30, 2017 was 39.9% as compared to 28.1% for the corresponding 2016 period. The effective tax rate for the three months ended June 30, 2017, as a percentage of quarterly losses, increased due to a change in the jurisdictional mix in forecasted earnings for the year, as well as the benefit generated on share based compensation. This was partially offset by foreign losses for which no benefit was recorded.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Equity in earnings of Vasconia was $0.5 million, net of taxes, for the three months ended June 30, 2017, as compared to equity in losses of $0.2 million, net of tax, for the corresponding 2016 period. Equity in earnings (losses) for the three months ended June 30, 2017 and 2016 includes a deferred tax benefit (expense) of $0.1 million and ($0.3) million, respectively, due to the requirement to record tax benefits for foreign currency translation losses through other comprehensive income (loss), with a corresponding adjustment to deferred tax liabilities. Vasconia reported net income of $1.2 million and $0.5 million for the three months ended June 30, 2017 and 2016, respectively.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June 30, 2016, the Company sold its 40% equity interest in GS Internacional S/A (“GSI”), a wholesale distributor of branded housewares products in Brazil. Upon the sale of its equity interest in GSI, the Company recognized a net gain of $189,000. This gain represents the net consideration received of R$2.3 million (approximately $567,000) reduced by currency translation losses of $378,000 that were recognized when the equity interest was sold.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180"/>
        <w:spacing w:after="0" w:line="275" w:lineRule="auto"/>
        <w:rPr>
          <w:sz w:val="20"/>
          <w:szCs w:val="20"/>
          <w:color w:val="auto"/>
        </w:rPr>
      </w:pPr>
      <w:r>
        <w:rPr>
          <w:rFonts w:ascii="Arial" w:cs="Arial" w:eastAsia="Arial" w:hAnsi="Arial"/>
          <w:sz w:val="18"/>
          <w:szCs w:val="18"/>
          <w:b w:val="1"/>
          <w:bCs w:val="1"/>
          <w:color w:val="auto"/>
        </w:rPr>
        <w:t>MANAGEMENT’S DISCUSSION AND ANALYSIS SIX MONTHS ENDED JUNE 30, 2017 AS COMPARED TO THE SIX MONTHS ENDED JUNE 30, 2016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for the six months ended June 30, 2017 were $230.7 million, an increase of $1.7 million, or 0.7%, as compared to net sales of $229.0 million for the corresponding period in 2016.</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for the U.S. Wholesale segment for the six months ended June 30, 2017 were $182.1 million, an increase of $7.1 million, or 4.1%, as compared to net sales of $175.0 million for the corresponding period in 2016.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sales for the U.S. Wholesale’s Kitchenware product category were $117.9 million for the six months ended June 30, 2017, an increase of $3.7 million, or 3.2%, as compared to $114.2 million for the corresponding period in 2016. The increase in the U.S. Wholesale segment’s Kitchenware product category was primarily attributable to the cookware and bakeware product lines, partially offset by a decrease in cutlery sales due to the timing of programs with certain retailers.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Wholesale’s Tableware product category were $42.1 million for the six months ended June 30, 2017, a decrease of $4.3 million, or</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9.3%, as compared to $46.4 million for the corresponding period in 2016. The decrease was attributable to the sales decline at department stores and, in part, due to the timing of programs with certain retailers.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U.S. Wholesale’s Home Solutions product category were $22.1 million for the six months ended June 30, 2017, an increase of $7.7 million, or 53.5%, as compared to $14.4 million for the corresponding period in 2016. The increase reflects the continued growth in hydration programs, including products under the Built brand, as well as a new drug store program.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International segment for the six months ended June 30, 2017 were $40.6 million, a decrease of $4.6 million, as compared to net sales of</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$45.2 million for the corresponding period in 2016. In constant currency, net sales increased approximately 2.2%. The increase, in constant currency, was due to an increase in sales to U.K. national retailers and kitchenware export sales.</w:t>
      </w:r>
    </w:p>
    <w:p>
      <w:pPr>
        <w:spacing w:after="0" w:line="18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sales for the Retail Direct segment for the six months ended June 30, 2017 were $8.0 million, a decrease of $0.7 million, or 8.0%, as compared to $8.7 million for the corresponding period in 2016. The decrease was attributable to more emphasis on the wholesale online sales channel and a decrease in promotions.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margin for the six months ended June 30, 2017 was $86.7 million, or 37.6%, as compared to $83.5 million, or 36.5%, for the corresponding period in 2016.</w:t>
      </w:r>
    </w:p>
    <w:p>
      <w:pPr>
        <w:spacing w:after="0" w:line="1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Gross margin for the U.S. Wholesale segment was $68.1 million, or 37.4% for the six months ended June 30, 2017, as compared to $61.8 million, or 35.3%, for the corresponding period in 2016. Gross margin fluctuates from period to period based on a number of factors, including product and customer mix. The increase reflects a change in customer and product mix, in part from the timing of customer programs and a decrease in ocean freight rates.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margin for the International segment was $13.3 million, or 32.7%, for the six months ended June 30, 2017, as compared to $15.9 million, or 35.2%, for the corresponding period in 2016. The decrease in margin is the result of a change in customer mix, tableware product lines de-emphasized, higher customer allowances and the weakened British Pound.</w:t>
      </w:r>
    </w:p>
    <w:p>
      <w:pPr>
        <w:spacing w:after="0" w:line="18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Gross margin for the Retail Direct segment was $5.3 million, or 67.0%, for the six months ended June 30, 2017, as compared to $5.8 million, or 66.7%, for the corresponding period in 2016. The increase in gross margin percentage in Retail Direct reflects a reduction in promotional expenses in the 2017 period.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Distribution expenses for the six months ended June 30, 2017 were $26.0 million as compared to $25.7 million for the corresponding period in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as a percentage of net sales were 11.3% and 11.2% for the six months ended June 30, 2017 and 2016, respectively.</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Distribution expenses as a percentage of net sales for the U.S. Wholesale segment were approximately 10.4% and 10.2% for the six months ended June 30, 2017 and 2016, respectively. Distribution expenses as a percentage of sales shipped from the Company’s warehouses for the U.S. Wholesale segment were 11.0% and 10.8% for the six months ended June 30, 2017 and 2016, respectively. The increases reflect a decrease in labor efficiencies and an increase in facility costs.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Distribution expenses as a percentage of net sales for the International segment were approximately 11.1% for the six months ended June 30, 2017, as compared to 11.5% for the corresponding period in 2016. As a percentage of sales shipped from the Company’s U.K. warehouses, distribution expenses for the International segment were 12.4% and 13.0% for the six months ended June 30, 2017 and 2016, respectively. The improvement reflects a reduction in facility expenses due to a reduction in third party warehousing and improvements in labor management.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approximately 32.5% and 29.9% for the six months ended June 30, 2017 and 2016, respectively. The increase was from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2017 were $65.5 million, an increase of $3.8 million, or 6.2%, as compared to $61.7 million for the corresponding period in 2016.</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general and administrative expenses for the six months ended June 30, 2016 for the U.S. Wholesale segment were $43.2 million, an increase of $2.3 million, or 5.6%, as compared to $40.9 million for the corresponding period in 2016. The 2017 period reflects an increase in employee related expenses (including severance), IT software to improve efficiencies, intangible amortization related to the Company’s 2016 acquisitions, customer credit insurance and an increase in marketing expenses. As a percentage of net sales, selling, general and administrative expenses increased to 23.7% for the six months ended June 30, 2017 compared to 23.4% for the corresponding period in 2016.</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Selling, general and administrative expenses for the six months ended June 30, 2017 for the International segment were $13.4 million, an increase of $2.7 million, or 25.2%, as compared to $10.7 million for the corresponding period in 2016. The increase in expenses in the 2017 period was primarily due to unrealized loss on foreign currency contracts in the current period, as compared to unrealized gains on foreign currency contracts in the corresponding 2016 period, resulting from the Company’s hedging activity. In addition, the increase in expenses is attributable to SAP implementation costs.</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2017 and 2016 for the Retail Direct segment were $3.0 million and $3.1 million, respectively. The decrease in expenses was primarily due to a reduction in headcount and selling expenses.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Unallocated corporate expenses for the six months ended June 30, 2017 and 2016 were $5.9 million and $7.0 million, respectively. The decrease was primarily attributable to decrease in professional fees and acquisition related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June 30, 2017, the Company recorded $0.3 million of restructuring expense, primarily for severance. These charges are related to the integration of legal entities operating in Europe.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six months ended June 30, 2016, the Company recorded $1.7 million of restructuring expense. The expense for the period includes severance of approximately $0.6 million and consulting expenses of approximately $1.1 million. These charges are related to the execution of the U.S. Wholesale restructuring plan.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for the six months ended June 30, 2017 was $1.9 million as compared to $2.3 million for the corresponding period in 2016. The decrease in expense was attributable to a decrease in average borrowings and a decrease in average borrowing rate due to Term Loan repayments.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2017, the Company repaid the outstanding balance under its Term Loan. In connection therewith, the Company wrote-off debt issuance costs of $0.1 million.</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Term Loan. In connection therewith, the Company wrote-off debt issuance costs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income tax benefit for the six months ended June 30, 2017 was $2.6 million as compared to $2.7 million for the corresponding period in 2016. The Company’s effective tax rate for the six months ended June 30, 2017 was 37.4% as compared to 33.9% for the corresponding 2016 period. The effective tax rate for the six months ended June 30, 2017, as a percentage of quarterly losses, increased due to a change in the jurisdictional mix in forecasted earnings for the year, as well as the benefit generated on share based compensation. This was partially offset by foreign losses for which no benefit was recorded.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Equity in earnings of Vasconia was $1.0 million, net of taxes, for the six months ended June 30, 2017, as compared to equity in losses of $0.3 million, net of taxes, for the corresponding 2016 period. Equity in earnings (losses) for the six months ended June 30, 2017 and 2016 includes a deferred tax benefit (expense) of $0.4 million and ($0.5) million, respectively, due to the requirement to record tax benefits for foreign currency translation losses through other comprehensive income (loss), with a corresponding adjustment to deferred tax liabilities. Vasconia reported income from operations of $4.1 million and $2.9 million for the six months ended June 30, 2017 and 2016, respectively, and net income of $2.4 million and $0.7 million for the six months ended June 30, 2017 and 2016, respectively.</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During the six months ended June 30, 2016, the Company sold its 40% equity interest in GSI. Upon the sale of its equity interest in GSI the Company recognized a net gain of $189,000. This gain represents the net consideration received of R$2.3 million (approximately $567,000) reduced by currency translation losses of $378,000 that were recognized when the equity interest was sold.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Second Amended and Restated Credit Agreement with JPMorgan Chase Bank, N.A, as Administrative Agent and Co-Collateral Agent, and HSBC Bank USA, National Association, as Syndication Agent and Co-Collateral Agent, and the other Lenders and Loan Parties party thereto, as amended, (the “Credit Agreement”), which provides for, among other things, a revolving credit facility commitment totaling $175.0 million (the “Revolving Credit Facility”) and a term loan facility (the “Term Loan”). The Company’s primary uses of funds consist of working capital requirements, capital expenditures and payments of principal and interest on its debt.</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June 30, 2017, the Company had cash and cash equivalents of $4.1 million, compared to $7.9 million at December 31, 2016. Working capital was $180.2 million at June 30, 2017 compared to $165.2 million at December 31, 2016. Liquidity, which includes cash and cash equivalents and availability under its credit facilities (subject to the financial covenants of the Credit Agreement), was $66.9 million.</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turnover due to lower minimum order quantities or trending sale demands. For the three months ended June 30, 2017, inventory turnover was 1.9 times, or 196 days, as compared to 2.1 times, or 174 days, for the three months ended June 30, 2016. The decrease in turnover and increase in turnover days is, in part, the result of an increase in average inventory in the U.S. Wholesale segment due to an increase in inventory as the result of the Company’s acquisitions in the fourth quarter of 2016.</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Credit Agreement, which expires in January 2019, provides for, among other things, a Revolving Credit Facility commitment totaling $175.0 million ($40.0 million of which is available for multi-currency borrowings) and a Term Loan facility.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June 30, 2017, borrowings outstanding under the Revolving Credit Facility were $99.0 million and open letters of credit were $2.8 million. At June 30, 2017, availability under the Revolving Credit Facility was approximately $62.8 million. The borrowing capacity under the Revolving Credit Facility depends, in part, on eligible levels of accounts receivable and inventory that fluctuate regularly, and certain trademark values based upon periodic appraisals, and may be lower in the first and second quarters when the Company’s inventory level is lower due to seasonality.</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April 2017, the Company repaid its $7.0 million outstanding balance under the Term Loan. As of December 31, 2016, $9.5 million was outstanding under the Term Loan. At December 31, 2016, unamortized debt issuance costs were $157,000. In connection with the repayment of the Term Loan, the Company wrote off the unamortized debt issuance costs of $110,000 during the six months ended June 30, 2017.</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payment obligations under the Revolving Credit Facility are unconditionally guaranteed by each of its existing U.S. subsidiaries and will be unconditionally guaranteed by each of its future U.S. subsidiaries. Certain payment obligations under the Revolving Credit Facility are also direct obligations of its foreign subsidiary borrowers designated as such under the Credit Agreement and, subject to limitations on such guaranties, are guaranteed by the foreign subsidiary borrowers, as well as by the Company. The obligations of the Company under the Revolving Credit Facility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a first-priority lien, subject to certain permitted liens, with respect to the assets of the Company and its domestic subsidiaries pledged as collateral in favor of lenders under the Revolving Credit Facility.</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rates on outstanding borrowings at June 30, 2017 ranged from 2.25% to 5.25%. In addition, the Company pays a commitment fee of 0.375% on the unused portion of the Revolving Credit Facility.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Credit Agreement provides for customary restrictions and events of default. Restrictions include limitations on additional indebtedness, acquisitions, investments and payment of dividends, among other things. Further, the Credit Agreement provides that at any time any Term Loan is outstanding or at any time no Term Loan is outstanding and availability under the Revolving Credit Facility is less than $17.5 million and continuing until availability of at least $20.0 million is maintained for three consecutive months, the Company is required to maintain a minimum fixed charge coverage ratio of 1.20 to 1.00 for each of four consecutive fiscal quarter periods. The Company was in compliance with the financial covenants of the Credit Agreement as of June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adjusted EBITDA, as provided below, is used in the calculation of covenants provided for in the Company’s Credit Agreement. The following is the Company’s consolidated adjusted EBITDA for the last four fiscal quarters: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Three months ended March 31, 2017</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Three months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Three months ended September 30, 2016</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 for the four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for the three months ended June 30, 2017 were $2.7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58"/>
        <w:spacing w:after="0"/>
        <w:rPr>
          <w:sz w:val="20"/>
          <w:szCs w:val="20"/>
          <w:color w:val="auto"/>
        </w:rPr>
      </w:pPr>
      <w:r>
        <w:rPr>
          <w:rFonts w:ascii="Arial" w:cs="Arial" w:eastAsia="Arial" w:hAnsi="Arial"/>
          <w:sz w:val="12"/>
          <w:szCs w:val="12"/>
          <w:b w:val="1"/>
          <w:bCs w:val="1"/>
          <w:color w:val="auto"/>
        </w:rPr>
        <w:t>Consolidated adjusted</w:t>
      </w:r>
    </w:p>
    <w:p>
      <w:pPr>
        <w:spacing w:after="0" w:line="14" w:lineRule="exact"/>
        <w:rPr>
          <w:sz w:val="20"/>
          <w:szCs w:val="20"/>
          <w:color w:val="auto"/>
        </w:rPr>
      </w:pPr>
    </w:p>
    <w:p>
      <w:pPr>
        <w:jc w:val="center"/>
        <w:ind w:right="1858"/>
        <w:spacing w:after="0"/>
        <w:rPr>
          <w:sz w:val="20"/>
          <w:szCs w:val="20"/>
          <w:color w:val="auto"/>
        </w:rPr>
      </w:pPr>
      <w:r>
        <w:rPr>
          <w:rFonts w:ascii="Arial" w:cs="Arial" w:eastAsia="Arial" w:hAnsi="Arial"/>
          <w:sz w:val="14"/>
          <w:szCs w:val="14"/>
          <w:b w:val="1"/>
          <w:bCs w:val="1"/>
          <w:color w:val="auto"/>
        </w:rPr>
        <w:t>EBITDA for the Four</w:t>
      </w:r>
    </w:p>
    <w:p>
      <w:pPr>
        <w:jc w:val="center"/>
        <w:ind w:right="1858"/>
        <w:spacing w:after="0"/>
        <w:rPr>
          <w:sz w:val="20"/>
          <w:szCs w:val="20"/>
          <w:color w:val="auto"/>
        </w:rPr>
      </w:pPr>
      <w:r>
        <w:rPr>
          <w:rFonts w:ascii="Arial" w:cs="Arial" w:eastAsia="Arial" w:hAnsi="Arial"/>
          <w:sz w:val="13"/>
          <w:szCs w:val="13"/>
          <w:b w:val="1"/>
          <w:bCs w:val="1"/>
          <w:color w:val="auto"/>
        </w:rPr>
        <w:t>Quarters Ended June</w:t>
      </w:r>
    </w:p>
    <w:p>
      <w:pPr>
        <w:jc w:val="center"/>
        <w:ind w:right="1858"/>
        <w:spacing w:after="0"/>
        <w:rPr>
          <w:sz w:val="20"/>
          <w:szCs w:val="20"/>
          <w:color w:val="auto"/>
        </w:rPr>
      </w:pPr>
      <w:r>
        <w:rPr>
          <w:rFonts w:ascii="Arial" w:cs="Arial" w:eastAsia="Arial" w:hAnsi="Arial"/>
          <w:sz w:val="14"/>
          <w:szCs w:val="14"/>
          <w:b w:val="1"/>
          <w:bCs w:val="1"/>
          <w:color w:val="auto"/>
        </w:rPr>
        <w:t>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875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282"/>
        <w:spacing w:after="0" w:line="235" w:lineRule="auto"/>
        <w:rPr>
          <w:sz w:val="20"/>
          <w:szCs w:val="20"/>
          <w:color w:val="auto"/>
        </w:rPr>
      </w:pPr>
      <w:r>
        <w:rPr>
          <w:rFonts w:ascii="Arial" w:cs="Arial" w:eastAsia="Arial" w:hAnsi="Arial"/>
          <w:sz w:val="14"/>
          <w:szCs w:val="14"/>
          <w:color w:val="auto"/>
        </w:rPr>
        <w:t>(in thousands)</w:t>
      </w:r>
    </w:p>
    <w:p>
      <w:pPr>
        <w:ind w:left="982" w:hanging="982"/>
        <w:spacing w:after="0"/>
        <w:tabs>
          <w:tab w:leader="none" w:pos="982" w:val="left"/>
        </w:tabs>
        <w:numPr>
          <w:ilvl w:val="0"/>
          <w:numId w:val="7"/>
        </w:numPr>
        <w:rPr>
          <w:rFonts w:ascii="Arial" w:cs="Arial" w:eastAsia="Arial" w:hAnsi="Arial"/>
          <w:sz w:val="15"/>
          <w:szCs w:val="15"/>
          <w:color w:val="auto"/>
        </w:rPr>
      </w:pPr>
      <w:r>
        <w:rPr>
          <w:rFonts w:ascii="Arial" w:cs="Arial" w:eastAsia="Arial" w:hAnsi="Arial"/>
          <w:sz w:val="15"/>
          <w:szCs w:val="15"/>
          <w:color w:val="auto"/>
        </w:rPr>
        <w:t>1,361</w:t>
      </w:r>
    </w:p>
    <w:p>
      <w:pPr>
        <w:spacing w:after="0" w:line="41" w:lineRule="exact"/>
        <w:rPr>
          <w:rFonts w:ascii="Arial" w:cs="Arial" w:eastAsia="Arial" w:hAnsi="Arial"/>
          <w:sz w:val="15"/>
          <w:szCs w:val="15"/>
          <w:color w:val="auto"/>
        </w:rPr>
      </w:pPr>
    </w:p>
    <w:p>
      <w:pPr>
        <w:ind w:left="982"/>
        <w:spacing w:after="0"/>
        <w:rPr>
          <w:rFonts w:ascii="Arial" w:cs="Arial" w:eastAsia="Arial" w:hAnsi="Arial"/>
          <w:sz w:val="15"/>
          <w:szCs w:val="15"/>
          <w:color w:val="auto"/>
        </w:rPr>
      </w:pPr>
      <w:r>
        <w:rPr>
          <w:rFonts w:ascii="Arial" w:cs="Arial" w:eastAsia="Arial" w:hAnsi="Arial"/>
          <w:sz w:val="15"/>
          <w:szCs w:val="15"/>
          <w:color w:val="auto"/>
        </w:rPr>
        <w:t>2,251</w:t>
      </w:r>
    </w:p>
    <w:p>
      <w:pPr>
        <w:spacing w:after="0" w:line="44"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25,100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16,652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875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 w:lineRule="exact"/>
        <w:rPr>
          <w:sz w:val="20"/>
          <w:szCs w:val="20"/>
          <w:color w:val="auto"/>
        </w:rPr>
      </w:pPr>
    </w:p>
    <w:p>
      <w:pPr>
        <w:ind w:left="882" w:hanging="882"/>
        <w:spacing w:after="0"/>
        <w:tabs>
          <w:tab w:leader="none" w:pos="882" w:val="left"/>
        </w:tabs>
        <w:numPr>
          <w:ilvl w:val="0"/>
          <w:numId w:val="8"/>
        </w:numPr>
        <w:rPr>
          <w:rFonts w:ascii="Arial" w:cs="Arial" w:eastAsia="Arial" w:hAnsi="Arial"/>
          <w:sz w:val="16"/>
          <w:szCs w:val="16"/>
          <w:color w:val="auto"/>
        </w:rPr>
      </w:pPr>
      <w:r>
        <w:rPr>
          <w:rFonts w:ascii="Arial" w:cs="Arial" w:eastAsia="Arial" w:hAnsi="Arial"/>
          <w:sz w:val="16"/>
          <w:szCs w:val="16"/>
          <w:color w:val="auto"/>
        </w:rPr>
        <w:t>45,364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875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875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166" w:lineRule="exact"/>
        <w:rPr>
          <w:sz w:val="20"/>
          <w:szCs w:val="20"/>
          <w:color w:val="auto"/>
        </w:rPr>
      </w:pPr>
    </w:p>
    <w:p>
      <w:pPr>
        <w:sectPr>
          <w:pgSz w:w="11900" w:h="16838" w:orient="portrait"/>
          <w:cols w:equalWidth="0" w:num="2">
            <w:col w:w="7438" w:space="720"/>
            <w:col w:w="3242"/>
          </w:cols>
          <w:pgMar w:left="240" w:top="459" w:right="259" w:bottom="1440" w:gutter="0" w:footer="0" w:header="0"/>
          <w:type w:val="continuous"/>
        </w:sectPr>
      </w:pPr>
    </w:p>
    <w:p>
      <w:pPr>
        <w:ind w:right="340"/>
        <w:spacing w:after="0" w:line="264" w:lineRule="auto"/>
        <w:rPr>
          <w:sz w:val="20"/>
          <w:szCs w:val="20"/>
          <w:color w:val="auto"/>
        </w:rPr>
      </w:pPr>
      <w:r>
        <w:rPr>
          <w:rFonts w:ascii="Arial" w:cs="Arial" w:eastAsia="Arial" w:hAnsi="Arial"/>
          <w:sz w:val="18"/>
          <w:szCs w:val="18"/>
          <w:color w:val="auto"/>
        </w:rPr>
        <w:t>Consolidated adjusted EBITDA is a non-GAAP financial measure within the meaning of Regulation G promulgated by the Securities and Exchange Commission. The following is a reconciliation of the net loss, as reported, to consolidated adjusted EBITDA, for the three and six months ended June 30, 2017 and 2016:</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gridSpan w:val="4"/>
          </w:tcPr>
          <w:p>
            <w:pPr>
              <w:jc w:val="right"/>
              <w:ind w:right="76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$(2,096)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$(1,191)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$(3,427)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in (earnings) losses, net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Add back:</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benefit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1,001</w:t>
            </w:r>
          </w:p>
        </w:tc>
        <w:tc>
          <w:tcPr>
            <w:tcW w:w="4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1,122</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1,942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3,348</w:t>
            </w:r>
          </w:p>
        </w:tc>
        <w:tc>
          <w:tcPr>
            <w:tcW w:w="4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3,578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6,634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Permitted acquisition related expenses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369</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15"/>
                <w:szCs w:val="15"/>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$ 1,361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$ 5,206</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$ 3,457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$ 5,474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7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Restructuring expenses and severance expenses represent non-recurring charges incurred during such periods and are permitted exclusions from the Company’s consolidated adjusted EBITDA, pursuant to the Company’s Credit Agreement.</w:t>
      </w:r>
    </w:p>
    <w:p>
      <w:pPr>
        <w:spacing w:after="0" w:line="102" w:lineRule="exact"/>
        <w:rPr>
          <w:rFonts w:ascii="Arial" w:cs="Arial" w:eastAsia="Arial" w:hAnsi="Arial"/>
          <w:sz w:val="15"/>
          <w:szCs w:val="15"/>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improve its liquidity during seasonally high working capital periods, in 2016 the Company entered into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to HSBC $17.6 million and $39.2 million of Receivables during the three and six months ended June 30, 2017, respectively. A charge of $63,000 and $130,000 related to the sale of the Receivables is included in selling, general and administrative expenses in the condensed consolidated statement of operations for the three and six months ended June 30, 2017,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amount of $10.5 million to manage interest rate exposure in connection with its variable interest rate borrowings. The hedge periods in these agreements commenced in March 2013 and will expire in September 2018, and the notional amounts amortize over this period. The hedge provides for a fixed payment of interest at an annual rate of 1.05% in exchange for the Adjusted LIBO Rate.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also entered into certain foreign exchange contracts, to primarily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condensed consolidated statement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Net cash used in operating activities was $4.3 million for the six months ended June 30, 2017 as compared to $19.6 million for the corresponding 2016 period. The change in operating cash flow was primarily due to the timing of the collection of receivables in the current period, as compared to the 2016 period, partially offset by an increase in inventory in the current period, as compared to the 2016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$2.7 million for the six months ended June 30, 2017, as compared to $1.1 million for the corresponding 2016 period.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financing activities was $3.0 million for the six months ended June 30, 2017 as compared to $20.4 million for the corresponding 2016 period. The change in financing activities was attributable to the change in borrowings under the Company’s Revolving Credit Facility and the prepayment of borrowings under the Company’s Term Loan.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were no material changes in market risk for changes in foreign currency exchange rates and interest rates from the information provided in Item 7A – Quantitative and Qualitative Disclosures About Market Risk in the Company’s Annual Report on Form 10-K for the year ended December 31,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121"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June 30, 2017,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7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7"/>
          <w:szCs w:val="17"/>
          <w:i w:val="1"/>
          <w:iCs w:val="1"/>
          <w:color w:val="auto"/>
        </w:rPr>
        <w:t>in-situ</w:t>
      </w:r>
      <w:r>
        <w:rPr>
          <w:rFonts w:ascii="Arial" w:cs="Arial" w:eastAsia="Arial" w:hAnsi="Arial"/>
          <w:sz w:val="17"/>
          <w:szCs w:val="17"/>
          <w:color w:val="auto"/>
        </w:rPr>
        <w:t xml:space="preserve"> treatment as needed to address residual sources. The EPA’s estimated capital cost for its selected remedy is $7.3 million. The EPA also designated a second operable unit under which the EPA will conduct further investigations to determine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condensed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company’s risk factors from those disclosed in the Company’s 2016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80" w:type="dxa"/>
            <w:vAlign w:val="bottom"/>
            <w:vMerge w:val="restart"/>
          </w:tcPr>
          <w:p>
            <w:pPr>
              <w:spacing w:after="0"/>
              <w:rPr>
                <w:sz w:val="12"/>
                <w:szCs w:val="12"/>
                <w:color w:val="auto"/>
              </w:rPr>
            </w:pP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shares</w:t>
            </w:r>
          </w:p>
        </w:tc>
        <w:tc>
          <w:tcPr>
            <w:tcW w:w="156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announced plans</w:t>
            </w:r>
          </w:p>
        </w:tc>
        <w:tc>
          <w:tcPr>
            <w:tcW w:w="6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6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r>
              <w:rPr>
                <w:rFonts w:ascii="Arial" w:cs="Arial" w:eastAsia="Arial" w:hAnsi="Arial"/>
                <w:sz w:val="12"/>
                <w:szCs w:val="12"/>
                <w:b w:val="1"/>
                <w:bCs w:val="1"/>
                <w:color w:val="auto"/>
                <w:w w:val="92"/>
              </w:rPr>
              <w:t>(2)</w:t>
            </w:r>
          </w:p>
        </w:tc>
        <w:tc>
          <w:tcPr>
            <w:tcW w:w="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end of period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June 30, 2017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6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6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vMerge w:val="continue"/>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   6,771,467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 participants to use shares to satisfy certain tax liabilities arising from the vesting of restricted stock. The number above does not include unvested shares forfeited back to us pursuant to the terms of our stock compensation plans.</w:t>
      </w:r>
    </w:p>
    <w:p>
      <w:pPr>
        <w:spacing w:after="0" w:line="2"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June 30, 2017.</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480" w:type="dxa"/>
            <w:vAlign w:val="bottom"/>
          </w:tcPr>
          <w:p>
            <w:pPr>
              <w:spacing w:after="0"/>
              <w:rPr>
                <w:sz w:val="16"/>
                <w:szCs w:val="16"/>
                <w:color w:val="auto"/>
              </w:rPr>
            </w:pPr>
          </w:p>
        </w:tc>
      </w:tr>
      <w:tr>
        <w:trPr>
          <w:trHeight w:val="295"/>
        </w:trPr>
        <w:tc>
          <w:tcPr>
            <w:tcW w:w="940" w:type="dxa"/>
            <w:vAlign w:val="bottom"/>
          </w:tcPr>
          <w:p>
            <w:pPr>
              <w:ind w:left="100"/>
              <w:spacing w:after="0"/>
              <w:rPr>
                <w:sz w:val="20"/>
                <w:szCs w:val="20"/>
                <w:color w:val="auto"/>
              </w:rPr>
            </w:pPr>
            <w:r>
              <w:rPr>
                <w:rFonts w:ascii="Arial" w:cs="Arial" w:eastAsia="Arial" w:hAnsi="Arial"/>
                <w:sz w:val="18"/>
                <w:szCs w:val="18"/>
                <w:color w:val="auto"/>
              </w:rPr>
              <w:t>10.1</w:t>
            </w:r>
          </w:p>
        </w:tc>
        <w:tc>
          <w:tcPr>
            <w:tcW w:w="10480" w:type="dxa"/>
            <w:vAlign w:val="bottom"/>
          </w:tcPr>
          <w:p>
            <w:pPr>
              <w:ind w:left="220"/>
              <w:spacing w:after="0"/>
              <w:rPr>
                <w:sz w:val="20"/>
                <w:szCs w:val="20"/>
                <w:color w:val="auto"/>
              </w:rPr>
            </w:pPr>
            <w:r>
              <w:rPr>
                <w:rFonts w:ascii="Arial" w:cs="Arial" w:eastAsia="Arial" w:hAnsi="Arial"/>
                <w:sz w:val="18"/>
                <w:szCs w:val="18"/>
                <w:color w:val="auto"/>
                <w:w w:val="94"/>
              </w:rPr>
              <w:t>Amended and Restated 2000 Incentive Bonus Compensation Plan (incorporated by reference to Exhibit 10.1 to the Registrant’s Current</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Report on Form 8-K filed on June 23, 2017)</w:t>
            </w:r>
          </w:p>
        </w:tc>
      </w:tr>
      <w:tr>
        <w:trPr>
          <w:trHeight w:val="310"/>
        </w:trPr>
        <w:tc>
          <w:tcPr>
            <w:tcW w:w="940" w:type="dxa"/>
            <w:vAlign w:val="bottom"/>
          </w:tcPr>
          <w:p>
            <w:pPr>
              <w:ind w:left="100"/>
              <w:spacing w:after="0"/>
              <w:rPr>
                <w:sz w:val="20"/>
                <w:szCs w:val="20"/>
                <w:color w:val="auto"/>
              </w:rPr>
            </w:pPr>
            <w:r>
              <w:rPr>
                <w:rFonts w:ascii="Arial" w:cs="Arial" w:eastAsia="Arial" w:hAnsi="Arial"/>
                <w:sz w:val="18"/>
                <w:szCs w:val="18"/>
                <w:color w:val="auto"/>
              </w:rPr>
              <w:t>10.2</w:t>
            </w:r>
          </w:p>
        </w:tc>
        <w:tc>
          <w:tcPr>
            <w:tcW w:w="10480" w:type="dxa"/>
            <w:vAlign w:val="bottom"/>
          </w:tcPr>
          <w:p>
            <w:pPr>
              <w:ind w:left="220"/>
              <w:spacing w:after="0"/>
              <w:rPr>
                <w:sz w:val="20"/>
                <w:szCs w:val="20"/>
                <w:color w:val="auto"/>
              </w:rPr>
            </w:pPr>
            <w:r>
              <w:rPr>
                <w:rFonts w:ascii="Arial" w:cs="Arial" w:eastAsia="Arial" w:hAnsi="Arial"/>
                <w:sz w:val="18"/>
                <w:szCs w:val="18"/>
                <w:color w:val="auto"/>
                <w:w w:val="90"/>
              </w:rPr>
              <w:t>Amended and Restated 2000 Long-Term Incentive Plan (incorporated by reference to Exhibit 10.2 to the Registrant’s Current Report on Form</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8-K filed on June 23, 2017)</w:t>
            </w:r>
          </w:p>
        </w:tc>
      </w:tr>
      <w:tr>
        <w:trPr>
          <w:trHeight w:val="310"/>
        </w:trPr>
        <w:tc>
          <w:tcPr>
            <w:tcW w:w="940" w:type="dxa"/>
            <w:vAlign w:val="bottom"/>
          </w:tcPr>
          <w:p>
            <w:pPr>
              <w:ind w:left="100"/>
              <w:spacing w:after="0"/>
              <w:rPr>
                <w:sz w:val="20"/>
                <w:szCs w:val="20"/>
                <w:color w:val="auto"/>
              </w:rPr>
            </w:pPr>
            <w:r>
              <w:rPr>
                <w:rFonts w:ascii="Arial" w:cs="Arial" w:eastAsia="Arial" w:hAnsi="Arial"/>
                <w:sz w:val="18"/>
                <w:szCs w:val="18"/>
                <w:color w:val="auto"/>
              </w:rPr>
              <w:t>31.1</w:t>
            </w:r>
          </w:p>
        </w:tc>
        <w:tc>
          <w:tcPr>
            <w:tcW w:w="10480" w:type="dxa"/>
            <w:vAlign w:val="bottom"/>
          </w:tcPr>
          <w:p>
            <w:pPr>
              <w:ind w:left="220"/>
              <w:spacing w:after="0"/>
              <w:rPr>
                <w:sz w:val="20"/>
                <w:szCs w:val="20"/>
                <w:color w:val="auto"/>
              </w:rPr>
            </w:pPr>
            <w:r>
              <w:rPr>
                <w:rFonts w:ascii="Arial" w:cs="Arial" w:eastAsia="Arial" w:hAnsi="Arial"/>
                <w:sz w:val="18"/>
                <w:szCs w:val="18"/>
                <w:color w:val="auto"/>
                <w:w w:val="91"/>
              </w:rPr>
              <w:t>Certification by Jeffrey Siegel, Chief Executive Officer and Chairman of the Board of Directors, pursuant to Rule 13a-14(a) or Rule 15d-14(a)</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of the Securities and Exchange Act of 1934, as adopted pursuant to Section 302 of the Sarbanes-Oxley Act of 2002</w:t>
            </w:r>
          </w:p>
        </w:tc>
      </w:tr>
      <w:tr>
        <w:trPr>
          <w:trHeight w:val="310"/>
        </w:trPr>
        <w:tc>
          <w:tcPr>
            <w:tcW w:w="940" w:type="dxa"/>
            <w:vAlign w:val="bottom"/>
          </w:tcPr>
          <w:p>
            <w:pPr>
              <w:ind w:left="100"/>
              <w:spacing w:after="0"/>
              <w:rPr>
                <w:sz w:val="20"/>
                <w:szCs w:val="20"/>
                <w:color w:val="auto"/>
              </w:rPr>
            </w:pPr>
            <w:r>
              <w:rPr>
                <w:rFonts w:ascii="Arial" w:cs="Arial" w:eastAsia="Arial" w:hAnsi="Arial"/>
                <w:sz w:val="18"/>
                <w:szCs w:val="18"/>
                <w:color w:val="auto"/>
              </w:rPr>
              <w:t>31.2</w:t>
            </w:r>
          </w:p>
        </w:tc>
        <w:tc>
          <w:tcPr>
            <w:tcW w:w="10480" w:type="dxa"/>
            <w:vAlign w:val="bottom"/>
          </w:tcPr>
          <w:p>
            <w:pPr>
              <w:ind w:left="220"/>
              <w:spacing w:after="0"/>
              <w:rPr>
                <w:sz w:val="20"/>
                <w:szCs w:val="20"/>
                <w:color w:val="auto"/>
              </w:rPr>
            </w:pPr>
            <w:r>
              <w:rPr>
                <w:rFonts w:ascii="Arial" w:cs="Arial" w:eastAsia="Arial" w:hAnsi="Arial"/>
                <w:sz w:val="18"/>
                <w:szCs w:val="18"/>
                <w:color w:val="auto"/>
                <w:w w:val="94"/>
              </w:rPr>
              <w:t>Certification by Laurence Winoker, Senior Vice President – Finance, Treasurer and Chief Financial Officer, pursuant to Rule 13a-14(a) or</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8"/>
              </w:rPr>
              <w:t>Rule 15d-14(a) of the Securities and Exchange Act of 1934, as adopted pursuant to Section 302 of the Sarbanes-Oxley Act of 2002</w:t>
            </w:r>
          </w:p>
        </w:tc>
      </w:tr>
      <w:tr>
        <w:trPr>
          <w:trHeight w:val="310"/>
        </w:trPr>
        <w:tc>
          <w:tcPr>
            <w:tcW w:w="940" w:type="dxa"/>
            <w:vAlign w:val="bottom"/>
          </w:tcPr>
          <w:p>
            <w:pPr>
              <w:ind w:left="100"/>
              <w:spacing w:after="0"/>
              <w:rPr>
                <w:sz w:val="20"/>
                <w:szCs w:val="20"/>
                <w:color w:val="auto"/>
              </w:rPr>
            </w:pPr>
            <w:r>
              <w:rPr>
                <w:rFonts w:ascii="Arial" w:cs="Arial" w:eastAsia="Arial" w:hAnsi="Arial"/>
                <w:sz w:val="18"/>
                <w:szCs w:val="18"/>
                <w:color w:val="auto"/>
              </w:rPr>
              <w:t>32.1</w:t>
            </w:r>
          </w:p>
        </w:tc>
        <w:tc>
          <w:tcPr>
            <w:tcW w:w="10480" w:type="dxa"/>
            <w:vAlign w:val="bottom"/>
          </w:tcPr>
          <w:p>
            <w:pPr>
              <w:ind w:left="220"/>
              <w:spacing w:after="0"/>
              <w:rPr>
                <w:sz w:val="20"/>
                <w:szCs w:val="20"/>
                <w:color w:val="auto"/>
              </w:rPr>
            </w:pPr>
            <w:r>
              <w:rPr>
                <w:rFonts w:ascii="Arial" w:cs="Arial" w:eastAsia="Arial" w:hAnsi="Arial"/>
                <w:sz w:val="18"/>
                <w:szCs w:val="18"/>
                <w:color w:val="auto"/>
                <w:w w:val="98"/>
              </w:rPr>
              <w:t>Certification by Jeffrey Siegel, Chief Executive Officer and Chairman of the Board of Directors, and Laurence Winoker, Senior Vice</w:t>
            </w:r>
          </w:p>
        </w:tc>
      </w:tr>
      <w:tr>
        <w:trPr>
          <w:trHeight w:val="216"/>
        </w:trPr>
        <w:tc>
          <w:tcPr>
            <w:tcW w:w="940" w:type="dxa"/>
            <w:vAlign w:val="bottom"/>
          </w:tcPr>
          <w:p>
            <w:pPr>
              <w:spacing w:after="0"/>
              <w:rPr>
                <w:sz w:val="18"/>
                <w:szCs w:val="18"/>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2"/>
              </w:rPr>
              <w:t>President – Finance, Treasurer and Chief Financial Officer, pursuant to 18 U.S.C. Section 1350, as adopted pursuant to Section 906 of the</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Sarbanes-Oxley Act of 2002</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40" w:type="dxa"/>
            <w:vAlign w:val="bottom"/>
          </w:tcPr>
          <w:p>
            <w:pPr>
              <w:spacing w:after="0"/>
              <w:rPr>
                <w:sz w:val="24"/>
                <w:szCs w:val="24"/>
                <w:color w:val="auto"/>
              </w:rPr>
            </w:pPr>
          </w:p>
        </w:tc>
        <w:tc>
          <w:tcPr>
            <w:tcW w:w="10480" w:type="dxa"/>
            <w:vAlign w:val="bottom"/>
          </w:tcPr>
          <w:p>
            <w:pPr>
              <w:ind w:left="4580"/>
              <w:spacing w:after="0"/>
              <w:rPr>
                <w:sz w:val="20"/>
                <w:szCs w:val="20"/>
                <w:color w:val="auto"/>
              </w:rPr>
            </w:pPr>
            <w:r>
              <w:rPr>
                <w:rFonts w:ascii="Arial" w:cs="Arial" w:eastAsia="Arial" w:hAnsi="Arial"/>
                <w:sz w:val="18"/>
                <w:szCs w:val="18"/>
                <w:color w:val="auto"/>
              </w:rPr>
              <w:t>- 38 -</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Lifetime Brands, Inc.</w:t>
            </w:r>
          </w:p>
        </w:tc>
        <w:tc>
          <w:tcPr>
            <w:tcW w:w="1520" w:type="dxa"/>
            <w:vAlign w:val="bottom"/>
          </w:tcPr>
          <w:p>
            <w:pPr>
              <w:spacing w:after="0"/>
              <w:rPr>
                <w:sz w:val="20"/>
                <w:szCs w:val="20"/>
                <w:color w:val="auto"/>
              </w:rPr>
            </w:pPr>
          </w:p>
        </w:tc>
      </w:tr>
      <w:tr>
        <w:trPr>
          <w:trHeight w:val="432"/>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Siegel</w:t>
            </w:r>
          </w:p>
        </w:tc>
        <w:tc>
          <w:tcPr>
            <w:tcW w:w="1520" w:type="dxa"/>
            <w:vAlign w:val="bottom"/>
          </w:tcPr>
          <w:p>
            <w:pPr>
              <w:ind w:left="400"/>
              <w:spacing w:after="0"/>
              <w:rPr>
                <w:sz w:val="20"/>
                <w:szCs w:val="20"/>
                <w:color w:val="auto"/>
              </w:rPr>
            </w:pPr>
            <w:r>
              <w:rPr>
                <w:rFonts w:ascii="Arial" w:cs="Arial" w:eastAsia="Arial" w:hAnsi="Arial"/>
                <w:sz w:val="18"/>
                <w:szCs w:val="18"/>
                <w:color w:val="auto"/>
                <w:w w:val="90"/>
              </w:rPr>
              <w:t>August 8, 2017</w:t>
            </w:r>
          </w:p>
        </w:tc>
      </w:tr>
      <w:tr>
        <w:trPr>
          <w:trHeight w:val="195"/>
        </w:trPr>
        <w:tc>
          <w:tcPr>
            <w:tcW w:w="2680" w:type="dxa"/>
            <w:vAlign w:val="bottom"/>
          </w:tcPr>
          <w:p>
            <w:pPr>
              <w:spacing w:after="0" w:line="195" w:lineRule="exact"/>
              <w:rPr>
                <w:sz w:val="20"/>
                <w:szCs w:val="20"/>
                <w:color w:val="auto"/>
              </w:rPr>
            </w:pPr>
            <w:r>
              <w:rPr>
                <w:rFonts w:ascii="Arial" w:cs="Arial" w:eastAsia="Arial" w:hAnsi="Arial"/>
                <w:sz w:val="18"/>
                <w:szCs w:val="18"/>
                <w:color w:val="auto"/>
              </w:rPr>
              <w:t>Jeffrey Siegel</w:t>
            </w:r>
          </w:p>
        </w:tc>
        <w:tc>
          <w:tcPr>
            <w:tcW w:w="1520" w:type="dxa"/>
            <w:vAlign w:val="bottom"/>
          </w:tcPr>
          <w:p>
            <w:pPr>
              <w:spacing w:after="0"/>
              <w:rPr>
                <w:sz w:val="16"/>
                <w:szCs w:val="16"/>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Chief Executive Officer and Director</w:t>
            </w:r>
          </w:p>
        </w:tc>
        <w:tc>
          <w:tcPr>
            <w:tcW w:w="15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520" w:type="dxa"/>
            <w:vAlign w:val="bottom"/>
          </w:tcPr>
          <w:p>
            <w:pPr>
              <w:spacing w:after="0"/>
              <w:rPr>
                <w:sz w:val="20"/>
                <w:szCs w:val="20"/>
                <w:color w:val="auto"/>
              </w:rPr>
            </w:pPr>
          </w:p>
        </w:tc>
      </w:tr>
      <w:tr>
        <w:trPr>
          <w:trHeight w:val="648"/>
        </w:trPr>
        <w:tc>
          <w:tcPr>
            <w:tcW w:w="2680" w:type="dxa"/>
            <w:vAlign w:val="bottom"/>
          </w:tcPr>
          <w:p>
            <w:pPr>
              <w:spacing w:after="0"/>
              <w:rPr>
                <w:sz w:val="20"/>
                <w:szCs w:val="20"/>
                <w:color w:val="auto"/>
              </w:rPr>
            </w:pPr>
            <w:r>
              <w:rPr>
                <w:rFonts w:ascii="Arial" w:cs="Arial" w:eastAsia="Arial" w:hAnsi="Arial"/>
                <w:sz w:val="18"/>
                <w:szCs w:val="18"/>
                <w:color w:val="auto"/>
              </w:rPr>
              <w:t>/s/ Laurence Winoker</w:t>
            </w:r>
          </w:p>
        </w:tc>
        <w:tc>
          <w:tcPr>
            <w:tcW w:w="1520" w:type="dxa"/>
            <w:vAlign w:val="bottom"/>
          </w:tcPr>
          <w:p>
            <w:pPr>
              <w:ind w:left="400"/>
              <w:spacing w:after="0"/>
              <w:rPr>
                <w:sz w:val="20"/>
                <w:szCs w:val="20"/>
                <w:color w:val="auto"/>
              </w:rPr>
            </w:pPr>
            <w:r>
              <w:rPr>
                <w:rFonts w:ascii="Arial" w:cs="Arial" w:eastAsia="Arial" w:hAnsi="Arial"/>
                <w:sz w:val="18"/>
                <w:szCs w:val="18"/>
                <w:color w:val="auto"/>
                <w:w w:val="90"/>
              </w:rPr>
              <w:t>August 8, 2017</w:t>
            </w:r>
          </w:p>
        </w:tc>
      </w:tr>
    </w:tbl>
    <w:p>
      <w:pPr>
        <w:ind w:left="6860"/>
        <w:spacing w:after="0"/>
        <w:rPr>
          <w:sz w:val="20"/>
          <w:szCs w:val="20"/>
          <w:color w:val="auto"/>
        </w:rPr>
      </w:pPr>
      <w:r>
        <w:rPr>
          <w:rFonts w:ascii="Arial" w:cs="Arial" w:eastAsia="Arial" w:hAnsi="Arial"/>
          <w:sz w:val="18"/>
          <w:szCs w:val="18"/>
          <w:color w:val="auto"/>
        </w:rPr>
        <w:t>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17068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 Finance, Treasurer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220"/>
          </w:cols>
          <w:pgMar w:left="240" w:top="459"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Siegel, certify that:</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80" w:right="120" w:hanging="567"/>
        <w:spacing w:after="0" w:line="286" w:lineRule="auto"/>
        <w:tabs>
          <w:tab w:leader="none" w:pos="1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480" w:right="4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480" w:right="50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Jeffrey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80" w:right="120" w:hanging="567"/>
        <w:spacing w:after="0" w:line="286" w:lineRule="auto"/>
        <w:tabs>
          <w:tab w:leader="none" w:pos="14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0" w:lineRule="exact"/>
        <w:rPr>
          <w:rFonts w:ascii="Arial" w:cs="Arial" w:eastAsia="Arial" w:hAnsi="Arial"/>
          <w:sz w:val="17"/>
          <w:szCs w:val="17"/>
          <w:color w:val="auto"/>
        </w:rPr>
      </w:pPr>
    </w:p>
    <w:p>
      <w:pPr>
        <w:ind w:left="1480" w:right="40" w:hanging="567"/>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480" w:right="500" w:hanging="567"/>
        <w:spacing w:after="0" w:line="34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Certification by Jeffrey Siegel, Chief Executive Officer and Chairman of the Board of Directors, and Laurence Winoker, Senior Vice President – Finance, Treasurer and Chief Financial Officer, Pursuant to 18 U.S.C. Section 1350, as Adopted Pursuant to Section 906 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 Jeffrey Siegel, Chief Executive Officer and Chairman of the Board of Directors, and I, Laurence Winoker, Senior Vice President – Finance, Treasurer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of Lifetime Brands, Inc., a Delaware corporation (the “Company”), each hereby certifies that:</w:t>
      </w:r>
    </w:p>
    <w:p>
      <w:pPr>
        <w:spacing w:after="0" w:line="116" w:lineRule="exact"/>
        <w:rPr>
          <w:sz w:val="20"/>
          <w:szCs w:val="20"/>
          <w:color w:val="auto"/>
        </w:rPr>
      </w:pPr>
    </w:p>
    <w:p>
      <w:pPr>
        <w:ind w:left="900" w:right="3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2017 (the “Form 10-Q”)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/s/ Jeffrey Siegel</w:t>
            </w:r>
          </w:p>
        </w:tc>
        <w:tc>
          <w:tcPr>
            <w:tcW w:w="5460" w:type="dxa"/>
            <w:vAlign w:val="bottom"/>
          </w:tcPr>
          <w:p>
            <w:pPr>
              <w:ind w:left="100"/>
              <w:spacing w:after="0"/>
              <w:rPr>
                <w:sz w:val="20"/>
                <w:szCs w:val="20"/>
                <w:color w:val="auto"/>
              </w:rPr>
            </w:pPr>
            <w:r>
              <w:rPr>
                <w:rFonts w:ascii="Arial" w:cs="Arial" w:eastAsia="Arial" w:hAnsi="Arial"/>
                <w:sz w:val="18"/>
                <w:szCs w:val="18"/>
                <w:color w:val="auto"/>
              </w:rPr>
              <w:t>/s/ Laurence Winoker</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Siegel</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Laurence Winoker</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Chief Executive Officer and Director</w:t>
            </w: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Date: August 8, 2017</w:t>
            </w:r>
          </w:p>
        </w:tc>
        <w:tc>
          <w:tcPr>
            <w:tcW w:w="5460" w:type="dxa"/>
            <w:vAlign w:val="bottom"/>
          </w:tcPr>
          <w:p>
            <w:pPr>
              <w:ind w:left="100"/>
              <w:spacing w:after="0"/>
              <w:rPr>
                <w:sz w:val="20"/>
                <w:szCs w:val="20"/>
                <w:color w:val="auto"/>
              </w:rPr>
            </w:pPr>
            <w:r>
              <w:rPr>
                <w:rFonts w:ascii="Arial" w:cs="Arial" w:eastAsia="Arial" w:hAnsi="Arial"/>
                <w:sz w:val="18"/>
                <w:szCs w:val="18"/>
                <w:color w:val="auto"/>
              </w:rPr>
              <w:t>Date: August 8,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-351155</wp:posOffset>
            </wp:positionV>
            <wp:extent cx="28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
      <w:numFmt w:val="bullet"/>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decimal"/>
      <w:start w:val="1"/>
    </w:lvl>
    <w:lvl w:ilvl="1">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2019-12-29T05:17:35Z</dcterms:created>
  <dcterms:modified xsi:type="dcterms:W3CDTF">2019-12-29T05:17:35Z</dcterms:modified>
</cp:coreProperties>
</file>