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3"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8"/>
        </w:trPr>
        <w:tc>
          <w:tcPr>
            <w:tcW w:w="664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75"/>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404"/>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220"/>
          </w:cols>
          <w:pgMar w:left="320" w:top="233" w:right="359" w:bottom="138"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April 30, 2023 was 21,693,322.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MARCH 31, 2023</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30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2"/>
              </w:rPr>
              <w:t>Financial Information</w:t>
            </w:r>
          </w:p>
        </w:tc>
        <w:tc>
          <w:tcPr>
            <w:tcW w:w="750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Financial Statements</w:t>
            </w:r>
          </w:p>
        </w:tc>
        <w:tc>
          <w:tcPr>
            <w:tcW w:w="7700" w:type="dxa"/>
            <w:vAlign w:val="bottom"/>
            <w:gridSpan w:val="11"/>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 March 31, 2023 (unaudited) and December 31, 2022</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 (unaudited) – Three Months Ended March 31, 2023 and 2022</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gridSpan w:val="17"/>
          </w:tcPr>
          <w:p>
            <w:pPr>
              <w:spacing w:after="0"/>
              <w:rPr>
                <w:sz w:val="20"/>
                <w:szCs w:val="20"/>
                <w:color w:val="auto"/>
              </w:rPr>
            </w:pPr>
            <w:r>
              <w:rPr>
                <w:rFonts w:ascii="Arial" w:cs="Arial" w:eastAsia="Arial" w:hAnsi="Arial"/>
                <w:sz w:val="18"/>
                <w:szCs w:val="18"/>
                <w:color w:val="0000FF"/>
                <w:w w:val="93"/>
              </w:rPr>
              <w:t>Condensed Consolidated Statements of Comprehensive (Loss) Income (unaudited) – Three Months Ended March 31, 2023</w:t>
            </w:r>
          </w:p>
        </w:tc>
        <w:tc>
          <w:tcPr>
            <w:tcW w:w="800" w:type="dxa"/>
            <w:vAlign w:val="bottom"/>
            <w:gridSpan w:val="2"/>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5"/>
              </w:rPr>
              <w:t>and 2022</w:t>
            </w:r>
          </w:p>
        </w:tc>
        <w:tc>
          <w:tcPr>
            <w:tcW w:w="8180" w:type="dxa"/>
            <w:vAlign w:val="bottom"/>
            <w:tcBorders>
              <w:top w:val="single" w:sz="8" w:color="0000FF"/>
            </w:tcBorders>
            <w:gridSpan w:val="14"/>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Condensed Consolidated Statements of Stockholders’ Equity (unaudited) –Three Months Ended March 31, 2023 and 2022</w:t>
            </w:r>
          </w:p>
        </w:tc>
        <w:tc>
          <w:tcPr>
            <w:tcW w:w="380" w:type="dxa"/>
            <w:vAlign w:val="bottom"/>
            <w:gridSpan w:val="2"/>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Condensed Consolidated Statements of Cash Flows (unaudited) – Three Months Ended March 31, 2023 and 2022</w:t>
            </w:r>
          </w:p>
        </w:tc>
        <w:tc>
          <w:tcPr>
            <w:tcW w:w="1020" w:type="dxa"/>
            <w:vAlign w:val="bottom"/>
            <w:gridSpan w:val="3"/>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340" w:type="dxa"/>
            <w:vAlign w:val="bottom"/>
            <w:gridSpan w:val="7"/>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22"/>
                <w:szCs w:val="22"/>
                <w:color w:val="auto"/>
              </w:rPr>
            </w:pPr>
          </w:p>
        </w:tc>
        <w:tc>
          <w:tcPr>
            <w:tcW w:w="276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860" w:type="dxa"/>
            <w:vAlign w:val="bottom"/>
            <w:gridSpan w:val="8"/>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3"/>
              </w:rPr>
              <w:t>Other Information</w:t>
            </w:r>
          </w:p>
        </w:tc>
        <w:tc>
          <w:tcPr>
            <w:tcW w:w="320" w:type="dxa"/>
            <w:vAlign w:val="bottom"/>
            <w:tcBorders>
              <w:top w:val="single" w:sz="8" w:color="0000FF"/>
            </w:tcBorders>
            <w:gridSpan w:val="3"/>
          </w:tcPr>
          <w:p>
            <w:pPr>
              <w:spacing w:after="0"/>
              <w:rPr>
                <w:sz w:val="22"/>
                <w:szCs w:val="22"/>
                <w:color w:val="auto"/>
              </w:rPr>
            </w:pPr>
          </w:p>
        </w:tc>
        <w:tc>
          <w:tcPr>
            <w:tcW w:w="7440" w:type="dxa"/>
            <w:vAlign w:val="bottom"/>
            <w:gridSpan w:val="9"/>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Pr>
          <w:p>
            <w:pPr>
              <w:spacing w:after="0"/>
              <w:rPr>
                <w:sz w:val="24"/>
                <w:szCs w:val="24"/>
                <w:color w:val="auto"/>
              </w:rPr>
            </w:pPr>
          </w:p>
        </w:tc>
        <w:tc>
          <w:tcPr>
            <w:tcW w:w="7880" w:type="dxa"/>
            <w:vAlign w:val="bottom"/>
            <w:gridSpan w:val="13"/>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9"/>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4860" w:type="dxa"/>
            <w:vAlign w:val="bottom"/>
            <w:gridSpan w:val="8"/>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3740" w:type="dxa"/>
            <w:vAlign w:val="bottom"/>
            <w:gridSpan w:val="8"/>
          </w:tcPr>
          <w:p>
            <w:pPr>
              <w:spacing w:after="0"/>
              <w:rPr>
                <w:sz w:val="22"/>
                <w:szCs w:val="22"/>
                <w:color w:val="auto"/>
              </w:rPr>
            </w:pPr>
          </w:p>
        </w:tc>
        <w:tc>
          <w:tcPr>
            <w:tcW w:w="4860" w:type="dxa"/>
            <w:vAlign w:val="bottom"/>
            <w:gridSpan w:val="8"/>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0"/>
                <w:szCs w:val="20"/>
                <w:color w:val="auto"/>
              </w:rPr>
            </w:pPr>
            <w:r>
              <w:rPr>
                <w:rFonts w:ascii="Arial" w:cs="Arial" w:eastAsia="Arial" w:hAnsi="Arial"/>
                <w:sz w:val="18"/>
                <w:szCs w:val="18"/>
                <w:color w:val="0000FF"/>
                <w:w w:val="85"/>
              </w:rPr>
              <w:t>Signatures</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82"/>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w w:val="95"/>
              </w:rPr>
              <w:t>Accounts receivable, less allowances of $15,832 at March 31, 2023 and $14,606 at December 31, 2022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141,195</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222,209</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13,254</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400,256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74,869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213,887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725,888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38,052</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77,602</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14,028</w:t>
            </w: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129,906</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76,420</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9,607</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235,619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242,857</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B; none issued and outstanding</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5"/>
              </w:rPr>
              <w:t>Common stock, $0.01 par value, shares authorized: 50,000,000 at March 31, 2023 and December 31,</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2022; shares issued and outstanding: 21,690,766 at March 31, 2023 and 21,779,799 at December 31, 2022</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274,579</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 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(35,854)</w:t>
            </w: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240,088</w:t>
            </w: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725,888</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to market (loss) gain on interest rate derivatives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(Loss) income before income taxes and equity in (losses) earnings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earnings, net of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(LOSS) INCOME PER COMMON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2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(8,805)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deficit)</w:t>
            </w:r>
          </w:p>
        </w:tc>
        <w:tc>
          <w:tcPr>
            <w:tcW w:w="12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21,780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240,088</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(8,805)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21,691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275,004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(35,434)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228,661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255,646</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521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03"/>
        </w:trPr>
        <w:tc>
          <w:tcPr>
            <w:tcW w:w="3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left="9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21"/>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255,732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Cash dividends declared per share of common stock were $0.0425 and $0.0425 in the three months ended March 31, 2023 and 2022, respectively.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470"/>
              <w:spacing w:after="0" w:line="202" w:lineRule="exact"/>
              <w:rPr>
                <w:sz w:val="20"/>
                <w:szCs w:val="20"/>
                <w:color w:val="auto"/>
              </w:rPr>
            </w:pPr>
            <w:r>
              <w:rPr>
                <w:rFonts w:ascii="Arial" w:cs="Arial" w:eastAsia="Arial" w:hAnsi="Arial"/>
                <w:sz w:val="18"/>
                <w:szCs w:val="18"/>
                <w:b w:val="1"/>
                <w:bCs w:val="1"/>
                <w:color w:val="auto"/>
              </w:rPr>
              <w:t>Three Months Ended</w:t>
            </w: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7"/>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4,899</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Mark to market loss (gain) on interest rate derivatives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Non-cash lease adjustment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Provision (recovery) for doubtful accounts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Undistributed losses (earnings) from equity investment, net of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59,657</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13,404</w:t>
            </w:r>
          </w:p>
        </w:tc>
      </w:tr>
      <w:tr>
        <w:trPr>
          <w:trHeight w:val="210"/>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(18,359)</w:t>
            </w:r>
          </w:p>
        </w:tc>
      </w:tr>
      <w:tr>
        <w:trPr>
          <w:trHeight w:val="210"/>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57,395</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for stock repurchase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27,982</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14,846</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140"/>
        <w:spacing w:after="0" w:line="377"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2022.</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Operating results for the three months ended March 31, 2023 are not necessarily indicative of the results that may be expected for the year ending December 31, 2023.</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business and working capital needs are seasonal, with a majority of sales occurring in the third and fourth quarters. In 2022 and 2021, net sales for the third and fourth quarters accounted for 54% and 56% of total annual net sales, respectively. The current market conditions and shifts in both consumer and retailer purchasing patterns has impacted the seasonality of the Company's net sales compared to historical trends. In anticipation of the pre-holiday shipping season, inventory levels increase primarily in the June through October time period. In 2023, the Company's inventory trends may deviate from historical trends due to a change in inventory strategy to react to the current market conditions impacting the Company and retailers.</w:t>
      </w:r>
    </w:p>
    <w:p>
      <w:pPr>
        <w:spacing w:after="0" w:line="16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spacing w:after="0" w:line="15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months ended March 31, 2023. Pursuant to the Receivable Purchase Agreement, the Company sold to HSBC $46.3 million of receivables during the three months ended March 31, 2022. Charges of $0.1 million related to the sale of the receivables are included in selling, general and administrative expenses in the unaudited condensed consolidated statements of operations for the three months ended March 31, 2022. At March 31, 2023 and 2022, zero and $28.1 million, respectively, of receivables sold were outstanding and due to HSBC from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$21.9 million of accounts receivables were available for sale to HSBC, net of applicable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- 8 -</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815”</w:t>
      </w:r>
      <w:r>
        <w:rPr>
          <w:rFonts w:ascii="Arial" w:cs="Arial" w:eastAsia="Arial" w:hAnsi="Arial"/>
          <w:sz w:val="17"/>
          <w:szCs w:val="17"/>
          <w:i w:val="1"/>
          <w:iCs w:val="1"/>
          <w:color w:val="auto"/>
        </w:rPr>
        <w:t>)</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2022 by comparing the fair value of the reporting unit with its carrying value. The Company performed the analysis using a discounted cash flow and market multiple method. As of October 1, 2022, the fair value of the U.S. reporting unit exceeded the carrying value of goodwill by 10%.</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operations. Should the carrying value of a reporting unit be in excess of the estimated fair value of that reporting unit, an impairment charge will be recorded to reduce the reporting unit to fair value.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 The Company completed the quantitative impairment analysis for its indefinite-lived assets as of October 1, 2022, by comparing the fair value of the indefinite-lived trade names to their respective carrying value using a relief from royalty method. As of October 1, 2022, the fair value of the Company’s indefinite-lived trade names exceeded their respective carrying values by 12%.</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fourth quarter of 2022, the Company's U.S. segment incurred $0.4 million of restructuring expense in connection with the reorganization the U.S. segment's sales management structure. At March 31, 2023, the accrual balance was $0.3 million, and the remaining payments are expected to be paid within fiscal year 2023.</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During the three months ended March 31, 2023, the Company incurred $0.8 million of unallocated corporate expense related to the termination payment with its Executive Chairman, Jeffrey Siegel. On November 1, 2022, the Company entered into a transition agreement with its Executive Chairman, Jeffrey Siegel, which terminated his employment with the Company, effective March 31, 2023. The employment agreement provided for a one-time termination payment. The one-time payment of $1.4 million was recognized over the remaining employment period with $0.6 million recognized in the fourth quarter of 2022. At March 31, 2023, the accrual balance was $1.4 million. The termination payment was paid on April 7,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Effective January 1, 2023, the Company adopted ASU 2016-13, Measurement of Credit Losses on Financial Instruments. This guidance introduces a new model for recognizing credit losses on financial instruments based on an estimate of current expected credit losses, to include historical experience, current conditions and reasonable and supportable forecasts. The Company adopted this guidance on a modified retrospective basis and the adoption did not have a material impact on the Company’s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recent accounting pronouncements were assessed and either determined to not be applicable or are expected to have a minimal effect on the Company’s financial position, results of operations, and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$0.5 million and $1.0 million for the three months ended March 31, 2023 and 2022, respectively. Net sales exclude taxes that are collected from customers and remitted to the taxing authorities.</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17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7"/>
                <w:szCs w:val="17"/>
                <w:color w:val="auto"/>
              </w:rPr>
            </w:pPr>
          </w:p>
        </w:tc>
      </w:tr>
      <w:tr>
        <w:trPr>
          <w:trHeight w:val="26"/>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85,732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114,130</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26,577</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166,218</w:t>
            </w: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w:t>
            </w:r>
          </w:p>
        </w:tc>
      </w:tr>
      <w:tr>
        <w:trPr>
          <w:trHeight w:val="223"/>
        </w:trPr>
        <w:tc>
          <w:tcPr>
            <w:tcW w:w="824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127,246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159,402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12,529</w:t>
            </w:r>
          </w:p>
        </w:tc>
      </w:tr>
      <w:tr>
        <w:trPr>
          <w:trHeight w:val="248"/>
        </w:trPr>
        <w:tc>
          <w:tcPr>
            <w:tcW w:w="8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well</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purchase price was comprised of the following (in thousands):</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22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2200" w:type="dxa"/>
            <w:vAlign w:val="bottom"/>
          </w:tcPr>
          <w:p>
            <w:pPr>
              <w:spacing w:after="0"/>
              <w:rPr>
                <w:sz w:val="19"/>
                <w:szCs w:val="19"/>
                <w:color w:val="auto"/>
              </w:rPr>
            </w:pPr>
          </w:p>
        </w:tc>
        <w:tc>
          <w:tcPr>
            <w:tcW w:w="40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Cash paid</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r>
      <w:tr>
        <w:trPr>
          <w:trHeight w:val="230"/>
        </w:trPr>
        <w:tc>
          <w:tcPr>
            <w:tcW w:w="220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 of contingent consideration</w:t>
            </w:r>
          </w:p>
        </w:tc>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220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purchase price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r>
      <w:tr>
        <w:trPr>
          <w:trHeight w:val="20"/>
        </w:trPr>
        <w:tc>
          <w:tcPr>
            <w:tcW w:w="220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Reflects final working capital adjustment of $21k pursuant to the terms of the Asset Purchase Agreement.</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value of contingent consideration represents the present value of estimated contingent payments of $0.7 million, related to the attainment of certain net sales contribution targets for the year 2024. Acquisition related costs of $0.9 million were recorded within selling, general and administrative expenses in the unaudited condensed consolidated statements of operations for the three months ended March 31, 2022.</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purchase price was allocated based on the Company’s final estimate of the fair values of the assets acquired and liabilities assumed at the acquisition date, as follows (in thousands):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5080" w:type="dxa"/>
            <w:vAlign w:val="bottom"/>
            <w:gridSpan w:val="2"/>
          </w:tcPr>
          <w:p>
            <w:pPr>
              <w:jc w:val="right"/>
              <w:ind w:right="3010"/>
              <w:spacing w:after="0"/>
              <w:rPr>
                <w:sz w:val="20"/>
                <w:szCs w:val="20"/>
                <w:color w:val="auto"/>
              </w:rPr>
            </w:pPr>
            <w:r>
              <w:rPr>
                <w:rFonts w:ascii="Arial" w:cs="Arial" w:eastAsia="Arial" w:hAnsi="Arial"/>
                <w:sz w:val="18"/>
                <w:szCs w:val="18"/>
                <w:color w:val="auto"/>
              </w:rPr>
              <w:t>(unaudited)</w:t>
            </w:r>
          </w:p>
        </w:tc>
        <w:tc>
          <w:tcPr>
            <w:tcW w:w="2060" w:type="dxa"/>
            <w:vAlign w:val="bottom"/>
          </w:tcPr>
          <w:p>
            <w:pPr>
              <w:spacing w:after="0"/>
              <w:rPr>
                <w:sz w:val="20"/>
                <w:szCs w:val="20"/>
                <w:color w:val="auto"/>
              </w:rPr>
            </w:pPr>
          </w:p>
        </w:tc>
      </w:tr>
      <w:tr>
        <w:trPr>
          <w:trHeight w:val="688"/>
        </w:trPr>
        <w:tc>
          <w:tcPr>
            <w:tcW w:w="406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Purchase Price Allocation</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4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r>
    </w:tbl>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FASB ASC Topic 805, Business Combinations (“ASC Topic 805”), which established a new basis of accounting for all identifiable assets acquired and liabilities assumed at fair value.</w:t>
      </w:r>
    </w:p>
    <w:p>
      <w:pPr>
        <w:spacing w:after="0" w:line="18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goodwill and intangible assets are included in the U.S. segment. The trade name intangible asset is amortized on a straight-line basis over its estimated useful life of 12 years (see NOTE 6 — INTANGIBLE ASSETS). The goodwill recognized results from such factors as assembled workforce and the value of other synergies expected from combining operations with the Company. The associated goodwill is deductible for tax purposes over 15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MPA International, LP</w:t>
      </w:r>
    </w:p>
    <w:p>
      <w:pPr>
        <w:spacing w:after="0" w:line="121"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On May 3, 2023, the Company executed an asset purchase agreement to acquire the assets of MPA International, LP (a U.S. based company) and its subsidiary, Compania de Servicios de Manufactura de la Frontera, S. de R.L. de C.V (COSMA). The estimated purchase price is approximately</w:t>
      </w:r>
    </w:p>
    <w:p>
      <w:pPr>
        <w:ind w:right="240"/>
        <w:spacing w:after="0" w:line="255" w:lineRule="auto"/>
        <w:rPr>
          <w:sz w:val="20"/>
          <w:szCs w:val="20"/>
          <w:color w:val="auto"/>
        </w:rPr>
      </w:pPr>
      <w:r>
        <w:rPr>
          <w:rFonts w:ascii="Arial" w:cs="Arial" w:eastAsia="Arial" w:hAnsi="Arial"/>
          <w:sz w:val="18"/>
          <w:szCs w:val="18"/>
          <w:color w:val="auto"/>
        </w:rPr>
        <w:t>$0.4 million, with the asset purchases and transfers expected to occur in the second and third quarter of 2023. The acquisition will result in the Company having manufacturing operations in Mexico in the form of a maquiladora producing a variety of plastic molded products, primarily for the Company’s kitchenware products.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a manufacturing plant, and certain vehicles.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2023 and 2022 were as follows (in thousands):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6"/>
        </w:trPr>
        <w:tc>
          <w:tcPr>
            <w:tcW w:w="824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4,408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35" w:lineRule="exact"/>
        <w:rPr>
          <w:sz w:val="20"/>
          <w:szCs w:val="20"/>
          <w:color w:val="auto"/>
        </w:rPr>
      </w:pPr>
    </w:p>
    <w:p>
      <w:pPr>
        <w:ind w:right="640"/>
        <w:spacing w:after="0" w:line="269" w:lineRule="auto"/>
        <w:rPr>
          <w:sz w:val="20"/>
          <w:szCs w:val="20"/>
          <w:color w:val="auto"/>
        </w:rPr>
      </w:pPr>
      <w:r>
        <w:rPr>
          <w:rFonts w:ascii="Arial" w:cs="Arial" w:eastAsia="Arial" w:hAnsi="Arial"/>
          <w:sz w:val="18"/>
          <w:szCs w:val="18"/>
          <w:color w:val="auto"/>
        </w:rPr>
        <w:t>Supplemental cash flow information for lease related liabilities and assets for the three months ended March 31, 2023 and 2022 were as follows (in thousands):</w:t>
      </w: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4,743</w:t>
            </w:r>
          </w:p>
        </w:tc>
        <w:tc>
          <w:tcPr>
            <w:tcW w:w="60" w:type="dxa"/>
            <w:vAlign w:val="bottom"/>
          </w:tcPr>
          <w:p>
            <w:pPr>
              <w:spacing w:after="0"/>
              <w:rPr>
                <w:sz w:val="20"/>
                <w:szCs w:val="20"/>
                <w:color w:val="auto"/>
              </w:rPr>
            </w:pPr>
          </w:p>
        </w:tc>
      </w:tr>
      <w:tr>
        <w:trPr>
          <w:trHeight w:val="904"/>
        </w:trPr>
        <w:tc>
          <w:tcPr>
            <w:tcW w:w="8440" w:type="dxa"/>
            <w:vAlign w:val="bottom"/>
          </w:tcPr>
          <w:p>
            <w:pPr>
              <w:jc w:val="right"/>
              <w:ind w:right="2530"/>
              <w:spacing w:after="0"/>
              <w:rPr>
                <w:sz w:val="20"/>
                <w:szCs w:val="20"/>
                <w:color w:val="auto"/>
              </w:rPr>
            </w:pPr>
            <w:r>
              <w:rPr>
                <w:rFonts w:ascii="Arial" w:cs="Arial" w:eastAsia="Arial" w:hAnsi="Arial"/>
                <w:sz w:val="18"/>
                <w:szCs w:val="18"/>
                <w:color w:val="auto"/>
              </w:rPr>
              <w:t>- 13 -</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8440" w:type="dxa"/>
            <w:vAlign w:val="bottom"/>
          </w:tcPr>
          <w:p>
            <w:pPr>
              <w:spacing w:after="0"/>
              <w:rPr>
                <w:sz w:val="20"/>
                <w:szCs w:val="20"/>
                <w:color w:val="auto"/>
              </w:rPr>
            </w:pPr>
            <w:r>
              <w:rPr>
                <w:rFonts w:ascii="Arial" w:cs="Arial" w:eastAsia="Arial" w:hAnsi="Arial"/>
                <w:sz w:val="18"/>
                <w:szCs w:val="18"/>
                <w:color w:val="auto"/>
                <w:w w:val="94"/>
              </w:rPr>
              <w:t>The aggregate future lease payments for operating leases as of March 31, 2023 were as follows (in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three months ended March 31, 2023)</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31, 2023,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2023 and 2022 in the accompanying unaudited condensed consolidated statements of operations.</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18.06 and MXN 19.47 at March 31, 2023 and December 31,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(loss) income has been translated from MXN to USD using the following exchange rates:</w:t>
      </w:r>
    </w:p>
    <w:p>
      <w:pPr>
        <w:spacing w:after="0" w:line="5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exchange rate (USD to MXN)</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an increase to the investment of $0.7 million and $0.1 million during the three months ended March 31, 2023 and 2022, respectively. These translation effects are recorded in accumulated other comprehensive loss.</w:t>
      </w:r>
    </w:p>
    <w:p>
      <w:pPr>
        <w:spacing w:after="0" w:line="184"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Summarized income statement information for the three months ended March 31, 2023 and 2022 for Vasconia in USD and MXN is as follows (in thousands):</w:t>
      </w:r>
    </w:p>
    <w:p>
      <w:pPr>
        <w:jc w:val="center"/>
        <w:ind w:left="51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top w:val="single" w:sz="8" w:color="auto"/>
              <w:bottom w:val="single" w:sz="8" w:color="auto"/>
            </w:tcBorders>
          </w:tcPr>
          <w:p>
            <w:pPr>
              <w:spacing w:after="0"/>
              <w:rPr>
                <w:sz w:val="17"/>
                <w:szCs w:val="17"/>
                <w:color w:val="auto"/>
              </w:rPr>
            </w:pPr>
          </w:p>
        </w:tc>
      </w:tr>
      <w:tr>
        <w:trPr>
          <w:trHeight w:val="182"/>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40,741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760,230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1,318,513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w w:val="98"/>
              </w:rPr>
              <w:t>161,513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295,618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4"/>
              </w:rPr>
              <w:t>(1,007)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(18,784)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4"/>
              </w:rPr>
              <w:t>(2,931)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2"/>
              </w:rPr>
              <w:t>(54,696)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35,479</w:t>
            </w:r>
          </w:p>
        </w:tc>
      </w:tr>
    </w:tbl>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equity in (losses) earnings of Vasconia, net of taxes, of $(0.7) million and $0.4 million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760" w:type="dxa"/>
            <w:vAlign w:val="bottom"/>
            <w:gridSpan w:val="2"/>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31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60" w:type="dxa"/>
            <w:vAlign w:val="bottom"/>
            <w:gridSpan w:val="2"/>
          </w:tcPr>
          <w:p>
            <w:pPr>
              <w:ind w:left="760"/>
              <w:spacing w:after="0"/>
              <w:rPr>
                <w:sz w:val="20"/>
                <w:szCs w:val="20"/>
                <w:color w:val="auto"/>
              </w:rPr>
            </w:pPr>
            <w:r>
              <w:rPr>
                <w:rFonts w:ascii="Arial" w:cs="Arial" w:eastAsia="Arial" w:hAnsi="Arial"/>
                <w:sz w:val="16"/>
                <w:szCs w:val="16"/>
                <w:color w:val="auto"/>
              </w:rPr>
              <w:t>Accrued expenses and Accounts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8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fair value (based on Level 1 inputs using the quoted stock price) of the Company’s investment in Vasconia declined in the first quarter of 2023. As a result of the decline in the quoted stock price and the quarterly decline in the operating results of Vasconia, the Company determined the decline in fair value was other than temporary. The Company reduced its investment by $2.1 million during the three months ended March 31, 2023 to its fair value, and recognized the non-cash impairment charge within equity in (losses) earnings in the unaudited condensed consolidated statement of operations. The carrying value of the Company’s investment in Vasconia, after the recorded impairment, was $10.4 million as of March 31, 2023.</w:t>
      </w:r>
    </w:p>
    <w:p>
      <w:pPr>
        <w:spacing w:after="0" w:line="16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of December 31, 2022, the fair value (based on Level 1 inputs using the quoted stock price) of the Company’s investment in Vasconia was $15.0 million, respectively. The carrying value of the Company’s investment in Vasconia was $12.5 million as of December 31, 2022.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March 31, 2023 and December 31,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2023</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2022</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Goodwill</w:t>
            </w:r>
            <w:r>
              <w:rPr>
                <w:rFonts w:ascii="Arial" w:cs="Arial" w:eastAsia="Arial" w:hAnsi="Arial"/>
                <w:sz w:val="21"/>
                <w:szCs w:val="21"/>
                <w:b w:val="1"/>
                <w:bCs w:val="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6"/>
        </w:trPr>
        <w:tc>
          <w:tcPr>
            <w:tcW w:w="3560" w:type="dxa"/>
            <w:vAlign w:val="bottom"/>
          </w:tcPr>
          <w:p>
            <w:pPr>
              <w:ind w:left="360"/>
              <w:spacing w:after="0" w:line="216" w:lineRule="exact"/>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34,755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89,571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3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302,534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gross and net value at March 31, 2023 and December 31, 2022 reflect a reduction of $91.7 million in impairment charges on goodwill and $1.0 million in impairment charges on indefinite-lived intangible assets.</w:t>
      </w:r>
    </w:p>
    <w:p>
      <w:pPr>
        <w:spacing w:after="0" w:line="49" w:lineRule="exact"/>
        <w:rPr>
          <w:sz w:val="20"/>
          <w:szCs w:val="20"/>
          <w:color w:val="auto"/>
        </w:rPr>
      </w:pPr>
    </w:p>
    <w:p>
      <w:pPr>
        <w:spacing w:after="0" w:line="334" w:lineRule="auto"/>
        <w:rPr>
          <w:sz w:val="20"/>
          <w:szCs w:val="20"/>
          <w:color w:val="auto"/>
        </w:rPr>
      </w:pPr>
      <w:r>
        <w:rPr>
          <w:rFonts w:ascii="Arial" w:cs="Arial" w:eastAsia="Arial" w:hAnsi="Arial"/>
          <w:sz w:val="9"/>
          <w:szCs w:val="9"/>
          <w:color w:val="auto"/>
        </w:rPr>
        <w:t>(2)</w:t>
      </w:r>
      <w:r>
        <w:rPr>
          <w:rFonts w:ascii="Arial" w:cs="Arial" w:eastAsia="Arial" w:hAnsi="Arial"/>
          <w:sz w:val="13"/>
          <w:szCs w:val="13"/>
          <w:color w:val="auto"/>
        </w:rPr>
        <w:t>The gross value and accumulated amortization at March 31, 2023 reflect a reduction of $44.1 million and $(29.3) million, respectively, for the net $14.8 million previous impairment charge on</w:t>
      </w:r>
      <w:r>
        <w:rPr>
          <w:rFonts w:ascii="Arial" w:cs="Arial" w:eastAsia="Arial" w:hAnsi="Arial"/>
          <w:sz w:val="9"/>
          <w:szCs w:val="9"/>
          <w:color w:val="auto"/>
        </w:rPr>
        <w:t xml:space="preserve"> </w:t>
      </w:r>
      <w:r>
        <w:rPr>
          <w:rFonts w:ascii="Arial" w:cs="Arial" w:eastAsia="Arial" w:hAnsi="Arial"/>
          <w:sz w:val="13"/>
          <w:szCs w:val="13"/>
          <w:color w:val="auto"/>
        </w:rPr>
        <w:t>finite-lived intangible assets within the international segment and a $6.5 million reduction in gross value for previous impairment charges on finite-lived intangible assets within the U.S. segment.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loan agreement, dated as of March 2, 2018, (the “Term Loan” and together with the ABL Agreement, the “Debt Agreements”) provides for a senior secured term loan credit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requires quarterly payments, which commenced on June 30, 2018, of principal equal to 0.25% of the original aggregate principal amount of the Term Loan, which payments are to be adjusted from time to time to account for prepayments made. Per the Term Loan, when the Company makes an Excess Cash Flow payment, the payment is first applied 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189,411</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(10,424)</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r>
      <w:tr>
        <w:trPr>
          <w:trHeight w:val="206"/>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176,222</w:t>
            </w:r>
          </w:p>
        </w:tc>
      </w:tr>
      <w:tr>
        <w:trPr>
          <w:trHeight w:val="24"/>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non-current portions of the Company’s Term Loan included in the condensed consolidated balance sheets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2022</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net of current portion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245,911</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242,857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estimated Excess Cash Flow principal payment recorded at March 31, 2023 represents the Company’s estimate for the 2024 Excess Cash Flow Payment. There was no Excess Cash Flow payment due in 2023.</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(2) a first-priority lien, subject to certain permitted liens, with respect to certain assets of the Company and certain of its subsidiaries (the “Term Loan Collateral”)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pledged as collateral in favor of lenders under the Term Loan and a second-priority lien in the Term Loan Collateral in favor of the lenders under the ABL Agreement.</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2023 was between 4.18% and 4.21%. The Company paid a commitment fee of 0.25% during the three months ended March 31, 2023.</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2.5% or (ii) SOFR for the applicable interest period, multiplied by any statutory reserve rate, but not less than 1.0%, plus a margin of 3.5%. The interest rate on outstanding borrowings under the Term Loan at March 31, 2023 was 8.42%.</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total outstanding notional value of interest rate swaps was $25.0 million at March 31, 2023. These non-designated interest rate swaps were entered into in June 2019 and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March 31,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1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aggregate gross notional value of foreign exchange contracts at March 31, 2023 was $8.3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2023, the Company did not have any foreign currency forward contract derivatives that are not designated as hedges. These foreign exchange contracts have been designated as hedges in to order to apply hedge accounting.</w:t>
      </w:r>
    </w:p>
    <w:p>
      <w:pPr>
        <w:spacing w:after="0" w:line="17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86"/>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420" w:type="dxa"/>
            <w:vAlign w:val="bottom"/>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42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35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4420" w:type="dxa"/>
            <w:vAlign w:val="bottom"/>
            <w:gridSpan w:val="2"/>
          </w:tcPr>
          <w:p>
            <w:pPr>
              <w:ind w:left="42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655"/>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420" w:type="dxa"/>
            <w:vAlign w:val="bottom"/>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24"/>
                <w:szCs w:val="24"/>
                <w:color w:val="auto"/>
              </w:rPr>
            </w:pPr>
          </w:p>
        </w:tc>
        <w:tc>
          <w:tcPr>
            <w:tcW w:w="142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35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r>
    </w:tbl>
    <w:p>
      <w:pPr>
        <w:spacing w:after="0" w:line="28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March 31, 2023, the Company did not anticipate non-performance by any of its counterparties.</w:t>
      </w:r>
    </w:p>
    <w:p>
      <w:pPr>
        <w:spacing w:after="0" w:line="17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income, net of taxes, as follows (in thousands):</w:t>
      </w: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jc w:val="right"/>
              <w:ind w:right="679"/>
              <w:spacing w:after="0" w:line="163" w:lineRule="exact"/>
              <w:rPr>
                <w:sz w:val="20"/>
                <w:szCs w:val="20"/>
                <w:color w:val="auto"/>
              </w:rPr>
            </w:pPr>
            <w:r>
              <w:rPr>
                <w:rFonts w:ascii="Arial" w:cs="Arial" w:eastAsia="Arial" w:hAnsi="Arial"/>
                <w:sz w:val="16"/>
                <w:szCs w:val="16"/>
                <w:b w:val="1"/>
                <w:bCs w:val="1"/>
                <w:color w:val="auto"/>
              </w:rPr>
              <w:t>Three Months Ended</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exchange contracts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34"/>
        </w:trPr>
        <w:tc>
          <w:tcPr>
            <w:tcW w:w="8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Realized gains and losses on the interest rate swaps that are reported in other comprehensive income are reclassified into earnings as the interest expense on the debt is recognized. The Company’s interest rate swaps that were designated as hedging instruments had an aggregate notional value of $25.0 million and matured during the three months ended March 31, 2023.</w:t>
      </w:r>
    </w:p>
    <w:p>
      <w:pPr>
        <w:spacing w:after="0" w:line="18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are reclassified into cost of sales as the underlying inventory purchased is sold.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March 31, 2023, the Company reclassified $0.9 million of cash flow hedges in accumulated other comprehensive losses to earnings. This was comprised of a gain of $0.1 million related to realized interest rate swap and a gain of $0.8 million related to foreign exchange contracts recognized in cost of sales. At March 31, 2023, the estimated amount of existing net losses expected to be reclassified into earnings within the next 12 months was $0.3 million.</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three months ended March 31, 2022, the Company reclassified $0.1 million of cash flow hedges in accumulated other comprehensive losses to earnings. This was comprised of $0.2 million related to realized interest rate swap losses and a gain of $0.1 million related to foreign exchange contracts recognized in cost of sales.</w:t>
      </w:r>
    </w:p>
    <w:p>
      <w:pPr>
        <w:spacing w:after="0" w:line="184"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Interest and mark to market (losses) gains related to the Company’s derivative financial instruments not designated as hedging instruments that were recognized in earnings are as follows (in thousands):</w:t>
      </w:r>
    </w:p>
    <w:tbl>
      <w:tblPr>
        <w:tblLayout w:type="fixed"/>
        <w:tblInd w:w="0" w:type="dxa"/>
        <w:tblCellMar>
          <w:top w:w="0" w:type="dxa"/>
          <w:left w:w="0" w:type="dxa"/>
          <w:bottom w:w="0" w:type="dxa"/>
          <w:right w:w="0" w:type="dxa"/>
        </w:tblCellMar>
      </w:tblPr>
      <w:tr>
        <w:trPr>
          <w:trHeight w:val="163"/>
        </w:trPr>
        <w:tc>
          <w:tcPr>
            <w:tcW w:w="3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jc w:val="right"/>
              <w:ind w:right="679"/>
              <w:spacing w:after="0" w:line="163" w:lineRule="exact"/>
              <w:rPr>
                <w:sz w:val="20"/>
                <w:szCs w:val="20"/>
                <w:color w:val="auto"/>
              </w:rPr>
            </w:pPr>
            <w:r>
              <w:rPr>
                <w:rFonts w:ascii="Arial" w:cs="Arial" w:eastAsia="Arial" w:hAnsi="Arial"/>
                <w:sz w:val="16"/>
                <w:szCs w:val="16"/>
                <w:b w:val="1"/>
                <w:bCs w:val="1"/>
                <w:color w:val="auto"/>
              </w:rPr>
              <w:t>Three Months Ended</w:t>
            </w:r>
          </w:p>
        </w:tc>
      </w:tr>
      <w:tr>
        <w:trPr>
          <w:trHeight w:val="210"/>
        </w:trPr>
        <w:tc>
          <w:tcPr>
            <w:tcW w:w="36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Derivatives not designated as hedging instruments</w:t>
            </w:r>
          </w:p>
        </w:tc>
        <w:tc>
          <w:tcPr>
            <w:tcW w:w="450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Location of gain (loss)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Mark to market (loss) gain on interest rate derivatives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3"/>
        </w:trPr>
        <w:tc>
          <w:tcPr>
            <w:tcW w:w="364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34"/>
        </w:trPr>
        <w:tc>
          <w:tcPr>
            <w:tcW w:w="364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As of March 31, 2023, there were 652,923 shares available for the grant of awards under the Company's Amended and Restated 2000 Long Term Incentive Plan (</w:t>
      </w:r>
      <w:r>
        <w:rPr>
          <w:rFonts w:ascii="Arial" w:cs="Arial" w:eastAsia="Arial" w:hAnsi="Arial"/>
          <w:sz w:val="19"/>
          <w:szCs w:val="19"/>
          <w:color w:val="auto"/>
        </w:rPr>
        <w:t>“</w:t>
      </w:r>
      <w:r>
        <w:rPr>
          <w:rFonts w:ascii="Arial" w:cs="Arial" w:eastAsia="Arial" w:hAnsi="Arial"/>
          <w:sz w:val="18"/>
          <w:szCs w:val="18"/>
          <w:color w:val="auto"/>
        </w:rPr>
        <w:t>Plan</w:t>
      </w:r>
      <w:r>
        <w:rPr>
          <w:rFonts w:ascii="Arial" w:cs="Arial" w:eastAsia="Arial" w:hAnsi="Arial"/>
          <w:sz w:val="19"/>
          <w:szCs w:val="19"/>
          <w:color w:val="auto"/>
        </w:rPr>
        <w:t>”</w:t>
      </w:r>
      <w:r>
        <w:rPr>
          <w:rFonts w:ascii="Arial" w:cs="Arial" w:eastAsia="Arial" w:hAnsi="Arial"/>
          <w:sz w:val="18"/>
          <w:szCs w:val="18"/>
          <w:color w:val="auto"/>
        </w:rPr>
        <w:t>), assuming maximum performance of performance-based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March 31, 2023</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1,110,625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March 31,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965,875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3.7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2023. The intrinsic value is calculated for each in-the-money stock option as the difference between the closing price of the Company’s common stock on March 31, 2023 and the exercise price.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8, 2023, the exercise period for the Executive Chairman’s outstanding vested stock options were extended to remain exercisable until ninety days following termination of his service on the Company's Board of Directors. The outstanding stock options remain subject to original expiration dates of such awards. The Company recorded $0.1 million of stock compensation expense in connection with this extension during the three months ended March 31,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March 31, 2023</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574,672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three months ended March 31, 2023 was $0.6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months ended March 31, 2023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performance-based awards, January 1, 2023</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Achieved performance over target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Vested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Non-vested performance-based awards, March 31, 2023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487,818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Total unrecognized compensation expense remaining (in thousands)</w:t>
            </w:r>
            <w:r>
              <w:rPr>
                <w:rFonts w:ascii="Arial" w:cs="Arial" w:eastAsia="Arial" w:hAnsi="Arial"/>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shares to be issued for each performance-based award.</w:t>
      </w:r>
    </w:p>
    <w:p>
      <w:pPr>
        <w:spacing w:after="0" w:line="45" w:lineRule="exact"/>
        <w:rPr>
          <w:rFonts w:ascii="Arial" w:cs="Arial" w:eastAsia="Arial" w:hAnsi="Arial"/>
          <w:sz w:val="19"/>
          <w:szCs w:val="19"/>
          <w:color w:val="auto"/>
          <w:vertAlign w:val="superscript"/>
        </w:rPr>
      </w:pPr>
    </w:p>
    <w:p>
      <w:pPr>
        <w:ind w:left="340" w:right="340" w:hanging="332"/>
        <w:spacing w:after="0" w:line="275" w:lineRule="auto"/>
        <w:tabs>
          <w:tab w:leader="none" w:pos="327"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the number of shares earned over target for performance-based awards granted in 2020 based on performance goals attained. These awards vested in the three months ended March 31, 2023.</w:t>
      </w:r>
    </w:p>
    <w:p>
      <w:pPr>
        <w:spacing w:after="0" w:line="10" w:lineRule="exact"/>
        <w:rPr>
          <w:rFonts w:ascii="Arial" w:cs="Arial" w:eastAsia="Arial" w:hAnsi="Arial"/>
          <w:sz w:val="9"/>
          <w:szCs w:val="9"/>
          <w:color w:val="auto"/>
        </w:rPr>
      </w:pPr>
    </w:p>
    <w:p>
      <w:pPr>
        <w:ind w:left="320" w:hanging="312"/>
        <w:spacing w:after="0"/>
        <w:tabs>
          <w:tab w:leader="none" w:pos="32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The performance metric for the performance-based awards granted in 2022 is not probable of achievement. Therefore, no compensation expense has been recorded on these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2023 was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performance-based awards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171"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A summary of the Company’s cash-settled performance-based awards activity and related information for the three months ended March 31, 2023 is as follows:</w:t>
      </w:r>
    </w:p>
    <w:tbl>
      <w:tblPr>
        <w:tblLayout w:type="fixed"/>
        <w:tblInd w:w="0" w:type="dxa"/>
        <w:tblCellMar>
          <w:top w:w="0" w:type="dxa"/>
          <w:left w:w="0" w:type="dxa"/>
          <w:bottom w:w="0" w:type="dxa"/>
          <w:right w:w="0" w:type="dxa"/>
        </w:tblCellMar>
      </w:tblPr>
      <w:tr>
        <w:trPr>
          <w:trHeight w:val="163"/>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3" w:lineRule="exact"/>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performance-based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average fair</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5"/>
              </w:rPr>
              <w:t xml:space="preserve">awards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cash-settled performance-based awards, January 1, 2023</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cash-settled performance-based awards, March 31, 2023</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84,215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Arial" w:cs="Arial" w:eastAsia="Arial" w:hAnsi="Arial"/>
                <w:sz w:val="16"/>
                <w:szCs w:val="16"/>
                <w:b w:val="1"/>
                <w:bCs w:val="1"/>
                <w:color w:val="auto"/>
              </w:rPr>
              <w:t>Total unrecognized compensation expense remaining (in thousands)</w:t>
            </w:r>
            <w:r>
              <w:rPr>
                <w:rFonts w:ascii="Arial" w:cs="Arial" w:eastAsia="Arial" w:hAnsi="Arial"/>
                <w:sz w:val="21"/>
                <w:szCs w:val="21"/>
                <w:color w:val="auto"/>
                <w:vertAlign w:val="superscript"/>
              </w:rPr>
              <w:t>(2)</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Represents the target number of units to be settled in cash.</w:t>
      </w:r>
    </w:p>
    <w:p>
      <w:pPr>
        <w:spacing w:after="0" w:line="45" w:lineRule="exact"/>
        <w:rPr>
          <w:rFonts w:ascii="Arial" w:cs="Arial" w:eastAsia="Arial" w:hAnsi="Arial"/>
          <w:sz w:val="18"/>
          <w:szCs w:val="18"/>
          <w:color w:val="auto"/>
          <w:vertAlign w:val="superscript"/>
        </w:rPr>
      </w:pPr>
    </w:p>
    <w:p>
      <w:pPr>
        <w:ind w:right="460" w:firstLine="8"/>
        <w:spacing w:after="0" w:line="275" w:lineRule="auto"/>
        <w:tabs>
          <w:tab w:leader="none" w:pos="145" w:val="left"/>
        </w:tabs>
        <w:numPr>
          <w:ilvl w:val="0"/>
          <w:numId w:val="7"/>
        </w:numPr>
        <w:rPr>
          <w:rFonts w:ascii="Arial" w:cs="Arial" w:eastAsia="Arial" w:hAnsi="Arial"/>
          <w:sz w:val="9"/>
          <w:szCs w:val="9"/>
          <w:color w:val="auto"/>
        </w:rPr>
      </w:pPr>
      <w:r>
        <w:rPr>
          <w:rFonts w:ascii="Arial" w:cs="Arial" w:eastAsia="Arial" w:hAnsi="Arial"/>
          <w:sz w:val="14"/>
          <w:szCs w:val="14"/>
          <w:color w:val="auto"/>
        </w:rPr>
        <w:t>The performance metric for the cash-settled performance-based awards granted in 2022 is not probable of achievement. Therefore, no compensation expense has been recorded on these awards.</w:t>
      </w:r>
    </w:p>
    <w:p>
      <w:pPr>
        <w:spacing w:after="0" w:line="200" w:lineRule="exact"/>
        <w:rPr>
          <w:rFonts w:ascii="Arial" w:cs="Arial" w:eastAsia="Arial" w:hAnsi="Arial"/>
          <w:sz w:val="9"/>
          <w:szCs w:val="9"/>
          <w:color w:val="auto"/>
        </w:rPr>
      </w:pPr>
    </w:p>
    <w:p>
      <w:pPr>
        <w:spacing w:after="0" w:line="368" w:lineRule="exact"/>
        <w:rPr>
          <w:rFonts w:ascii="Arial" w:cs="Arial" w:eastAsia="Arial" w:hAnsi="Arial"/>
          <w:sz w:val="9"/>
          <w:szCs w:val="9"/>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3"/>
        </w:trPr>
        <w:tc>
          <w:tcPr>
            <w:tcW w:w="8240" w:type="dxa"/>
            <w:vAlign w:val="bottom"/>
          </w:tcPr>
          <w:p>
            <w:pPr>
              <w:ind w:left="460"/>
              <w:spacing w:after="0"/>
              <w:rPr>
                <w:sz w:val="20"/>
                <w:szCs w:val="20"/>
                <w:color w:val="auto"/>
              </w:rPr>
            </w:pPr>
            <w:r>
              <w:rPr>
                <w:rFonts w:ascii="Arial" w:cs="Arial" w:eastAsia="Arial" w:hAnsi="Arial"/>
                <w:sz w:val="16"/>
                <w:szCs w:val="16"/>
                <w:color w:val="auto"/>
              </w:rPr>
              <w:t>Liability based stock option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Cash-settled performance-based awards expense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—(LOSS) INCOME PER COMMON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(loss) income per common share for the three months ended March 31, 2023 and 2022 are as follows:</w:t>
      </w:r>
    </w:p>
    <w:p>
      <w:pPr>
        <w:spacing w:after="0" w:line="34"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Three Months Ended</w:t>
      </w:r>
    </w:p>
    <w:p>
      <w:pPr>
        <w:jc w:val="center"/>
        <w:ind w:left="73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0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3800" w:type="dxa"/>
            <w:vAlign w:val="bottom"/>
            <w:gridSpan w:val="5"/>
          </w:tcPr>
          <w:p>
            <w:pPr>
              <w:jc w:val="right"/>
              <w:ind w:right="350"/>
              <w:spacing w:after="0"/>
              <w:rPr>
                <w:sz w:val="20"/>
                <w:szCs w:val="20"/>
                <w:color w:val="auto"/>
              </w:rPr>
            </w:pPr>
            <w:r>
              <w:rPr>
                <w:rFonts w:ascii="Arial" w:cs="Arial" w:eastAsia="Arial" w:hAnsi="Arial"/>
                <w:sz w:val="18"/>
                <w:szCs w:val="18"/>
                <w:color w:val="auto"/>
              </w:rPr>
              <w:t>(in thousands, except per share amounts)</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 Basic and Diluted</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rPr>
              <w:t>Stock options and other stock awards</w:t>
            </w:r>
          </w:p>
        </w:tc>
        <w:tc>
          <w:tcPr>
            <w:tcW w:w="1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0"/>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400" w:type="dxa"/>
            <w:vAlign w:val="bottom"/>
            <w:vMerge w:val="continue"/>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Stock options and other stock awards that have been excluded from the denominator as their inclusion would have been anti-dilutive.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12" w:lineRule="exact"/>
        <w:rPr>
          <w:rFonts w:ascii="Arial" w:cs="Arial" w:eastAsia="Arial" w:hAnsi="Arial"/>
          <w:sz w:val="9"/>
          <w:szCs w:val="9"/>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Income tax benefit of $1.3 million and income tax provision of $1.7 million for the three months ended March 31, 2023 and 2022, respectively, represent taxes on both U.S. and foreign earnings at a combined effective income tax benefit rate of 18.3% and income tax provision rate of 102.2%, respectively. The effective tax rate for the three months ended March 31, 2023 differs from the federal statutory income tax rate of 21.0% primarily due to state and local tax expense, the impact of non-deductible expenses, and foreign losses for which no tax benefit is recognized as such amounts are fully offset with a valuation allowance. The effective tax rate for the three months ended March 31, 2022 differs from the federal statutory income tax rate of 21.0% primarily due to state and local tax expense, and foreign losses for which no tax benefit is recognized as such amounts are fully offset with a valuation allowance.</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Jersey, New York and the United Kingdom.</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March 31, 2023 and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(loss)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191"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Three Months Ended</w:t>
      </w:r>
    </w:p>
    <w:p>
      <w:pPr>
        <w:jc w:val="center"/>
        <w:ind w:left="75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133,485</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166,218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145,435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income from operations</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14,326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income from operations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35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gridSpan w:val="4"/>
          </w:tcPr>
          <w:p>
            <w:pPr>
              <w:jc w:val="right"/>
              <w:ind w:right="121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570,383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608,496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4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1690"/>
              <w:spacing w:after="0"/>
              <w:rPr>
                <w:sz w:val="20"/>
                <w:szCs w:val="20"/>
                <w:color w:val="auto"/>
              </w:rPr>
            </w:pPr>
            <w:r>
              <w:rPr>
                <w:rFonts w:ascii="Arial" w:cs="Arial" w:eastAsia="Arial" w:hAnsi="Arial"/>
                <w:sz w:val="18"/>
                <w:szCs w:val="18"/>
                <w:color w:val="auto"/>
              </w:rPr>
              <w:t>- 25 -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consented to the EPA’s access request, provided that the EPA received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2023. The tolling agreements do not constitute in any way an admission or acknowledgment of any fact, conclusion of law, or liability by the parties to the agreements.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EPA released its proposed plan for OU-2 in July 2019, and on September 30, 2019, the EPA issued the ROD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August 2021, WSPR received a Notice of Liability for the Site from the Department of Justice on behalf of the EPA, and in September 2021, WSPR responded with a good faith offer to conduct additional testing and remedial design work for OU-1. Since that time, WSPR has been actively participating in negotiations among the U.S. Government (the Department of Justice and the EPA) and other potentially responsible parties with respect to the remedial work at OU-1. WSPR anticipates finalizing a Consent Decree for Remedial Design and Remedial Action at OU-1 in the near term.</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$1.0 million. In such event, it is reasonably possible that additional penalties could be assessed, depending upon the level of culpability found, of up to $2.0 million for negligence and up to $4.0 million for gross negligence. In the event penalties are assessed, the Company will have the opportunity to further contest CBP’s findings and seek cancellation or mitigation of such assessments.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three months ended March 31, 2023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2"/>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3/8/2023</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5/1/2023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5/15/2023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2023, the Company paid dividends of $1.0 million. This included payments made on February 15, 2023 of</w:t>
      </w:r>
    </w:p>
    <w:p>
      <w:pPr>
        <w:spacing w:after="0" w:line="3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$0.9 million to stockholders of record on February 1, 2023 and payments of $0.1 million for dividends payable upon the vesting of restricted shares and performance shares.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three months ended March 31, 2023, the Company reduced retained earnings for the accrual of $0.9 million relating to the dividend payable on May 15,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March 31, 2023, the Company repurchased 320,204 shares for a total cost of $2.5 million and thereafter retired the shares. Please see Part II, Item 2 —Unregistered Sales of Equity Securities and Use of Proceeds included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09"/>
        </w:trPr>
        <w:tc>
          <w:tcPr>
            <w:tcW w:w="8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w w:val="96"/>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5,104</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3,275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(36,072)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(31,752)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adjustment during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(losses) gains on cash flow hedges: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(losses) gains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$(2), $170</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 of $(4), $10</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4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2022 (the “2022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subsequent filings with the U.S. Securities and Exchange Commission (the “SEC”). Such risks, uncertainties and other important factors include, among others, risks related to:</w:t>
      </w:r>
    </w:p>
    <w:p>
      <w:pPr>
        <w:spacing w:after="0" w:line="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Macroeconomic conditions, including inflationary impacts and disruptions to the global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supply chain costs, including raw materials, sourcing, transportation and 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United Kingdom's exit from the European Union on the Company's U.K.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tariffs and trade policies, particularly with respect to China;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risks relating to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Indebtedness, compliance with credit agreements, and access to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seasonality of the Company's cash flows;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complete acquisitions or successfully integrate acquisitions, such as the recent acquisition of S'well;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Intense market competition and changing customer practices or preferences;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third-party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cybersecurity and data privacy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conditions, including war, conflict, unrest and sanctions, including those related to the conflict in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Reputational risks.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Arial" w:cs="Arial" w:eastAsia="Arial" w:hAnsi="Arial"/>
          <w:sz w:val="18"/>
          <w:szCs w:val="18"/>
          <w:i w:val="1"/>
          <w:iCs w:val="1"/>
          <w:u w:val="single" w:color="auto"/>
          <w:color w:val="auto"/>
        </w:rPr>
        <w:t>http://www.lifetimebrands.com</w:t>
      </w:r>
      <w:r>
        <w:rPr>
          <w:rFonts w:ascii="Arial" w:cs="Arial" w:eastAsia="Arial" w:hAnsi="Arial"/>
          <w:sz w:val="18"/>
          <w:szCs w:val="18"/>
          <w:color w:val="auto"/>
        </w:rPr>
        <w:t>.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8"/>
          <w:szCs w:val="18"/>
          <w:i w:val="1"/>
          <w:iCs w:val="1"/>
          <w:u w:val="single" w:color="auto"/>
          <w:color w:val="auto"/>
        </w:rPr>
        <w:t>http://www.sec.gov.</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2022, Kitchenware products and Tableware products accounted for approximately 82% of the Company’s U.S. segment’s net sales and 84% of the Company’s consolidated net sales.</w:t>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Sabatier</w:t>
      </w:r>
      <w:r>
        <w:rPr>
          <w:rFonts w:ascii="Arial" w:cs="Arial" w:eastAsia="Arial" w:hAnsi="Arial"/>
          <w:sz w:val="22"/>
          <w:szCs w:val="22"/>
          <w:color w:val="auto"/>
          <w:vertAlign w:val="superscript"/>
        </w:rPr>
        <w:t>®</w:t>
      </w:r>
      <w:r>
        <w:rPr>
          <w:rFonts w:ascii="Arial" w:cs="Arial" w:eastAsia="Arial" w:hAnsi="Arial"/>
          <w:sz w:val="17"/>
          <w:szCs w:val="17"/>
          <w:color w:val="auto"/>
        </w:rPr>
        <w:t>, Fred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&amp; Friends, Kamenstein</w:t>
      </w:r>
      <w:r>
        <w:rPr>
          <w:rFonts w:ascii="Arial" w:cs="Arial" w:eastAsia="Arial" w:hAnsi="Arial"/>
          <w:sz w:val="22"/>
          <w:szCs w:val="22"/>
          <w:color w:val="auto"/>
          <w:vertAlign w:val="superscript"/>
        </w:rPr>
        <w:t>®</w:t>
      </w:r>
      <w:r>
        <w:rPr>
          <w:rFonts w:ascii="Arial" w:cs="Arial" w:eastAsia="Arial" w:hAnsi="Arial"/>
          <w:sz w:val="17"/>
          <w:szCs w:val="17"/>
          <w:color w:val="auto"/>
        </w:rPr>
        <w:t>, and S'well</w:t>
      </w:r>
      <w:r>
        <w:rPr>
          <w:rFonts w:ascii="Arial" w:cs="Arial" w:eastAsia="Arial" w:hAnsi="Arial"/>
          <w:sz w:val="22"/>
          <w:szCs w:val="22"/>
          <w:color w:val="auto"/>
          <w:vertAlign w:val="superscript"/>
        </w:rPr>
        <w:t>®</w:t>
      </w:r>
      <w:r>
        <w:rPr>
          <w:rFonts w:ascii="Arial" w:cs="Arial" w:eastAsia="Arial" w:hAnsi="Arial"/>
          <w:sz w:val="17"/>
          <w:szCs w:val="17"/>
          <w:color w:val="auto"/>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global economy is experiencing accelerated inflation, which has in part been caused by the supply chain disruptions and higher consumer spending. The rise in inflation is contributing to higher prices, which may result in higher input cost for products, increased transportation and labor cost and consumer spending and buying patterns. Retailers have responded to the economic challenges by rightsizing inventory levels, and further reducing safety stock and weekly supply on hand. Further, the U.K. economy has been facing unfavorable economic and market conditions, with high inflation and low consumer confidence due to uncertain geopolitical and economic outlooks. The Company has been adversely impacted by these trends in 2022 and these trends have continued in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(loss)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2023,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2023 and 2022 in the accompanying unaudited condensed consolidated statements of operations. Pursuant to a Shares Subscription Agreement, the Company may designate four persons to be nominated as members of Vasconia’s Board of Directors (the "Vasconia Board"). As of March 31, 2023, the Vasconia Board was comprised of eleven members, of whom the Company had designated two members. Subsequent to March 31, 2023, the two Company-designated Board members resigned from the Vasconia Board.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business and working capital needs are seasonal, with a majority of sales occurring in the third and fourth quarters. In 2022 and 2021, net sales for the third and fourth quarters accounted for 54% and 56% of total annual net sales, respectively. The current market conditions and shifts in both consumer and retailer purchasing patterns has impacted the seasonality of the Company's net sales compared to historical trends. In anticipation of the pre-holiday shipping season, inventory levels increase primarily in the June through October time period. In 2023, the Company's inventory trends may deviate from historical trends due to a change in inventory strategy to react to the current market conditions impacting the Company and retailers.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There have been no material changes to the Company’s critical accounting estimates discussed in the 2022 Annual Report on Form 10-K in Item 7 under the heading </w:t>
      </w:r>
      <w:r>
        <w:rPr>
          <w:rFonts w:ascii="Arial" w:cs="Arial" w:eastAsia="Arial" w:hAnsi="Arial"/>
          <w:sz w:val="16"/>
          <w:szCs w:val="16"/>
          <w:i w:val="1"/>
          <w:iCs w:val="1"/>
          <w:color w:val="auto"/>
        </w:rPr>
        <w:t>Management’s Discussion and Analysis of Financial Condition and Results of Operations – Critical Accounting Policies and Estimates</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46"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Three Months Ended</w:t>
      </w:r>
    </w:p>
    <w:p>
      <w:pPr>
        <w:jc w:val="center"/>
        <w:ind w:left="79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65.5</w:t>
            </w: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Distribution expenses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10.5</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Restructuring expenses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ind w:lef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to market (loss) gain on interest rate derivatives</w:t>
            </w: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(Loss) income before income taxes and equity in (losses) earnings</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0.9</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Equity in (losses) earnings, net of taxes</w:t>
            </w:r>
          </w:p>
        </w:tc>
        <w:tc>
          <w:tcPr>
            <w:tcW w:w="580" w:type="dxa"/>
            <w:vAlign w:val="bottom"/>
          </w:tcPr>
          <w:p>
            <w:pPr>
              <w:ind w:left="1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35"/>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93"/>
              </w:rPr>
              <w:t>(6.1)%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40" w:right="182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2023 COMPARED TO THE THREE MONTHS ENDED MARCH 31, 2022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net sales for the three months ended March 31, 2023 were $145.4 million, representing a decrease of $37.3 million, or 20.4%, as compared to net sales of $182.7 million for the corresponding period in 2022. In constant currency, a non-GAAP financial measure, which excludes the impact of foreign exchange fluctuations and was determined by applying 2023 average rates to 2022 local currency amounts, consolidated net sales decreased by $35.4 million, or 19.6%, as compared to consolidated net sales in the corresponding period in 2022.</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sales for the U.S. segment for the three months ended March 31, 2023 were $133.5 million, a decrease of $32.7 million, or 19.7%, as compared to net sales of $166.2 million for the corresponding period in 2022.</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for the U.S. segment’s Kitchenware product category were $85.7 million for the three months ended March 31, 2023, a decrease of $28.4 million, or 24.9%, as compared to $114.1 million for the corresponding period in 2022. The decrease was driven by lower sales for kitchen tools and gadgets, cutlery and boards, and bakeware.</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Net sales for the U.S. segment’s Tableware product category were $24.0 million for the three months ended March 31, 2023, a decrease of $2.6 million, or 9.8%, as compared to $26.6 million for the corresponding period in 2022. The decrease was across both tableware and flatware sales.</w:t>
      </w:r>
    </w:p>
    <w:p>
      <w:pPr>
        <w:spacing w:after="0" w:line="14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Net sales for the U.S. segment’s Home Solutions product category were $23.8 million for the three months ended March 31, 2023, a decrease of $1.7 million, or 6.7%, as compared to $25.5 million for the corresponding period in 2022. The decrease was in measurement products, partially offset by hydration products sales attributable to S'well and a private label hydration program.</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decrease in the Company's U.S. segment’s net sales occurred in all distribution channels. The decrease was a result of a slowing of replenishment orders as retailers reduce safety stock and weeks of supply. The decline in retailers’ replenishment orders began in the second quarter of 2022. In addition, consumers’ spending reduction on our categories' goods has reduced the market size.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the International segment were $11.9 million for the three months ended March 31, 2023, a decrease of $4.6 million, or 27.9%, as compared to net sales of $16.5 million for the corresponding period in 2022. In constant currency, which excludes the impact of foreign exchange fluctuations, net sales decreased $2.6 million, or 18.1%, as compared to consolidated net sales in the corresponding period in 2022. The decrease was due to similar factors as experienced in the U.S.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margin for the three months ended March 31, 2023 was $53.8 million, or 37.0%, as compared to $63.1 million, or 34.5%, for the corresponding period in 2022.</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Gross margin for the U.S. segment was $48.9 million, or 36.6%, for the three months ended March 31, 2023, as compared to $57.7 million, or 34.7%, for the corresponding period in 2022. The decrease in gross margin was driven by lower sales. The improvement in the gross margin percentage for the U.S. segment was driven by lower inbound freight costs and product mix.</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for the International segment was $5.0 million, or 42.0%, for the three months ended March 31, 2023, as compared to $5.4 million, or 32.7%, for the corresponding period in 2022. The decrease in gross margin was driven by lower sales. The improvement in the gross margin percentage was attributable to lower product costs, inbound freight costs, duty on goods to be sold in the European Union (“EU”) shipped directly into the EU vs. into the U.K. and product mix.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Distribution expenses for the three months ended March 31, 2023 were $16.9 million, as compared to $19.2 million for the corresponding period in 2022. Distribution expenses as a percentage of net sales were 11.6% for the three months ended March 31, 2023, as compared to 10.5% for the three months ended March 31, 2022.</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expenses as a percentage of net sales for the U.S. segment were approximately 10.2% and 9.0% for the three months ended March 31, 2023 and 2022, respectively. As a percentage of sales shipped from the Company’s U.S. warehouses,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distribution expenses were 10.5% and 9.9% for the three months ended March 31, 2023 and 2022, respectively. The increase in expenses as a percentage of sales was attributable to lower shipment volume resulting in an unfavorable impact of fixed expenses, an increase in storage fees and real estate taxes. This was partially offset by a decrease in pallet and warehouse supplies expenses.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28.0% for the three months ended March 31, 2023, compared to 26.2% for the corresponding period in 2022. As a percentage of sales shipped from the Company’s international warehouses, excluding non-recurring expenses, distribution expenses were 24.0% and 21.7% for the three months ended March 31, 2023 and 2022, respectively. The increase was attributable to lower shipment volume, partially offset by lower costs of shipments into Europe as a result of the third-party operated distribution facility in the Netherlands.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2023 were $37.9 million, a decrease of $1.6 million, or 4.1%, as compared to $39.5 million for the corresponding period in 2022.</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expenses for the U.S. segment were $29.3 million for the three months ended March 31, 2023, as compared to $28.5 million for the corresponding period in 2022. As a percentage of net sales, selling, general and administrative expenses were 21.9% and 17.1% for the three months ended March 31, 2023 and 2022, respectively. The increase in selling, general and administrative expense as a percentage of net sales is due to the impact of fixed costs on lower sales volume. The increase in expense was due to the provision for doubtful accounts in the current period related to significant declines in the financial condition of the Company's customer Bed, Bath and Beyond Inc., partially offset by integration costs related to the S'well acquisition incurred in the prior year.</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Selling, general and administrative expenses for the International segment were $3.6 million for the three months ended March 31, 2023, as compared to $5.1 million for the corresponding period in 2022. As a percentage of net sales, selling, general and administrative expenses were 30.3% and 30.9% for the three months ended March 31, 2023 and 2022, respectively. The expense decrease was attributable to lower foreign currency exchange losses and lower employee costs. The reduction in employee costs was a result of the restructuring action taken by the Company in the fourth quarter of 2022.</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Unallocated corporate expenses for the three months ended March 31, 2023 were $5.0 million, as compared to $5.9 million for the corresponding period in 2022. The current period decrease was driven by lower stock compensation expense, legal and professional fees, as prior year included fees related to the S'well acquisition, and salary costs, due to the reduced salary of the Executive Chairman, Jeffrey Siegel, during the transition period which ended on March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three months ended March 31, 2023, the Company accrued $0.8 million of unallocated corporate expense related to the termination payment with its Executive Chairman. On November 1, 2022, the Company entered into a transition agreement with its Executive Chairman, which provides for termination of his employment with the Company, effective March 31, 2023. The transition agreement amends his employment agreement which was set to expire on December 31, 2022. The employment agreement provided for a one-time termination payment which was paid in April,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was $5.3 million and $3.8 million for the three months ended March 31, 2023 and 2022, respectively. The increase in expense was a result of higher interest rates on outstanding borrowings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(loss) gain on interest rate derivatives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 to market loss on interest rate derivatives was $0.2 million for the three months ended March 31, 2023, as compared to a mark to market gain on interest rate derivatives of $1.0 million for the three months ended March 31, 2022. The gain recognized for the three months ended March 31, 2022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March 31, 2023, the intent of the Company is to hold these derivative contracts until their maturity.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Income tax benefit of $1.3 million and income tax provision of $1.7 million for the three months ended March 31, 2023 and 2022, respectively, represent taxes on both U.S. and foreign earnings at a combined effective income tax benefit rate of 18.3% and income tax provision rate of 102.2%, respectively. The effective tax rate for the three months ended March 31, 2023 differs from the federal statutory income tax rate of 21.0% primarily due to state and local tax expense, the impact of non-deductible expenses, and foreign losses for which no tax benefit is recognized as such amounts are fully offset with a valuation allowance. The effective tax rate for the three months ended March 31, 2022 differs from the federal statutory income tax rate of 21.0% primarily due to state and local tax expense, and foreign losses for which no tax benefit is recognized as such amounts are fully offset with a valuation allowance.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Equity in losses of Vasconia, net of taxes, was $0.7 million for the three months ended March 31, 2023, as compared to equity in earnings of Vasconia, net of taxes, of $0.4 million for the three months ended March 31, 2022. For the three months ended March 31, 2023, equity in losses included a non-cash impairment charge of $2.1 million to reduce the carrying value of the Company’s investment in Vasconia to its fair value. The decline in the fair value was determined to be other than temporary due to the decline in the quoted stock price and the quarterly decline in the operating results of Vasconia.</w:t>
      </w:r>
    </w:p>
    <w:p>
      <w:pPr>
        <w:spacing w:after="0" w:line="1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Vasconia reported loss from operations of $1.0 million for the three months ended March 31, 2023, as compared to income from operations of $4.7 million for the three months ended March 31, 2022. The decrease in income from operations was primarily attributable to decreased operating results in the current period in Vasconia’s aluminum division.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6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At March 31, 2023, the Company had cash and cash equivalents of $41.0 million, compared to $23.6 million at December 31, 2022. Working capital was $267.9 million at March 31, 2023, compared to $270.4 million at December 31, 2022. Liquidity, which includes cash and cash equivalents, availability under the ABL Agreement, and available funding under the Receivables Purchase Agreement, was approximately $204.9 million at March 31, 2023.</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2023, inventory turnover was 1.7 times, or 212 days, as compared to 1.8 times, or 205 days, for the three months ended March 31, 2022. Inventory turns have remained relatively consistent.</w:t>
      </w:r>
    </w:p>
    <w:p>
      <w:pPr>
        <w:spacing w:after="0" w:line="17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connection with the Wallace EPA Matter, the company expects in the next twelve months it will be required to provide financial assurance of $5.6 million, which it expects to provide in the form of a letter of credit. This would reduce availability under the revolving credit facility.</w:t>
      </w:r>
    </w:p>
    <w:p>
      <w:pPr>
        <w:spacing w:after="0" w:line="14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available on terms favorable to the Company.</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loan agreement, dated as of March 2, 2018, (the “Term Loan” and together with the ABL Agreement, the “Debt Agreements”) provides for a senior secured term loan credit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requires quarterly payments, which commenced on June 30, 2018, of principal equal to 0.25% of the original aggregate principal amount of the Term Loan, which payments are to be adjusted from time to time to account for prepayments made. Per the Term Loan, when the Company makes an Excess Cash Flow payment, the payment is first applied 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w:t>
      </w:r>
    </w:p>
    <w:p>
      <w:pPr>
        <w:spacing w:after="0" w:line="2" w:lineRule="exact"/>
        <w:rPr>
          <w:sz w:val="20"/>
          <w:szCs w:val="20"/>
          <w:color w:val="auto"/>
        </w:rPr>
      </w:pPr>
    </w:p>
    <w:p>
      <w:pPr>
        <w:ind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the Company’s secured net 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189,411</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(10,424)</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r>
      <w:tr>
        <w:trPr>
          <w:trHeight w:val="206"/>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176,222</w:t>
            </w:r>
          </w:p>
        </w:tc>
      </w:tr>
      <w:tr>
        <w:trPr>
          <w:trHeight w:val="24"/>
        </w:trPr>
        <w:tc>
          <w:tcPr>
            <w:tcW w:w="7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non-current portions of the Company’s Term Loan included in the condensed consolidated balance sheets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2022</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net of current portion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245,911</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242,857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estimated Excess Cash Flow principal payment recorded at March 31, 2023 represents the Company’s estimate for the 2024 Excess Cash Flow Payment. There was no Excess Cash Flow payment due in 2023.</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1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2023 was between 4.18% and 4.21%. The Company paid a commitment fee of 0.25% during the three months ended March 31, 2023.</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2.5% or (ii) SOFR for the applicable interest period, multiplied by any statutory reserve rate, but not less than 1.0%, plus a margin of 3.5%. The interest rate on outstanding borrowings under the Term Loan at March 31, 2023 was 8.42%.</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2023.</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(including pro forma adjustments), for the trailing twelve months ended March 31, 2023 was $49.5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three months ended March 31, 2023 were $0.5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(loss) income,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Ended March 31,</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(15,351)</w:t>
            </w:r>
          </w:p>
        </w:tc>
        <w:tc>
          <w:tcPr>
            <w:tcW w:w="0" w:type="dxa"/>
            <w:vAlign w:val="bottom"/>
          </w:tcPr>
          <w:p>
            <w:pPr>
              <w:spacing w:after="0"/>
              <w:rPr>
                <w:sz w:val="1"/>
                <w:szCs w:val="1"/>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Undistributed equity (earnings) losses,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(benefit) provision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18,774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19,507</w:t>
            </w:r>
          </w:p>
        </w:tc>
        <w:tc>
          <w:tcPr>
            <w:tcW w:w="0" w:type="dxa"/>
            <w:vAlign w:val="bottom"/>
          </w:tcPr>
          <w:p>
            <w:pPr>
              <w:spacing w:after="0"/>
              <w:rPr>
                <w:sz w:val="1"/>
                <w:szCs w:val="1"/>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w w:val="99"/>
              </w:rPr>
              <w:t>Mark to market (gain) loss on interest rate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Acquisition related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line="216" w:lineRule="exact"/>
              <w:rPr>
                <w:sz w:val="20"/>
                <w:szCs w:val="20"/>
                <w:color w:val="auto"/>
              </w:rPr>
            </w:pPr>
            <w:r>
              <w:rPr>
                <w:rFonts w:ascii="Arial" w:cs="Arial" w:eastAsia="Arial" w:hAnsi="Arial"/>
                <w:sz w:val="16"/>
                <w:szCs w:val="16"/>
                <w:color w:val="auto"/>
              </w:rPr>
              <w:t>Warehouse relocation and redesign expenses</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S'well integration costs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13"/>
        </w:trPr>
        <w:tc>
          <w:tcPr>
            <w:tcW w:w="4140" w:type="dxa"/>
            <w:vAlign w:val="bottom"/>
          </w:tcPr>
          <w:p>
            <w:pPr>
              <w:ind w:left="360"/>
              <w:spacing w:after="0"/>
              <w:rPr>
                <w:sz w:val="20"/>
                <w:szCs w:val="20"/>
                <w:color w:val="auto"/>
              </w:rPr>
            </w:pPr>
            <w:r>
              <w:rPr>
                <w:rFonts w:ascii="Arial" w:cs="Arial" w:eastAsia="Arial" w:hAnsi="Arial"/>
                <w:sz w:val="16"/>
                <w:szCs w:val="16"/>
                <w:color w:val="auto"/>
              </w:rPr>
              <w:t>Wallace facility remediation expense</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7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before limitation</w:t>
            </w: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50,842</w:t>
            </w:r>
          </w:p>
        </w:tc>
        <w:tc>
          <w:tcPr>
            <w:tcW w:w="0" w:type="dxa"/>
            <w:vAlign w:val="bottom"/>
          </w:tcPr>
          <w:p>
            <w:pPr>
              <w:spacing w:after="0"/>
              <w:rPr>
                <w:sz w:val="1"/>
                <w:szCs w:val="1"/>
                <w:color w:val="auto"/>
              </w:rPr>
            </w:pPr>
          </w:p>
        </w:tc>
      </w:tr>
      <w:tr>
        <w:trPr>
          <w:trHeight w:val="190"/>
        </w:trPr>
        <w:tc>
          <w:tcPr>
            <w:tcW w:w="4140" w:type="dxa"/>
            <w:vAlign w:val="bottom"/>
            <w:tcBorders>
              <w:top w:val="single" w:sz="8" w:color="CCEEFF"/>
              <w:bottom w:val="single" w:sz="8" w:color="CCEEFF"/>
            </w:tcBorders>
          </w:tcPr>
          <w:p>
            <w:pPr>
              <w:ind w:left="500"/>
              <w:spacing w:after="0" w:line="190" w:lineRule="exact"/>
              <w:rPr>
                <w:sz w:val="20"/>
                <w:szCs w:val="20"/>
                <w:color w:val="auto"/>
              </w:rPr>
            </w:pPr>
            <w:r>
              <w:rPr>
                <w:rFonts w:ascii="Arial" w:cs="Arial" w:eastAsia="Arial" w:hAnsi="Arial"/>
                <w:sz w:val="16"/>
                <w:szCs w:val="16"/>
                <w:color w:val="auto"/>
              </w:rPr>
              <w:t>Pro forma projected synergies adjustment</w:t>
            </w:r>
            <w:r>
              <w:rPr>
                <w:rFonts w:ascii="Arial" w:cs="Arial" w:eastAsia="Arial" w:hAnsi="Arial"/>
                <w:sz w:val="21"/>
                <w:szCs w:val="21"/>
                <w:color w:val="auto"/>
                <w:vertAlign w:val="superscript"/>
              </w:rPr>
              <w:t>(3)</w:t>
            </w:r>
          </w:p>
        </w:tc>
        <w:tc>
          <w:tcPr>
            <w:tcW w:w="16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Pro forma Adjusted EBITDA, before limitation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500"/>
              <w:spacing w:after="0" w:line="216" w:lineRule="exact"/>
              <w:rPr>
                <w:sz w:val="20"/>
                <w:szCs w:val="20"/>
                <w:color w:val="auto"/>
              </w:rPr>
            </w:pPr>
            <w:r>
              <w:rPr>
                <w:rFonts w:ascii="Arial" w:cs="Arial" w:eastAsia="Arial" w:hAnsi="Arial"/>
                <w:sz w:val="16"/>
                <w:szCs w:val="16"/>
                <w:color w:val="auto"/>
              </w:rPr>
              <w:t xml:space="preserve">Permitted non-recurring charge limitation </w:t>
            </w:r>
            <w:r>
              <w:rPr>
                <w:rFonts w:ascii="Arial" w:cs="Arial" w:eastAsia="Arial" w:hAnsi="Arial"/>
                <w:sz w:val="21"/>
                <w:szCs w:val="21"/>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49,460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20" w:firstLine="8"/>
        <w:spacing w:after="0" w:line="224" w:lineRule="auto"/>
        <w:tabs>
          <w:tab w:leader="none" w:pos="163"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For the twelve months ended March 31, 2023, the warehouse relocation and redesign expenses included $0.04 million of expenses related to the International segment and $0.3 million of expenses related to the U.S. segment.</w:t>
      </w:r>
    </w:p>
    <w:p>
      <w:pPr>
        <w:spacing w:after="0" w:line="23"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2"/>
          <w:szCs w:val="12"/>
          <w:color w:val="auto"/>
        </w:rPr>
        <w:t>For the twelve months ended March 31, 2023, S'well integration costs included $0.5 million of expenses related to inventory step up adjustment in connection with S'well acquisition.</w:t>
      </w:r>
    </w:p>
    <w:p>
      <w:pPr>
        <w:spacing w:after="0" w:line="59" w:lineRule="exact"/>
        <w:rPr>
          <w:rFonts w:ascii="Arial" w:cs="Arial" w:eastAsia="Arial" w:hAnsi="Arial"/>
          <w:sz w:val="18"/>
          <w:szCs w:val="18"/>
          <w:color w:val="auto"/>
          <w:vertAlign w:val="superscript"/>
        </w:rPr>
      </w:pPr>
    </w:p>
    <w:p>
      <w:pPr>
        <w:ind w:right="20" w:firstLine="8"/>
        <w:spacing w:after="0" w:line="261" w:lineRule="auto"/>
        <w:tabs>
          <w:tab w:leader="none" w:pos="152"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Pro forma projected synergies represents the projected cost savings of $1.7 million associated with the reorganization of the International segment's workforce, $0.7 million associated with the Executive Chairman's cessation of service in such role, and $0.3 million associated with reorganization of the U.S. segment's sales management structure.</w:t>
      </w:r>
    </w:p>
    <w:p>
      <w:pPr>
        <w:spacing w:after="0" w:line="30" w:lineRule="exact"/>
        <w:rPr>
          <w:rFonts w:ascii="Arial" w:cs="Arial" w:eastAsia="Arial" w:hAnsi="Arial"/>
          <w:sz w:val="17"/>
          <w:szCs w:val="17"/>
          <w:color w:val="auto"/>
          <w:vertAlign w:val="superscript"/>
        </w:rPr>
      </w:pPr>
    </w:p>
    <w:p>
      <w:pPr>
        <w:ind w:right="540" w:firstLine="8"/>
        <w:spacing w:after="0" w:line="258" w:lineRule="auto"/>
        <w:tabs>
          <w:tab w:leader="none" w:pos="149"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Permitted non-recurring charges include restructuring expenses, integration charges, Wallace facility remediation expense, and warehouse relocation and redesign expenses. These are permitted exclusions from the Company’s adjusted EBITDA, subject to limitations, pursuant to the Company’s Debt Agreements.</w:t>
      </w:r>
    </w:p>
    <w:p>
      <w:pPr>
        <w:spacing w:after="0" w:line="33" w:lineRule="exact"/>
        <w:rPr>
          <w:rFonts w:ascii="Arial" w:cs="Arial" w:eastAsia="Arial" w:hAnsi="Arial"/>
          <w:sz w:val="17"/>
          <w:szCs w:val="17"/>
          <w:color w:val="auto"/>
          <w:vertAlign w:val="superscript"/>
        </w:rPr>
      </w:pPr>
    </w:p>
    <w:p>
      <w:pPr>
        <w:jc w:val="both"/>
        <w:ind w:right="200" w:firstLine="8"/>
        <w:spacing w:after="0" w:line="314" w:lineRule="auto"/>
        <w:tabs>
          <w:tab w:leader="none" w:pos="146" w:val="left"/>
        </w:tabs>
        <w:numPr>
          <w:ilvl w:val="0"/>
          <w:numId w:val="12"/>
        </w:numPr>
        <w:rPr>
          <w:rFonts w:ascii="Arial" w:cs="Arial" w:eastAsia="Arial" w:hAnsi="Arial"/>
          <w:sz w:val="16"/>
          <w:szCs w:val="16"/>
          <w:color w:val="auto"/>
          <w:vertAlign w:val="superscript"/>
        </w:rPr>
      </w:pPr>
      <w:r>
        <w:rPr>
          <w:rFonts w:ascii="Arial" w:cs="Arial" w:eastAsia="Arial" w:hAnsi="Arial"/>
          <w:sz w:val="11"/>
          <w:szCs w:val="11"/>
          <w:color w:val="auto"/>
        </w:rPr>
        <w:t>Adjusted EBITDA is a non-GAAP financial measure that is defined in the Company’s debt agreements. Adjusted EBITDA is defined as net (loss) income, adjusted to exclude undistributed equity in (earnings) losses, income tax (benefit) provision, interest expense, depreciation and amortization, mark to market (gain) loss on interest rate derivatives, stock compensation expense, Wallace facility remediation expense, and other items detailed in the table above that are consistent with exclusions permitted by our debt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178"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Company did not sell receivables to HSBC during the three months ended March 31, 2023. Pursuant to the Receivable Purchase Agreement, the Company sold to HSBC $46.3 million of receivables during the three months ended March 31, 2022. Charges of $0.1 million related to the sale of the receivables are included in selling, general and administrative expenses in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unaudited condensed consolidated statements of operations for the three months ended March 31, 2022. At March 31, 2023 and 2022, zero and $28.1 million, respectively, of receivables sold were outstanding and due to HSBC from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$21.9 million of accounts receivables were available for sale to HSBC, net of applicable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total outstanding notional value of interest rate swaps was $25.0 million at March 31, 2023. These non-designated interest rate swaps were entered into in June 2019 and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March 31,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aggregate gross notional value of foreign exchange contracts at March 31, 2023 was $8.3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2023, the Company did not have any foreign currency forward contract derivatives that are not designated as hedges. These foreign exchange contracts have been designated as hedges in to order to apply hedge accounting.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provided by operating activities was $12.1 million for the three months ended March 31, 2023, as compared to net cash provided by operating activities of $13.4 million for the three months ended March 31, 2022. The decrease from 2023 compared to 2022 was attributable to a net loss generated in 2023 compared to net income generated in 2022, timing of collections related to the Company's accounts receivables, partially offset by a decrease in inventory investment and the timing of payments for accounts payable and accrued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Net cash used in investing activities was $0.5 million and $18.4 million for the three months ended March 31, 2023 and 2022, respectively. The decrease from 2023 compared to 2022 was attributable to the cash consideration of $18.0 million paid for the acquisition of S'well in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financing activities was $5.7 million for the three months ended March 31, 2023, as compared to net cash used in financing activities of $8.2 million for the three months ended March 31, 2022. The change was mainly attributable to proceeds from the Company's revolving credit facility under its ABL Agreement in the 2023 period, partially offset by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for stock repurchases compared to repayments on the Company's revolving credit facility under its ABL Agreement and the Excess Cash Flow principal payment on the term loan in the 2022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March 31, 2023, the Company repurchased 320,204 shares for a total cost of $2.5 million and thereafter retired the shares. Please see Part II, Item 2 —Unregistered Sales of Equity Securities and Use of Proceeds included in this Quarterly Report on Form 10-Q.</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2022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2023,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description of the Company’s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readers should carefully consider the factors discussed in Part I, Item 1A—Risk Factors in the 2022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2022 Annual Report on Form 10-K</w:t>
      </w:r>
      <w:r>
        <w:rPr>
          <w:rFonts w:ascii="Arial" w:cs="Arial" w:eastAsia="Arial" w:hAnsi="Arial"/>
          <w:sz w:val="18"/>
          <w:szCs w:val="18"/>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Total number of</w:t>
            </w: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0"/>
              </w:rPr>
              <w:t>shares that may</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340" w:type="dxa"/>
            <w:vAlign w:val="bottom"/>
            <w:gridSpan w:val="2"/>
            <w:vMerge w:val="restart"/>
          </w:tcPr>
          <w:p>
            <w:pPr>
              <w:jc w:val="center"/>
              <w:ind w:left="9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1"/>
              </w:rPr>
              <w:t>or programs</w:t>
            </w: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340" w:type="dxa"/>
            <w:vAlign w:val="bottom"/>
            <w:gridSpan w:val="2"/>
          </w:tcPr>
          <w:p>
            <w:pPr>
              <w:jc w:val="center"/>
              <w:ind w:left="99"/>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5"/>
              </w:rPr>
              <w:t>subsequent to</w:t>
            </w: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2340" w:type="dxa"/>
            <w:vAlign w:val="bottom"/>
            <w:gridSpan w:val="2"/>
          </w:tcPr>
          <w:p>
            <w:pPr>
              <w:jc w:val="center"/>
              <w:ind w:left="9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260" w:type="dxa"/>
            <w:vAlign w:val="bottom"/>
          </w:tcPr>
          <w:p>
            <w:pPr>
              <w:spacing w:after="0"/>
              <w:rPr>
                <w:sz w:val="18"/>
                <w:szCs w:val="18"/>
                <w:color w:val="auto"/>
              </w:rPr>
            </w:pPr>
          </w:p>
        </w:tc>
        <w:tc>
          <w:tcPr>
            <w:tcW w:w="1700" w:type="dxa"/>
            <w:vAlign w:val="bottom"/>
          </w:tcPr>
          <w:p>
            <w:pPr>
              <w:jc w:val="center"/>
              <w:ind w:right="17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 January 31, 2023</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12,709,651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February 1 - February 28, 2023</w:t>
            </w:r>
          </w:p>
        </w:tc>
        <w:tc>
          <w:tcPr>
            <w:tcW w:w="2240" w:type="dxa"/>
            <w:vAlign w:val="bottom"/>
          </w:tcPr>
          <w:p>
            <w:pPr>
              <w:jc w:val="right"/>
              <w:spacing w:after="0"/>
              <w:rPr>
                <w:sz w:val="20"/>
                <w:szCs w:val="20"/>
                <w:color w:val="auto"/>
              </w:rPr>
            </w:pPr>
            <w:r>
              <w:rPr>
                <w:rFonts w:ascii="Arial" w:cs="Arial" w:eastAsia="Arial" w:hAnsi="Arial"/>
                <w:sz w:val="16"/>
                <w:szCs w:val="16"/>
                <w:color w:val="auto"/>
              </w:rPr>
              <w:t>167,160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167,160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11,377,508</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March 1 - March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103,975</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11,140,752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80" w:hanging="332"/>
        <w:spacing w:after="0" w:line="237"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repurchased shares include 73,705 shares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spacing w:after="0" w:line="49" w:lineRule="exact"/>
        <w:rPr>
          <w:rFonts w:ascii="Arial" w:cs="Arial" w:eastAsia="Arial" w:hAnsi="Arial"/>
          <w:sz w:val="19"/>
          <w:szCs w:val="19"/>
          <w:color w:val="auto"/>
          <w:vertAlign w:val="superscript"/>
        </w:rPr>
      </w:pPr>
    </w:p>
    <w:p>
      <w:pPr>
        <w:ind w:left="340" w:right="200" w:hanging="332"/>
        <w:spacing w:after="0" w:line="237"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March 31, 2023, the Company repurchased 320,204 shares for a total cost of $2.5 million and thereafter retired the shares.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60" w:type="dxa"/>
            <w:vAlign w:val="bottom"/>
            <w:gridSpan w:val="17"/>
          </w:tcPr>
          <w:p>
            <w:pPr>
              <w:ind w:left="46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w:t>
            </w:r>
          </w:p>
        </w:tc>
        <w:tc>
          <w:tcPr>
            <w:tcW w:w="9560" w:type="dxa"/>
            <w:vAlign w:val="bottom"/>
            <w:gridSpan w:val="22"/>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Fourth Amendment to the Amended and Restated Employment Agreement, dated as of March 8, 2023, by and between the</w:t>
              </w:r>
            </w:hyperlink>
          </w:p>
        </w:tc>
      </w:tr>
      <w:tr>
        <w:trPr>
          <w:trHeight w:val="155"/>
        </w:trPr>
        <w:tc>
          <w:tcPr>
            <w:tcW w:w="1600" w:type="dxa"/>
            <w:vAlign w:val="bottom"/>
          </w:tcPr>
          <w:p>
            <w:pPr>
              <w:spacing w:after="0"/>
              <w:rPr>
                <w:sz w:val="13"/>
                <w:szCs w:val="13"/>
                <w:color w:val="auto"/>
              </w:rPr>
            </w:pPr>
          </w:p>
        </w:tc>
        <w:tc>
          <w:tcPr>
            <w:tcW w:w="884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Company and Laurence Winoker (incorporated by reference to Exhibit 10.18 to the Company’s Annual Report on Form 10</w:t>
              </w:r>
            </w:hyperlink>
          </w:p>
        </w:tc>
        <w:tc>
          <w:tcPr>
            <w:tcW w:w="720" w:type="dxa"/>
            <w:vAlign w:val="bottom"/>
            <w:gridSpan w:val="15"/>
          </w:tcPr>
          <w:p>
            <w:pPr>
              <w:ind w:left="20"/>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-K for</w:t>
              </w:r>
            </w:hyperlink>
          </w:p>
        </w:tc>
      </w:tr>
      <w:tr>
        <w:trPr>
          <w:trHeight w:val="169"/>
        </w:trPr>
        <w:tc>
          <w:tcPr>
            <w:tcW w:w="1600" w:type="dxa"/>
            <w:vAlign w:val="bottom"/>
          </w:tcPr>
          <w:p>
            <w:pPr>
              <w:spacing w:after="0"/>
              <w:rPr>
                <w:sz w:val="14"/>
                <w:szCs w:val="14"/>
                <w:color w:val="auto"/>
              </w:rPr>
            </w:pPr>
          </w:p>
        </w:tc>
        <w:tc>
          <w:tcPr>
            <w:tcW w:w="930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the fiscal year ended December 31,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10.2</w:t>
            </w:r>
          </w:p>
        </w:tc>
        <w:tc>
          <w:tcPr>
            <w:tcW w:w="9560" w:type="dxa"/>
            <w:vAlign w:val="bottom"/>
            <w:gridSpan w:val="22"/>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Third Amendment, dated March 8, 2023, to the Employment Agreement dated as of November 8, 2017, by and between Lifetime</w:t>
              </w:r>
            </w:hyperlink>
          </w:p>
        </w:tc>
      </w:tr>
      <w:tr>
        <w:trPr>
          <w:trHeight w:val="20"/>
        </w:trPr>
        <w:tc>
          <w:tcPr>
            <w:tcW w:w="1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22"/>
          </w:tcPr>
          <w:p>
            <w:pPr>
              <w:spacing w:after="0" w:line="15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Brands, Inc. and Daniel Siegel (incorporated by reference to Exhibit 10.26 to the Company’s Annual Report on Form 10-K for the</w:t>
              </w:r>
            </w:hyperlink>
          </w:p>
        </w:tc>
      </w:tr>
      <w:tr>
        <w:trPr>
          <w:trHeight w:val="169"/>
        </w:trPr>
        <w:tc>
          <w:tcPr>
            <w:tcW w:w="1600" w:type="dxa"/>
            <w:vAlign w:val="bottom"/>
          </w:tcPr>
          <w:p>
            <w:pPr>
              <w:spacing w:after="0"/>
              <w:rPr>
                <w:sz w:val="14"/>
                <w:szCs w:val="14"/>
                <w:color w:val="auto"/>
              </w:rPr>
            </w:pPr>
          </w:p>
        </w:tc>
        <w:tc>
          <w:tcPr>
            <w:tcW w:w="27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fiscal year ended December 31, 2022)</w:t>
              </w:r>
            </w:hyperlink>
          </w:p>
        </w:tc>
        <w:tc>
          <w:tcPr>
            <w:tcW w:w="66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10.3</w:t>
            </w:r>
          </w:p>
        </w:tc>
        <w:tc>
          <w:tcPr>
            <w:tcW w:w="9560" w:type="dxa"/>
            <w:vAlign w:val="bottom"/>
            <w:gridSpan w:val="22"/>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Third Amendment, dated March 8, 2023, to the Employment Agreement dated as of December 22, 2017 by and between Lifetime</w:t>
              </w:r>
            </w:hyperlink>
          </w:p>
        </w:tc>
      </w:tr>
      <w:tr>
        <w:trPr>
          <w:trHeight w:val="156"/>
        </w:trPr>
        <w:tc>
          <w:tcPr>
            <w:tcW w:w="1600" w:type="dxa"/>
            <w:vAlign w:val="bottom"/>
          </w:tcPr>
          <w:p>
            <w:pPr>
              <w:spacing w:after="0"/>
              <w:rPr>
                <w:sz w:val="13"/>
                <w:szCs w:val="13"/>
                <w:color w:val="auto"/>
              </w:rPr>
            </w:pPr>
          </w:p>
        </w:tc>
        <w:tc>
          <w:tcPr>
            <w:tcW w:w="934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Brands, Inc. and Robert Kay (incorporated by reference to Exhibit 10.35 to the Company’s Annual Report on Form 10-K for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0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fiscal year ended December 31, 2022)</w:t>
              </w:r>
            </w:hyperlink>
          </w:p>
        </w:tc>
        <w:tc>
          <w:tcPr>
            <w:tcW w:w="6500" w:type="dxa"/>
            <w:vAlign w:val="bottom"/>
            <w:tcBorders>
              <w:top w:val="single" w:sz="8" w:color="0000FF"/>
            </w:tcBorders>
            <w:gridSpan w:val="7"/>
          </w:tcPr>
          <w:p>
            <w:pPr>
              <w:spacing w:after="0"/>
              <w:rPr>
                <w:sz w:val="14"/>
                <w:szCs w:val="14"/>
                <w:color w:val="auto"/>
              </w:rPr>
            </w:pPr>
          </w:p>
        </w:tc>
        <w:tc>
          <w:tcPr>
            <w:tcW w:w="12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22"/>
          </w:tcPr>
          <w:p>
            <w:pPr>
              <w:spacing w:after="0"/>
              <w:rPr>
                <w:rFonts w:ascii="Arial" w:cs="Arial" w:eastAsia="Arial" w:hAnsi="Arial"/>
                <w:sz w:val="18"/>
                <w:szCs w:val="18"/>
                <w:color w:val="0000FF"/>
                <w:w w:val="89"/>
              </w:rPr>
            </w:pPr>
            <w:hyperlink r:id="rId62">
              <w:r>
                <w:rPr>
                  <w:rFonts w:ascii="Arial" w:cs="Arial" w:eastAsia="Arial" w:hAnsi="Arial"/>
                  <w:sz w:val="18"/>
                  <w:szCs w:val="18"/>
                  <w:color w:val="0000FF"/>
                  <w:w w:val="89"/>
                </w:rPr>
                <w:t>Amendment No. 2 to the Receivables Purchase Agreement, dated as of January 6, 2023 by and among the Company, as a Seller and</w:t>
              </w:r>
            </w:hyperlink>
          </w:p>
        </w:tc>
      </w:tr>
      <w:tr>
        <w:trPr>
          <w:trHeight w:val="155"/>
        </w:trPr>
        <w:tc>
          <w:tcPr>
            <w:tcW w:w="160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as a Seller Agent and initial Servicer, for itself and each of its subsidiaries thereto as a Seller, and HSBC Bank USA, National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00" w:type="dxa"/>
            <w:vAlign w:val="bottom"/>
          </w:tcPr>
          <w:p>
            <w:pPr>
              <w:spacing w:after="0"/>
              <w:rPr>
                <w:sz w:val="14"/>
                <w:szCs w:val="14"/>
                <w:color w:val="auto"/>
              </w:rPr>
            </w:pPr>
          </w:p>
        </w:tc>
        <w:tc>
          <w:tcPr>
            <w:tcW w:w="9040" w:type="dxa"/>
            <w:vAlign w:val="bottom"/>
            <w:tcBorders>
              <w:top w:val="single" w:sz="8" w:color="0000FF"/>
            </w:tcBorders>
            <w:gridSpan w:val="9"/>
          </w:tcPr>
          <w:p>
            <w:pPr>
              <w:spacing w:after="0" w:line="169"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Association, as Purchaser (incorporated by reference to Exhibit 10.45 to the Company’s Annual Report on Form 10-K for the</w:t>
              </w:r>
            </w:hyperlink>
          </w:p>
        </w:tc>
        <w:tc>
          <w:tcPr>
            <w:tcW w:w="520" w:type="dxa"/>
            <w:vAlign w:val="bottom"/>
            <w:gridSpan w:val="13"/>
          </w:tcPr>
          <w:p>
            <w:pPr>
              <w:ind w:left="20"/>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fiscal</w:t>
              </w:r>
            </w:hyperlink>
          </w:p>
        </w:tc>
      </w:tr>
      <w:tr>
        <w:trPr>
          <w:trHeight w:val="156"/>
        </w:trPr>
        <w:tc>
          <w:tcPr>
            <w:tcW w:w="160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year ended December 31, 2022)</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10.5</w:t>
            </w:r>
          </w:p>
        </w:tc>
        <w:tc>
          <w:tcPr>
            <w:tcW w:w="9560" w:type="dxa"/>
            <w:vAlign w:val="bottom"/>
            <w:gridSpan w:val="22"/>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Amendment to Option Grant Certificates, dated as of March 8, 2023, by and among the Company and Jeffrey Siegel (incorporated</w:t>
              </w:r>
            </w:hyperlink>
          </w:p>
        </w:tc>
      </w:tr>
      <w:tr>
        <w:trPr>
          <w:trHeight w:val="156"/>
        </w:trPr>
        <w:tc>
          <w:tcPr>
            <w:tcW w:w="160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by reference to Exhibit 10.46 to the Company’s Annual Report on Form 10-K for the fiscal year ended December 31,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720" w:type="dxa"/>
            <w:vAlign w:val="bottom"/>
            <w:gridSpan w:val="5"/>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22"/>
          </w:tcPr>
          <w:p>
            <w:pPr>
              <w:spacing w:after="0"/>
              <w:rPr>
                <w:sz w:val="20"/>
                <w:szCs w:val="20"/>
                <w:color w:val="auto"/>
              </w:rPr>
            </w:pPr>
            <w:r>
              <w:rPr>
                <w:rFonts w:ascii="Arial" w:cs="Arial" w:eastAsia="Arial" w:hAnsi="Arial"/>
                <w:sz w:val="18"/>
                <w:szCs w:val="18"/>
                <w:color w:val="0000FF"/>
                <w:w w:val="91"/>
              </w:rPr>
              <w:t>Certification by Robert B. Kay, Chief Executive Officer and Director, pursuant to Rule 13a-14(a) or Rule 15d-14(a) of the Securities</w:t>
            </w:r>
          </w:p>
        </w:tc>
      </w:tr>
      <w:tr>
        <w:trPr>
          <w:trHeight w:val="156"/>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89"/>
              </w:rPr>
              <w:t>and Exchange Act of 1934, as adopted pursuant to Section 302 of the Sarbanes-Oxley Act of 2002</w:t>
            </w:r>
          </w:p>
        </w:tc>
        <w:tc>
          <w:tcPr>
            <w:tcW w:w="24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22"/>
          </w:tcPr>
          <w:p>
            <w:pPr>
              <w:spacing w:after="0"/>
              <w:rPr>
                <w:sz w:val="20"/>
                <w:szCs w:val="20"/>
                <w:color w:val="auto"/>
              </w:rPr>
            </w:pPr>
            <w:r>
              <w:rPr>
                <w:rFonts w:ascii="Arial" w:cs="Arial" w:eastAsia="Arial" w:hAnsi="Arial"/>
                <w:sz w:val="18"/>
                <w:szCs w:val="18"/>
                <w:color w:val="0000FF"/>
                <w:w w:val="92"/>
              </w:rPr>
              <w:t>Certification by Laurence Winoker, Executive Vice President, Treasurer and Chief Financial Officer, pursuant to Rule 13a-14(a) or</w:t>
            </w:r>
          </w:p>
        </w:tc>
      </w:tr>
      <w:tr>
        <w:trPr>
          <w:trHeight w:val="156"/>
        </w:trPr>
        <w:tc>
          <w:tcPr>
            <w:tcW w:w="16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7"/>
          </w:tcPr>
          <w:p>
            <w:pPr>
              <w:spacing w:after="0" w:line="156" w:lineRule="exact"/>
              <w:rPr>
                <w:sz w:val="20"/>
                <w:szCs w:val="20"/>
                <w:color w:val="auto"/>
              </w:rPr>
            </w:pPr>
            <w:r>
              <w:rPr>
                <w:rFonts w:ascii="Arial" w:cs="Arial" w:eastAsia="Arial" w:hAnsi="Arial"/>
                <w:sz w:val="18"/>
                <w:szCs w:val="18"/>
                <w:color w:val="0000FF"/>
                <w:w w:val="89"/>
              </w:rPr>
              <w:t>Rule 15d-14(a) of the Securities and Exchange Act of 1934, as adopted pursuant to Section 302 of the Sarbanes-Oxley Act of 2002</w:t>
            </w:r>
          </w:p>
        </w:tc>
        <w:tc>
          <w:tcPr>
            <w:tcW w:w="20" w:type="dxa"/>
            <w:vAlign w:val="bottom"/>
            <w:tcBorders>
              <w:bottom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77"/>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gridSpan w:val="22"/>
          </w:tcPr>
          <w:p>
            <w:pPr>
              <w:spacing w:after="0"/>
              <w:rPr>
                <w:sz w:val="20"/>
                <w:szCs w:val="20"/>
                <w:color w:val="auto"/>
              </w:rPr>
            </w:pPr>
            <w:r>
              <w:rPr>
                <w:rFonts w:ascii="Arial" w:cs="Arial" w:eastAsia="Arial" w:hAnsi="Arial"/>
                <w:sz w:val="18"/>
                <w:szCs w:val="18"/>
                <w:color w:val="0000FF"/>
                <w:w w:val="93"/>
              </w:rPr>
              <w:t>Certification by Robert B. Kay, Chief Executive Officer and Director, and Laurence Winoker, Executive Vice President, Treasurer</w:t>
            </w:r>
          </w:p>
        </w:tc>
      </w:tr>
      <w:tr>
        <w:trPr>
          <w:trHeight w:val="155"/>
        </w:trPr>
        <w:tc>
          <w:tcPr>
            <w:tcW w:w="1600" w:type="dxa"/>
            <w:vAlign w:val="bottom"/>
          </w:tcPr>
          <w:p>
            <w:pPr>
              <w:spacing w:after="0"/>
              <w:rPr>
                <w:sz w:val="13"/>
                <w:szCs w:val="13"/>
                <w:color w:val="auto"/>
              </w:rPr>
            </w:pPr>
          </w:p>
        </w:tc>
        <w:tc>
          <w:tcPr>
            <w:tcW w:w="93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0"/>
              </w:rPr>
              <w:t>and Chief Financial Officer, pursuant to 18 U.S.C. Section 1350, as adopted pursuant to Section 906 of the Sarbanes-Oxley Act of</w:t>
            </w:r>
          </w:p>
        </w:tc>
        <w:tc>
          <w:tcPr>
            <w:tcW w:w="200" w:type="dxa"/>
            <w:vAlign w:val="bottom"/>
            <w:gridSpan w:val="8"/>
          </w:tcPr>
          <w:p>
            <w:pPr>
              <w:spacing w:after="0"/>
              <w:rPr>
                <w:sz w:val="13"/>
                <w:szCs w:val="13"/>
                <w:color w:val="auto"/>
              </w:rPr>
            </w:pPr>
          </w:p>
        </w:tc>
      </w:tr>
      <w:tr>
        <w:trPr>
          <w:trHeight w:val="169"/>
        </w:trPr>
        <w:tc>
          <w:tcPr>
            <w:tcW w:w="160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2002</w:t>
            </w:r>
          </w:p>
        </w:tc>
        <w:tc>
          <w:tcPr>
            <w:tcW w:w="1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60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22"/>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r>
      <w:tr>
        <w:trPr>
          <w:trHeight w:val="230"/>
        </w:trPr>
        <w:tc>
          <w:tcPr>
            <w:tcW w:w="1600" w:type="dxa"/>
            <w:vAlign w:val="bottom"/>
          </w:tcPr>
          <w:p>
            <w:pPr>
              <w:spacing w:after="0"/>
              <w:rPr>
                <w:sz w:val="20"/>
                <w:szCs w:val="20"/>
                <w:color w:val="auto"/>
              </w:rPr>
            </w:pPr>
          </w:p>
        </w:tc>
        <w:tc>
          <w:tcPr>
            <w:tcW w:w="9560" w:type="dxa"/>
            <w:vAlign w:val="bottom"/>
            <w:gridSpan w:val="2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4"/>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22"/>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920"/>
              <w:spacing w:after="0"/>
              <w:rPr>
                <w:sz w:val="20"/>
                <w:szCs w:val="20"/>
                <w:color w:val="auto"/>
              </w:rPr>
            </w:pPr>
            <w:r>
              <w:rPr>
                <w:rFonts w:ascii="Arial" w:cs="Arial" w:eastAsia="Arial" w:hAnsi="Arial"/>
                <w:sz w:val="18"/>
                <w:szCs w:val="18"/>
                <w:color w:val="auto"/>
                <w:w w:val="89"/>
              </w:rPr>
              <w:t>May 10, 2023</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920"/>
              <w:spacing w:after="0"/>
              <w:rPr>
                <w:sz w:val="20"/>
                <w:szCs w:val="20"/>
                <w:color w:val="auto"/>
              </w:rPr>
            </w:pPr>
            <w:r>
              <w:rPr>
                <w:rFonts w:ascii="Arial" w:cs="Arial" w:eastAsia="Arial" w:hAnsi="Arial"/>
                <w:sz w:val="18"/>
                <w:szCs w:val="18"/>
                <w:color w:val="auto"/>
                <w:w w:val="89"/>
              </w:rPr>
              <w:t>May 10, 2023</w:t>
            </w: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bl>
    <w:p>
      <w:pPr>
        <w:ind w:left="5840"/>
        <w:spacing w:after="0" w:line="220" w:lineRule="auto"/>
        <w:rPr>
          <w:sz w:val="20"/>
          <w:szCs w:val="20"/>
          <w:color w:val="auto"/>
        </w:rPr>
      </w:pPr>
      <w:r>
        <w:rPr>
          <w:rFonts w:ascii="Arial" w:cs="Arial" w:eastAsia="Arial" w:hAnsi="Arial"/>
          <w:sz w:val="18"/>
          <w:szCs w:val="18"/>
          <w:color w:val="auto"/>
        </w:rPr>
        <w:t>Executive Vice President, Treasurer and Chief</w:t>
      </w:r>
    </w:p>
    <w:p>
      <w:pPr>
        <w:ind w:left="584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220"/>
          </w:cols>
          <w:pgMar w:left="320" w:top="121"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May 10, 2023</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Laurence Winoker</w:t>
      </w:r>
    </w:p>
    <w:p>
      <w:pPr>
        <w:ind w:left="1000"/>
        <w:spacing w:after="0" w:line="219" w:lineRule="auto"/>
        <w:rPr>
          <w:sz w:val="20"/>
          <w:szCs w:val="20"/>
          <w:color w:val="auto"/>
        </w:rPr>
      </w:pPr>
      <w:r>
        <w:rPr>
          <w:rFonts w:ascii="Arial" w:cs="Arial" w:eastAsia="Arial" w:hAnsi="Arial"/>
          <w:sz w:val="18"/>
          <w:szCs w:val="18"/>
          <w:color w:val="auto"/>
        </w:rPr>
        <w:t>Executive Vice President,</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May 10, 2023</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Certification by Robert B. Kay, Chief Executive Officer and Director, and Laurence Winoker, Executive Vice-President – Treasurer and Chief Financial Officer, Pursuant to 18 U.S.C. Section 1350, as Adopted Pursuant to Section 906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Robert B. Kay, Chief Executive Officer and Director, and I, Laurence Winoker, Executive Vice President, Treasurer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Lifetime Brands, Inc., a Delaware corporation (the “Company”), each hereby certify that:</w:t>
      </w:r>
    </w:p>
    <w:p>
      <w:pPr>
        <w:spacing w:after="0" w:line="211" w:lineRule="exact"/>
        <w:rPr>
          <w:sz w:val="20"/>
          <w:szCs w:val="20"/>
          <w:color w:val="auto"/>
        </w:rPr>
      </w:pPr>
    </w:p>
    <w:p>
      <w:pPr>
        <w:ind w:left="660" w:right="30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2023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Treasurer and Chief Financial Officer</w:t>
            </w:r>
          </w:p>
        </w:tc>
      </w:tr>
      <w:tr>
        <w:trPr>
          <w:trHeight w:val="50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May 10, 2023</w:t>
            </w:r>
          </w:p>
        </w:tc>
        <w:tc>
          <w:tcPr>
            <w:tcW w:w="5800" w:type="dxa"/>
            <w:vAlign w:val="bottom"/>
          </w:tcPr>
          <w:p>
            <w:pPr>
              <w:ind w:left="20"/>
              <w:spacing w:after="0"/>
              <w:rPr>
                <w:sz w:val="20"/>
                <w:szCs w:val="20"/>
                <w:color w:val="auto"/>
              </w:rPr>
            </w:pPr>
            <w:r>
              <w:rPr>
                <w:rFonts w:ascii="Arial" w:cs="Arial" w:eastAsia="Arial" w:hAnsi="Arial"/>
                <w:sz w:val="18"/>
                <w:szCs w:val="18"/>
                <w:color w:val="auto"/>
              </w:rPr>
              <w:t>Date: May 10, 2023</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lvl w:ilvl="1">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9" Type="http://schemas.openxmlformats.org/officeDocument/2006/relationships/hyperlink" Target="https://www.sec.gov/Archives/edgar/data/874396/000162828023007371/lcutex101812312022.htm" TargetMode="External"/><Relationship Id="rId60" Type="http://schemas.openxmlformats.org/officeDocument/2006/relationships/hyperlink" Target="https://www.sec.gov/Archives/edgar/data/874396/000162828023007371/lcutex102612312022.htm" TargetMode="External"/><Relationship Id="rId61" Type="http://schemas.openxmlformats.org/officeDocument/2006/relationships/hyperlink" Target="https://www.sec.gov/Archives/edgar/data/874396/000162828023007371/lcutex103512312022.htm" TargetMode="External"/><Relationship Id="rId62" Type="http://schemas.openxmlformats.org/officeDocument/2006/relationships/hyperlink" Target="https://www.sec.gov/Archives/edgar/data/874396/000162828023007371/lcutex104512312022.htm" TargetMode="External"/><Relationship Id="rId63" Type="http://schemas.openxmlformats.org/officeDocument/2006/relationships/hyperlink" Target="https://www.sec.gov/Archives/edgar/data/874396/000162828023007371/lcutex1046123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2023-05-10T15:49:13Z</dcterms:created>
  <dcterms:modified xsi:type="dcterms:W3CDTF">2023-05-10T15:49:13Z</dcterms:modified>
</cp:coreProperties>
</file>