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 (d) OF THE SECURITIES EXCHANGE ACT OF 1934</w:t>
      </w: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 (d) OF THE SECURITIES EXCHANGE ACT OF</w:t>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3"/>
          </w:tcPr>
          <w:p>
            <w:pPr>
              <w:ind w:left="28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2"/>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8"/>
                <w:szCs w:val="18"/>
                <w:b w:val="1"/>
                <w:bCs w:val="1"/>
                <w:color w:val="auto"/>
                <w:w w:val="90"/>
              </w:rPr>
              <w:t>Commission file number: 0-19254</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2"/>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5"/>
          </w:tcPr>
          <w:p>
            <w:pPr>
              <w:jc w:val="center"/>
              <w:ind w:left="1102"/>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06"/>
        </w:trPr>
        <w:tc>
          <w:tcPr>
            <w:tcW w:w="1200" w:type="dxa"/>
            <w:vAlign w:val="bottom"/>
          </w:tcPr>
          <w:p>
            <w:pPr>
              <w:spacing w:after="0"/>
              <w:rPr>
                <w:sz w:val="24"/>
                <w:szCs w:val="24"/>
                <w:color w:val="auto"/>
              </w:rPr>
            </w:pPr>
          </w:p>
        </w:tc>
        <w:tc>
          <w:tcPr>
            <w:tcW w:w="7900" w:type="dxa"/>
            <w:vAlign w:val="bottom"/>
            <w:gridSpan w:val="10"/>
          </w:tcPr>
          <w:p>
            <w:pPr>
              <w:jc w:val="center"/>
              <w:ind w:left="832"/>
              <w:spacing w:after="0"/>
              <w:rPr>
                <w:sz w:val="20"/>
                <w:szCs w:val="20"/>
                <w:color w:val="auto"/>
              </w:rPr>
            </w:pPr>
            <w:r>
              <w:rPr>
                <w:rFonts w:ascii="Arial" w:cs="Arial" w:eastAsia="Arial" w:hAnsi="Arial"/>
                <w:sz w:val="43"/>
                <w:szCs w:val="43"/>
                <w:b w:val="1"/>
                <w:bCs w:val="1"/>
                <w:color w:val="auto"/>
              </w:rPr>
              <w:t>LIFETIME BRANDS, INC.</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4"/>
        </w:trPr>
        <w:tc>
          <w:tcPr>
            <w:tcW w:w="1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92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42"/>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5"/>
          </w:tcPr>
          <w:p>
            <w:pPr>
              <w:jc w:val="center"/>
              <w:ind w:left="1102"/>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5"/>
        </w:trPr>
        <w:tc>
          <w:tcPr>
            <w:tcW w:w="1200" w:type="dxa"/>
            <w:vAlign w:val="bottom"/>
          </w:tcPr>
          <w:p>
            <w:pPr>
              <w:spacing w:after="0"/>
              <w:rPr>
                <w:sz w:val="23"/>
                <w:szCs w:val="23"/>
                <w:color w:val="auto"/>
              </w:rPr>
            </w:pPr>
          </w:p>
        </w:tc>
        <w:tc>
          <w:tcPr>
            <w:tcW w:w="1960" w:type="dxa"/>
            <w:vAlign w:val="bottom"/>
            <w:gridSpan w:val="2"/>
          </w:tcPr>
          <w:p>
            <w:pPr>
              <w:jc w:val="center"/>
              <w:ind w:left="1012"/>
              <w:spacing w:after="0"/>
              <w:rPr>
                <w:sz w:val="20"/>
                <w:szCs w:val="20"/>
                <w:color w:val="auto"/>
              </w:rPr>
            </w:pPr>
            <w:r>
              <w:rPr>
                <w:rFonts w:ascii="Arial" w:cs="Arial" w:eastAsia="Arial" w:hAnsi="Arial"/>
                <w:sz w:val="18"/>
                <w:szCs w:val="18"/>
                <w:b w:val="1"/>
                <w:bCs w:val="1"/>
                <w:color w:val="auto"/>
                <w:w w:val="91"/>
              </w:rPr>
              <w:t>Delaware</w:t>
            </w:r>
          </w:p>
        </w:tc>
        <w:tc>
          <w:tcPr>
            <w:tcW w:w="1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8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9"/>
              </w:rPr>
              <w:t>11-2682486</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80"/>
        </w:trPr>
        <w:tc>
          <w:tcPr>
            <w:tcW w:w="1200" w:type="dxa"/>
            <w:vAlign w:val="bottom"/>
          </w:tcPr>
          <w:p>
            <w:pPr>
              <w:spacing w:after="0"/>
              <w:rPr>
                <w:sz w:val="15"/>
                <w:szCs w:val="15"/>
                <w:color w:val="auto"/>
              </w:rPr>
            </w:pPr>
          </w:p>
        </w:tc>
        <w:tc>
          <w:tcPr>
            <w:tcW w:w="5520" w:type="dxa"/>
            <w:vAlign w:val="bottom"/>
            <w:gridSpan w:val="6"/>
          </w:tcPr>
          <w:p>
            <w:pPr>
              <w:jc w:val="center"/>
              <w:ind w:right="2440"/>
              <w:spacing w:after="0"/>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(I.R.S. Employer</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6"/>
        </w:trPr>
        <w:tc>
          <w:tcPr>
            <w:tcW w:w="1200" w:type="dxa"/>
            <w:vAlign w:val="bottom"/>
          </w:tcPr>
          <w:p>
            <w:pPr>
              <w:spacing w:after="0"/>
              <w:rPr>
                <w:sz w:val="16"/>
                <w:szCs w:val="16"/>
                <w:color w:val="auto"/>
              </w:rPr>
            </w:pPr>
          </w:p>
        </w:tc>
        <w:tc>
          <w:tcPr>
            <w:tcW w:w="5520" w:type="dxa"/>
            <w:vAlign w:val="bottom"/>
            <w:gridSpan w:val="6"/>
          </w:tcPr>
          <w:p>
            <w:pPr>
              <w:jc w:val="center"/>
              <w:ind w:right="244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left="48"/>
              <w:spacing w:after="0"/>
              <w:rPr>
                <w:sz w:val="20"/>
                <w:szCs w:val="20"/>
                <w:color w:val="auto"/>
              </w:rPr>
            </w:pPr>
            <w:r>
              <w:rPr>
                <w:rFonts w:ascii="Arial" w:cs="Arial" w:eastAsia="Arial" w:hAnsi="Arial"/>
                <w:sz w:val="14"/>
                <w:szCs w:val="14"/>
                <w:b w:val="1"/>
                <w:bCs w:val="1"/>
                <w:color w:val="auto"/>
                <w:w w:val="96"/>
              </w:rPr>
              <w:t>Identification No.)</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21"/>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8"/>
                <w:szCs w:val="18"/>
                <w:b w:val="1"/>
                <w:bCs w:val="1"/>
                <w:color w:val="auto"/>
                <w:w w:val="91"/>
              </w:rPr>
              <w:t>1000 Stewart Avenue, Garden City, New York 11530</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1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08"/>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4"/>
          </w:tcPr>
          <w:p>
            <w:pPr>
              <w:jc w:val="center"/>
              <w:ind w:left="1282"/>
              <w:spacing w:after="0"/>
              <w:rPr>
                <w:sz w:val="20"/>
                <w:szCs w:val="20"/>
                <w:color w:val="auto"/>
              </w:rPr>
            </w:pPr>
            <w:r>
              <w:rPr>
                <w:rFonts w:ascii="Arial" w:cs="Arial" w:eastAsia="Arial" w:hAnsi="Arial"/>
                <w:sz w:val="18"/>
                <w:szCs w:val="18"/>
                <w:b w:val="1"/>
                <w:bCs w:val="1"/>
                <w:color w:val="auto"/>
                <w:w w:val="90"/>
              </w:rPr>
              <w:t>(516) 683-6000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6"/>
        </w:trPr>
        <w:tc>
          <w:tcPr>
            <w:tcW w:w="1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30"/>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9"/>
        </w:trPr>
        <w:tc>
          <w:tcPr>
            <w:tcW w:w="316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92"/>
              </w:rPr>
              <w:t>Common Stock, $.01 par value</w:t>
            </w:r>
          </w:p>
        </w:tc>
        <w:tc>
          <w:tcPr>
            <w:tcW w:w="3560" w:type="dxa"/>
            <w:vAlign w:val="bottom"/>
            <w:gridSpan w:val="4"/>
          </w:tcPr>
          <w:p>
            <w:pPr>
              <w:jc w:val="center"/>
              <w:ind w:left="562"/>
              <w:spacing w:after="0"/>
              <w:rPr>
                <w:sz w:val="20"/>
                <w:szCs w:val="20"/>
                <w:color w:val="auto"/>
              </w:rPr>
            </w:pPr>
            <w:r>
              <w:rPr>
                <w:rFonts w:ascii="Arial" w:cs="Arial" w:eastAsia="Arial" w:hAnsi="Arial"/>
                <w:sz w:val="14"/>
                <w:szCs w:val="14"/>
                <w:b w:val="1"/>
                <w:bCs w:val="1"/>
                <w:color w:val="auto"/>
              </w:rPr>
              <w:t>LCUT</w:t>
            </w:r>
          </w:p>
        </w:tc>
        <w:tc>
          <w:tcPr>
            <w:tcW w:w="180" w:type="dxa"/>
            <w:vAlign w:val="bottom"/>
          </w:tcPr>
          <w:p>
            <w:pPr>
              <w:spacing w:after="0"/>
              <w:rPr>
                <w:sz w:val="16"/>
                <w:szCs w:val="16"/>
                <w:color w:val="auto"/>
              </w:rPr>
            </w:pPr>
          </w:p>
        </w:tc>
        <w:tc>
          <w:tcPr>
            <w:tcW w:w="3580" w:type="dxa"/>
            <w:vAlign w:val="bottom"/>
            <w:gridSpan w:val="6"/>
          </w:tcPr>
          <w:p>
            <w:pPr>
              <w:jc w:val="center"/>
              <w:ind w:left="39"/>
              <w:spacing w:after="0"/>
              <w:rPr>
                <w:sz w:val="20"/>
                <w:szCs w:val="20"/>
                <w:color w:val="auto"/>
              </w:rPr>
            </w:pPr>
            <w:r>
              <w:rPr>
                <w:rFonts w:ascii="Arial" w:cs="Arial" w:eastAsia="Arial" w:hAnsi="Arial"/>
                <w:sz w:val="14"/>
                <w:szCs w:val="14"/>
                <w:b w:val="1"/>
                <w:bCs w:val="1"/>
                <w:color w:val="auto"/>
                <w:w w:val="96"/>
              </w:rPr>
              <w:t>The NASDAQ Global Select Market</w:t>
            </w:r>
          </w:p>
        </w:tc>
      </w:tr>
      <w:tr>
        <w:trPr>
          <w:trHeight w:val="20"/>
        </w:trPr>
        <w:tc>
          <w:tcPr>
            <w:tcW w:w="12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gridSpan w:val="4"/>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120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80" w:type="dxa"/>
            <w:vAlign w:val="bottom"/>
          </w:tcPr>
          <w:p>
            <w:pPr>
              <w:spacing w:after="0"/>
              <w:rPr>
                <w:sz w:val="22"/>
                <w:szCs w:val="22"/>
                <w:color w:val="auto"/>
              </w:rPr>
            </w:pPr>
          </w:p>
        </w:tc>
        <w:tc>
          <w:tcPr>
            <w:tcW w:w="3560" w:type="dxa"/>
            <w:vAlign w:val="bottom"/>
            <w:gridSpan w:val="4"/>
          </w:tcPr>
          <w:p>
            <w:pPr>
              <w:jc w:val="center"/>
              <w:ind w:left="562"/>
              <w:spacing w:after="0"/>
              <w:rPr>
                <w:sz w:val="20"/>
                <w:szCs w:val="20"/>
                <w:color w:val="auto"/>
              </w:rPr>
            </w:pPr>
            <w:r>
              <w:rPr>
                <w:rFonts w:ascii="Arial" w:cs="Arial" w:eastAsia="Arial" w:hAnsi="Arial"/>
                <w:sz w:val="18"/>
                <w:szCs w:val="18"/>
                <w:b w:val="1"/>
                <w:bCs w:val="1"/>
                <w:color w:val="auto"/>
                <w:w w:val="91"/>
              </w:rPr>
              <w:t>(Trading Symbol)</w:t>
            </w:r>
          </w:p>
        </w:tc>
        <w:tc>
          <w:tcPr>
            <w:tcW w:w="180" w:type="dxa"/>
            <w:vAlign w:val="bottom"/>
          </w:tcPr>
          <w:p>
            <w:pPr>
              <w:spacing w:after="0"/>
              <w:rPr>
                <w:sz w:val="22"/>
                <w:szCs w:val="22"/>
                <w:color w:val="auto"/>
              </w:rPr>
            </w:pPr>
          </w:p>
        </w:tc>
        <w:tc>
          <w:tcPr>
            <w:tcW w:w="3580" w:type="dxa"/>
            <w:vAlign w:val="bottom"/>
            <w:gridSpan w:val="6"/>
          </w:tcPr>
          <w:p>
            <w:pPr>
              <w:jc w:val="center"/>
              <w:ind w:left="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459"/>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tcPr>
          <w:p>
            <w:pPr>
              <w:jc w:val="center"/>
              <w:ind w:right="948"/>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2"/>
        </w:trPr>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5"/>
          </w:tcPr>
          <w:p>
            <w:pPr>
              <w:jc w:val="center"/>
              <w:ind w:left="1102"/>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01"/>
        </w:trPr>
        <w:tc>
          <w:tcPr>
            <w:tcW w:w="9100" w:type="dxa"/>
            <w:vAlign w:val="bottom"/>
            <w:gridSpan w:val="11"/>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1000" w:type="dxa"/>
            <w:vAlign w:val="bottom"/>
            <w:gridSpan w:val="2"/>
          </w:tcPr>
          <w:p>
            <w:pPr>
              <w:ind w:left="120"/>
              <w:spacing w:after="0" w:line="221" w:lineRule="exact"/>
              <w:rPr>
                <w:sz w:val="20"/>
                <w:szCs w:val="20"/>
                <w:color w:val="auto"/>
              </w:rPr>
            </w:pPr>
            <w:r>
              <w:rPr>
                <w:rFonts w:ascii="MS PGothic" w:cs="MS PGothic" w:eastAsia="MS PGothic" w:hAnsi="MS PGothic"/>
                <w:sz w:val="22"/>
                <w:szCs w:val="22"/>
                <w:color w:val="auto"/>
              </w:rPr>
              <w:t>☒</w:t>
            </w:r>
          </w:p>
        </w:tc>
      </w:tr>
      <w:tr>
        <w:trPr>
          <w:trHeight w:val="473"/>
        </w:trPr>
        <w:tc>
          <w:tcPr>
            <w:tcW w:w="9100" w:type="dxa"/>
            <w:vAlign w:val="bottom"/>
            <w:gridSpan w:val="11"/>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gridSpan w:val="2"/>
          </w:tcPr>
          <w:p>
            <w:pPr>
              <w:spacing w:after="0" w:line="242"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tc>
      </w:tr>
    </w:tbl>
    <w:p>
      <w:pPr>
        <w:spacing w:after="0" w:line="16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1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0"/>
        </w:trPr>
        <w:tc>
          <w:tcPr>
            <w:tcW w:w="18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36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0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20"/>
          </w:cols>
          <w:pgMar w:left="320" w:top="233" w:right="459" w:bottom="0" w:gutter="0" w:footer="0" w:header="0"/>
        </w:sectPr>
      </w:pPr>
    </w:p>
    <w:bookmarkStart w:id="1" w:name="page2"/>
    <w:bookmarkEnd w:id="1"/>
    <w:p>
      <w:pPr>
        <w:spacing w:after="0" w:line="242"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26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aggregate market value of 12,624,113 shares of the voting common equity held by non-affiliates of the registrant as of June 30, 2019, the last day of the registrant’s most recently completed second fiscal quarter, was approximately $119,424,109. Directors, executive officers, and trusts controlled by said individuals are considered affiliates for the purpose of this calculation and may not necessarily be considered affiliates for any other purpose.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$0.01 per share, outstanding as of February 29, 2020, was 21,254,244.</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Parts of the registrant’s definitive proxy statement for the 2020 Annual Meeting of Stockholders to be filed pursuant to Regulation 14A under the Securities Exchange Act of 1934 are incorporated by reference in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00" w:type="dxa"/>
            <w:vAlign w:val="bottom"/>
            <w:gridSpan w:val="7"/>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50"/>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rPr>
              <w:t>LIFETIME BRANDS, INC.</w:t>
            </w:r>
          </w:p>
        </w:tc>
        <w:tc>
          <w:tcPr>
            <w:tcW w:w="9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8"/>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9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600" w:type="dxa"/>
            <w:vAlign w:val="bottom"/>
            <w:tcBorders>
              <w:bottom w:val="single" w:sz="8" w:color="0000FF"/>
            </w:tcBorders>
          </w:tcPr>
          <w:p>
            <w:pP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120" w:type="dxa"/>
            <w:vAlign w:val="bottom"/>
          </w:tcPr>
          <w:p>
            <w:pPr>
              <w:spacing w:after="0"/>
              <w:rPr>
                <w:sz w:val="18"/>
                <w:szCs w:val="18"/>
                <w:color w:val="auto"/>
              </w:rPr>
            </w:pPr>
          </w:p>
        </w:tc>
        <w:tc>
          <w:tcPr>
            <w:tcW w:w="888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94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9">
              <w:r>
                <w:rPr>
                  <w:rFonts w:ascii="Arial" w:cs="Arial" w:eastAsia="Arial" w:hAnsi="Arial"/>
                  <w:sz w:val="18"/>
                  <w:szCs w:val="18"/>
                  <w:color w:val="0000FF"/>
                </w:rPr>
                <w:t>Item</w:t>
              </w:r>
            </w:hyperlink>
          </w:p>
        </w:tc>
        <w:tc>
          <w:tcPr>
            <w:tcW w:w="660" w:type="dxa"/>
            <w:vAlign w:val="bottom"/>
            <w:gridSpan w:val="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1A.</w:t>
              </w:r>
            </w:hyperlink>
          </w:p>
        </w:tc>
        <w:tc>
          <w:tcPr>
            <w:tcW w:w="888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94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25">
              <w:r>
                <w:rPr>
                  <w:rFonts w:ascii="Arial" w:cs="Arial" w:eastAsia="Arial" w:hAnsi="Arial"/>
                  <w:sz w:val="18"/>
                  <w:szCs w:val="18"/>
                  <w:color w:val="0000FF"/>
                </w:rPr>
                <w:t>Item</w:t>
              </w:r>
            </w:hyperlink>
          </w:p>
        </w:tc>
        <w:tc>
          <w:tcPr>
            <w:tcW w:w="66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1B.</w:t>
              </w:r>
            </w:hyperlink>
          </w:p>
        </w:tc>
        <w:tc>
          <w:tcPr>
            <w:tcW w:w="8880" w:type="dxa"/>
            <w:vAlign w:val="bottom"/>
            <w:gridSpan w:val="2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Unresolved Staff Comments</w:t>
              </w:r>
            </w:hyperlink>
          </w:p>
        </w:tc>
        <w:tc>
          <w:tcPr>
            <w:tcW w:w="94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25">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2.</w:t>
              </w:r>
            </w:hyperlink>
          </w:p>
        </w:tc>
        <w:tc>
          <w:tcPr>
            <w:tcW w:w="120" w:type="dxa"/>
            <w:vAlign w:val="bottom"/>
          </w:tcPr>
          <w:p>
            <w:pPr>
              <w:spacing w:after="0"/>
              <w:rPr>
                <w:sz w:val="18"/>
                <w:szCs w:val="18"/>
                <w:color w:val="auto"/>
              </w:rPr>
            </w:pPr>
          </w:p>
        </w:tc>
        <w:tc>
          <w:tcPr>
            <w:tcW w:w="7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Properties</w:t>
              </w:r>
            </w:hyperlink>
          </w:p>
        </w:tc>
        <w:tc>
          <w:tcPr>
            <w:tcW w:w="1300" w:type="dxa"/>
            <w:vAlign w:val="bottom"/>
            <w:tcBorders>
              <w:top w:val="single" w:sz="8" w:color="0000FF"/>
            </w:tcBorders>
            <w:gridSpan w:val="7"/>
          </w:tcPr>
          <w:p>
            <w:pPr>
              <w:spacing w:after="0"/>
              <w:rPr>
                <w:sz w:val="18"/>
                <w:szCs w:val="18"/>
                <w:color w:val="auto"/>
              </w:rPr>
            </w:pPr>
          </w:p>
        </w:tc>
        <w:tc>
          <w:tcPr>
            <w:tcW w:w="6840" w:type="dxa"/>
            <w:vAlign w:val="bottom"/>
            <w:gridSpan w:val="11"/>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26">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3.</w:t>
              </w:r>
            </w:hyperlink>
          </w:p>
        </w:tc>
        <w:tc>
          <w:tcPr>
            <w:tcW w:w="120" w:type="dxa"/>
            <w:vAlign w:val="bottom"/>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Legal Proceedings</w:t>
              </w:r>
            </w:hyperlink>
          </w:p>
        </w:tc>
        <w:tc>
          <w:tcPr>
            <w:tcW w:w="7540" w:type="dxa"/>
            <w:vAlign w:val="bottom"/>
            <w:gridSpan w:val="15"/>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2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4.</w:t>
              </w:r>
            </w:hyperlink>
          </w:p>
        </w:tc>
        <w:tc>
          <w:tcPr>
            <w:tcW w:w="120" w:type="dxa"/>
            <w:vAlign w:val="bottom"/>
          </w:tcPr>
          <w:p>
            <w:pPr>
              <w:spacing w:after="0"/>
              <w:rPr>
                <w:sz w:val="18"/>
                <w:szCs w:val="18"/>
                <w:color w:val="auto"/>
              </w:rPr>
            </w:pPr>
          </w:p>
        </w:tc>
        <w:tc>
          <w:tcPr>
            <w:tcW w:w="888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94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480"/>
        </w:trPr>
        <w:tc>
          <w:tcPr>
            <w:tcW w:w="20" w:type="dxa"/>
            <w:vAlign w:val="bottom"/>
          </w:tcPr>
          <w:p>
            <w:pPr>
              <w:spacing w:after="0"/>
              <w:rPr>
                <w:sz w:val="24"/>
                <w:szCs w:val="24"/>
                <w:color w:val="auto"/>
              </w:rPr>
            </w:pPr>
          </w:p>
        </w:tc>
        <w:tc>
          <w:tcPr>
            <w:tcW w:w="720" w:type="dxa"/>
            <w:vAlign w:val="bottom"/>
            <w:gridSpan w:val="3"/>
          </w:tcPr>
          <w:p>
            <w:pPr>
              <w:jc w:val="right"/>
              <w:ind w:right="60"/>
              <w:spacing w:after="0"/>
              <w:rPr>
                <w:rFonts w:ascii="Arial" w:cs="Arial" w:eastAsia="Arial" w:hAnsi="Arial"/>
                <w:sz w:val="18"/>
                <w:szCs w:val="18"/>
                <w:b w:val="1"/>
                <w:bCs w:val="1"/>
                <w:color w:val="0000FF"/>
                <w:w w:val="99"/>
              </w:rPr>
            </w:pPr>
            <w:hyperlink w:anchor="page28">
              <w:r>
                <w:rPr>
                  <w:rFonts w:ascii="Arial" w:cs="Arial" w:eastAsia="Arial" w:hAnsi="Arial"/>
                  <w:sz w:val="18"/>
                  <w:szCs w:val="18"/>
                  <w:b w:val="1"/>
                  <w:bCs w:val="1"/>
                  <w:color w:val="0000FF"/>
                  <w:w w:val="99"/>
                </w:rPr>
                <w:t>PART II</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2"/>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Item</w:t>
              </w:r>
            </w:hyperlink>
          </w:p>
        </w:tc>
        <w:tc>
          <w:tcPr>
            <w:tcW w:w="6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5.</w:t>
              </w:r>
            </w:hyperlink>
          </w:p>
        </w:tc>
        <w:tc>
          <w:tcPr>
            <w:tcW w:w="120" w:type="dxa"/>
            <w:vAlign w:val="bottom"/>
          </w:tcPr>
          <w:p>
            <w:pPr>
              <w:spacing w:after="0"/>
              <w:rPr>
                <w:sz w:val="18"/>
                <w:szCs w:val="18"/>
                <w:color w:val="auto"/>
              </w:rPr>
            </w:pPr>
          </w:p>
        </w:tc>
        <w:tc>
          <w:tcPr>
            <w:tcW w:w="81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Market For Registrant’s Common Equity, Related Stockholder Matters and Issuer Purchases of Equity Securities</w:t>
              </w:r>
            </w:hyperlink>
          </w:p>
        </w:tc>
        <w:tc>
          <w:tcPr>
            <w:tcW w:w="760" w:type="dxa"/>
            <w:vAlign w:val="bottom"/>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31">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6.</w:t>
              </w:r>
            </w:hyperlink>
          </w:p>
        </w:tc>
        <w:tc>
          <w:tcPr>
            <w:tcW w:w="120" w:type="dxa"/>
            <w:vAlign w:val="bottom"/>
          </w:tcPr>
          <w:p>
            <w:pPr>
              <w:spacing w:after="0"/>
              <w:rPr>
                <w:sz w:val="18"/>
                <w:szCs w:val="18"/>
                <w:color w:val="auto"/>
              </w:rPr>
            </w:pPr>
          </w:p>
        </w:tc>
        <w:tc>
          <w:tcPr>
            <w:tcW w:w="17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Selected Financial Data</w:t>
              </w:r>
            </w:hyperlink>
          </w:p>
        </w:tc>
        <w:tc>
          <w:tcPr>
            <w:tcW w:w="7160" w:type="dxa"/>
            <w:vAlign w:val="bottom"/>
            <w:gridSpan w:val="14"/>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33">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7.</w:t>
              </w:r>
            </w:hyperlink>
          </w:p>
        </w:tc>
        <w:tc>
          <w:tcPr>
            <w:tcW w:w="120" w:type="dxa"/>
            <w:vAlign w:val="bottom"/>
          </w:tcPr>
          <w:p>
            <w:pPr>
              <w:spacing w:after="0"/>
              <w:rPr>
                <w:sz w:val="18"/>
                <w:szCs w:val="18"/>
                <w:color w:val="auto"/>
              </w:rPr>
            </w:pP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4"/>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4">
              <w:r>
                <w:rPr>
                  <w:rFonts w:ascii="Arial" w:cs="Arial" w:eastAsia="Arial" w:hAnsi="Arial"/>
                  <w:sz w:val="18"/>
                  <w:szCs w:val="18"/>
                  <w:color w:val="0000FF"/>
                </w:rPr>
                <w:t>Item</w:t>
              </w:r>
            </w:hyperlink>
          </w:p>
        </w:tc>
        <w:tc>
          <w:tcPr>
            <w:tcW w:w="66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7A.</w:t>
              </w:r>
            </w:hyperlink>
          </w:p>
        </w:tc>
        <w:tc>
          <w:tcPr>
            <w:tcW w:w="888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94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5">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8.</w:t>
              </w:r>
            </w:hyperlink>
          </w:p>
        </w:tc>
        <w:tc>
          <w:tcPr>
            <w:tcW w:w="12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18"/>
                <w:szCs w:val="18"/>
                <w:color w:val="auto"/>
              </w:rPr>
            </w:pPr>
          </w:p>
        </w:tc>
        <w:tc>
          <w:tcPr>
            <w:tcW w:w="4520" w:type="dxa"/>
            <w:vAlign w:val="bottom"/>
            <w:gridSpan w:val="6"/>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5">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9.</w:t>
              </w:r>
            </w:hyperlink>
          </w:p>
        </w:tc>
        <w:tc>
          <w:tcPr>
            <w:tcW w:w="120" w:type="dxa"/>
            <w:vAlign w:val="bottom"/>
          </w:tcPr>
          <w:p>
            <w:pPr>
              <w:spacing w:after="0"/>
              <w:rPr>
                <w:sz w:val="18"/>
                <w:szCs w:val="18"/>
                <w:color w:val="auto"/>
              </w:rPr>
            </w:pP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Changes in and Disagreements with Accountants on Accounting and Financial Disclosure</w:t>
              </w:r>
            </w:hyperlink>
          </w:p>
        </w:tc>
        <w:tc>
          <w:tcPr>
            <w:tcW w:w="2400" w:type="dxa"/>
            <w:vAlign w:val="bottom"/>
            <w:gridSpan w:val="3"/>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5">
              <w:r>
                <w:rPr>
                  <w:rFonts w:ascii="Arial" w:cs="Arial" w:eastAsia="Arial" w:hAnsi="Arial"/>
                  <w:sz w:val="18"/>
                  <w:szCs w:val="18"/>
                  <w:color w:val="0000FF"/>
                </w:rPr>
                <w:t>Item</w:t>
              </w:r>
            </w:hyperlink>
          </w:p>
        </w:tc>
        <w:tc>
          <w:tcPr>
            <w:tcW w:w="660" w:type="dxa"/>
            <w:vAlign w:val="bottom"/>
            <w:gridSpan w:val="3"/>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9A.</w:t>
              </w:r>
            </w:hyperlink>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Controls and Procedures</w:t>
              </w:r>
            </w:hyperlink>
          </w:p>
        </w:tc>
        <w:tc>
          <w:tcPr>
            <w:tcW w:w="7100" w:type="dxa"/>
            <w:vAlign w:val="bottom"/>
            <w:gridSpan w:val="13"/>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7">
              <w:r>
                <w:rPr>
                  <w:rFonts w:ascii="Arial" w:cs="Arial" w:eastAsia="Arial" w:hAnsi="Arial"/>
                  <w:sz w:val="18"/>
                  <w:szCs w:val="18"/>
                  <w:color w:val="0000FF"/>
                </w:rPr>
                <w:t>Item</w:t>
              </w:r>
            </w:hyperlink>
          </w:p>
        </w:tc>
        <w:tc>
          <w:tcPr>
            <w:tcW w:w="660" w:type="dxa"/>
            <w:vAlign w:val="bottom"/>
            <w:gridSpan w:val="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9B.</w:t>
              </w:r>
            </w:hyperlink>
          </w:p>
        </w:tc>
        <w:tc>
          <w:tcPr>
            <w:tcW w:w="8880" w:type="dxa"/>
            <w:vAlign w:val="bottom"/>
            <w:gridSpan w:val="20"/>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940" w:type="dxa"/>
            <w:vAlign w:val="bottom"/>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479"/>
        </w:trPr>
        <w:tc>
          <w:tcPr>
            <w:tcW w:w="2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III</w:t>
              </w:r>
            </w:hyperlink>
          </w:p>
        </w:tc>
        <w:tc>
          <w:tcPr>
            <w:tcW w:w="6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10.</w:t>
              </w:r>
            </w:hyperlink>
          </w:p>
        </w:tc>
        <w:tc>
          <w:tcPr>
            <w:tcW w:w="120" w:type="dxa"/>
            <w:vAlign w:val="bottom"/>
          </w:tcPr>
          <w:p>
            <w:pPr>
              <w:spacing w:after="0"/>
              <w:rPr>
                <w:sz w:val="18"/>
                <w:szCs w:val="18"/>
                <w:color w:val="auto"/>
              </w:rPr>
            </w:pPr>
          </w:p>
        </w:tc>
        <w:tc>
          <w:tcPr>
            <w:tcW w:w="410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Directors, Executive Officers and Corporate Governance</w:t>
              </w:r>
            </w:hyperlink>
          </w:p>
        </w:tc>
        <w:tc>
          <w:tcPr>
            <w:tcW w:w="4780" w:type="dxa"/>
            <w:vAlign w:val="bottom"/>
            <w:gridSpan w:val="7"/>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11.</w:t>
              </w:r>
            </w:hyperlink>
          </w:p>
        </w:tc>
        <w:tc>
          <w:tcPr>
            <w:tcW w:w="120" w:type="dxa"/>
            <w:vAlign w:val="bottom"/>
          </w:tcPr>
          <w:p>
            <w:pPr>
              <w:spacing w:after="0"/>
              <w:rPr>
                <w:sz w:val="18"/>
                <w:szCs w:val="18"/>
                <w:color w:val="auto"/>
              </w:rPr>
            </w:pPr>
          </w:p>
        </w:tc>
        <w:tc>
          <w:tcPr>
            <w:tcW w:w="888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Executive Compensation</w:t>
              </w:r>
            </w:hyperlink>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8"/>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12.</w:t>
              </w:r>
            </w:hyperlink>
          </w:p>
        </w:tc>
        <w:tc>
          <w:tcPr>
            <w:tcW w:w="120" w:type="dxa"/>
            <w:vAlign w:val="bottom"/>
          </w:tcPr>
          <w:p>
            <w:pPr>
              <w:spacing w:after="0"/>
              <w:rPr>
                <w:sz w:val="18"/>
                <w:szCs w:val="18"/>
                <w:color w:val="auto"/>
              </w:rPr>
            </w:pPr>
          </w:p>
        </w:tc>
        <w:tc>
          <w:tcPr>
            <w:tcW w:w="7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Security Ownership of Certain Beneficial Owners and Management and Related Stockholder Matters</w:t>
              </w:r>
            </w:hyperlink>
          </w:p>
        </w:tc>
        <w:tc>
          <w:tcPr>
            <w:tcW w:w="1580" w:type="dxa"/>
            <w:vAlign w:val="bottom"/>
            <w:gridSpan w:val="2"/>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13.</w:t>
              </w:r>
            </w:hyperlink>
          </w:p>
        </w:tc>
        <w:tc>
          <w:tcPr>
            <w:tcW w:w="120" w:type="dxa"/>
            <w:vAlign w:val="bottom"/>
          </w:tcPr>
          <w:p>
            <w:pPr>
              <w:spacing w:after="0"/>
              <w:rPr>
                <w:sz w:val="18"/>
                <w:szCs w:val="18"/>
                <w:color w:val="auto"/>
              </w:rPr>
            </w:pPr>
          </w:p>
        </w:tc>
        <w:tc>
          <w:tcPr>
            <w:tcW w:w="54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Certain Relationships and Related Transactions, and Director Independence</w:t>
              </w:r>
            </w:hyperlink>
          </w:p>
        </w:tc>
        <w:tc>
          <w:tcPr>
            <w:tcW w:w="3420" w:type="dxa"/>
            <w:vAlign w:val="bottom"/>
            <w:gridSpan w:val="5"/>
          </w:tcPr>
          <w:p>
            <w:pPr>
              <w:spacing w:after="0"/>
              <w:rPr>
                <w:sz w:val="18"/>
                <w:szCs w:val="18"/>
                <w:color w:val="auto"/>
              </w:rPr>
            </w:pPr>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9"/>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14.</w:t>
              </w:r>
            </w:hyperlink>
          </w:p>
        </w:tc>
        <w:tc>
          <w:tcPr>
            <w:tcW w:w="120" w:type="dxa"/>
            <w:vAlign w:val="bottom"/>
          </w:tcPr>
          <w:p>
            <w:pPr>
              <w:spacing w:after="0"/>
              <w:rPr>
                <w:sz w:val="18"/>
                <w:szCs w:val="18"/>
                <w:color w:val="auto"/>
              </w:rPr>
            </w:pPr>
          </w:p>
        </w:tc>
        <w:tc>
          <w:tcPr>
            <w:tcW w:w="888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Principal Accounting Fees and Services</w:t>
              </w:r>
            </w:hyperlink>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480"/>
        </w:trPr>
        <w:tc>
          <w:tcPr>
            <w:tcW w:w="20" w:type="dxa"/>
            <w:vAlign w:val="bottom"/>
          </w:tcPr>
          <w:p>
            <w:pPr>
              <w:spacing w:after="0"/>
              <w:rPr>
                <w:sz w:val="24"/>
                <w:szCs w:val="24"/>
                <w:color w:val="auto"/>
              </w:rPr>
            </w:pPr>
          </w:p>
        </w:tc>
        <w:tc>
          <w:tcPr>
            <w:tcW w:w="1380" w:type="dxa"/>
            <w:vAlign w:val="bottom"/>
            <w:gridSpan w:val="6"/>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jc w:val="right"/>
              <w:ind w:right="60"/>
              <w:spacing w:after="0"/>
              <w:rPr>
                <w:rFonts w:ascii="Arial" w:cs="Arial" w:eastAsia="Arial" w:hAnsi="Arial"/>
                <w:sz w:val="18"/>
                <w:szCs w:val="18"/>
                <w:color w:val="0000FF"/>
              </w:rPr>
            </w:pPr>
            <w:hyperlink w:anchor="page58">
              <w:r>
                <w:rPr>
                  <w:rFonts w:ascii="Arial" w:cs="Arial" w:eastAsia="Arial" w:hAnsi="Arial"/>
                  <w:sz w:val="18"/>
                  <w:szCs w:val="18"/>
                  <w:color w:val="0000FF"/>
                </w:rPr>
                <w:t>Item</w:t>
              </w:r>
            </w:hyperlink>
          </w:p>
        </w:tc>
        <w:tc>
          <w:tcPr>
            <w:tcW w:w="54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15.</w:t>
              </w:r>
            </w:hyperlink>
          </w:p>
        </w:tc>
        <w:tc>
          <w:tcPr>
            <w:tcW w:w="120" w:type="dxa"/>
            <w:vAlign w:val="bottom"/>
          </w:tcPr>
          <w:p>
            <w:pPr>
              <w:spacing w:after="0"/>
              <w:rPr>
                <w:sz w:val="18"/>
                <w:szCs w:val="18"/>
                <w:color w:val="auto"/>
              </w:rPr>
            </w:pPr>
          </w:p>
        </w:tc>
        <w:tc>
          <w:tcPr>
            <w:tcW w:w="888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Exhibits and Financial Statement Schedules</w:t>
              </w:r>
            </w:hyperlink>
          </w:p>
        </w:tc>
        <w:tc>
          <w:tcPr>
            <w:tcW w:w="94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This Annual Report on Form 10-K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and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the Company’s assessment of historical operating trends and the application of that assessment with regards to future periods,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213"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color w:val="auto"/>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OTHER INFORMATION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i w:val="1"/>
          <w:iCs w:val="1"/>
          <w:color w:val="auto"/>
        </w:rPr>
        <w:t>.</w:t>
      </w:r>
      <w:r>
        <w:rPr>
          <w:rFonts w:ascii="Arial" w:cs="Arial" w:eastAsia="Arial" w:hAnsi="Arial"/>
          <w:sz w:val="17"/>
          <w:szCs w:val="17"/>
          <w:color w:val="auto"/>
        </w:rPr>
        <w:t xml:space="preserve"> Information contained on this website is not a part of or incorporated by reference into this Annual Report. The Company 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r>
        <w:rPr>
          <w:rFonts w:ascii="Arial" w:cs="Arial" w:eastAsia="Arial" w:hAnsi="Arial"/>
          <w:sz w:val="17"/>
          <w:szCs w:val="17"/>
          <w:i w:val="1"/>
          <w:iCs w:val="1"/>
          <w:color w:val="auto"/>
        </w:rPr>
        <w:t>.</w:t>
      </w:r>
    </w:p>
    <w:p>
      <w:pPr>
        <w:spacing w:after="0" w:line="3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1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continually evaluates opportunities to expand the reach of its brands and to invest in other companies, both foreign and domestic, that own or license complementary brands. In March 2018, pursuant to a merger agreement, the Company completed the acquisition of Taylor Holdco LLC and its subsidiaries (dba Filament Brands, and which the Company refers to as “Filament”). Filament primarily designs, markets and distributes consumer and food service precision measurement products (including kitchen scales, thermometers and timers), bath scales, wine accessories, kitchen tools, and hydration products, and select outdoor products to major retailers in the United States, Canada and select distributors throughout Europe and Asia. Filament distributes products under the Taylor, Salter, Springfield, HoMedics, Rabbit, Houdini, Metrokane, Mako, EatSmart, TravelWise, Chef’n, Vibe, d.stil, RBT and private label brand names. Pursuant to the acquisition of Filament, the Company issued approximately 27% of its then-outstanding shares to Taylor Parent, LLC (“Taylor Parent”), and entered into a stockholders agreement (the “Stockholders Agreement”) with Taylor Parent, pursuant to which Taylor Parent has the right to: (i) designate up to two persons for nomination for election or appointment to the Company’s Board of Directors, for so long as Taylor Parent beneficially owns at least 20% of the outstanding common stock of the Company on a fully diluted basis and (ii) designate one person for nomination for election or appointment to the Company’s Board of Directors, for so long as Taylor Parent beneficially owns more than 10% of the outstanding common stock of the Company on a fully diluted basis. The other rights granted to Taylor Parent under the Stockholders Agreement are discussed in greater detail under Item 1A, “Risk Factors”, below.</w:t>
      </w:r>
    </w:p>
    <w:p>
      <w:pPr>
        <w:spacing w:after="0" w:line="18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Company has a presence in international markets through subsidiaries and affiliate companies that are based outside of the United States. Lifetime Brands Europe Limited is a wholly-owned subsidiary trading as Kitchen Craft. Kitchen Craft is a leading supplier of kitchenware and tableware products and accessories in the United Kingdom (“U.K.”) and in over 80 other countries. The Company continued its operational consolidation efforts of Lifetime Brands Europe Limited to create operational efficiencies in 2019. As a result, Lifetime Brands Europe Limited’s brand development and design teams, administrative teams, and a majority of distribution combined and operated out of one state of the art facility in Aston, England.</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also has a subsidiary in the People’s Republic of China (“China”) to supply kitchenware and tableware products to the Chinese market and a subsidiary based in Hong Kong to facilitate the sale of its products to other parts of Asia and smaller markets elsewhere in the world. The Company has a presence in Mexico and other parts of Latin America (excluding Brazil) through its 30% equity interest in Grupo Vasconia, S.A.B. (“Vasconia”), a housewares company and aluminum manufacturer based in Mexico, and a strategic alliance with a Canadian company to distribute many of the Company’s products in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Delaware corporation, incorporated on December 22, 1983.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top brands and their respective product categories as of December 31, 2019 are: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Brand</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Licensed/Owned</w:t>
            </w:r>
          </w:p>
        </w:tc>
        <w:tc>
          <w:tcPr>
            <w:tcW w:w="7360" w:type="dxa"/>
            <w:vAlign w:val="bottom"/>
          </w:tcPr>
          <w:p>
            <w:pPr>
              <w:spacing w:after="0"/>
              <w:rPr>
                <w:sz w:val="20"/>
                <w:szCs w:val="20"/>
                <w:color w:val="auto"/>
              </w:rPr>
            </w:pPr>
            <w:r>
              <w:rPr>
                <w:rFonts w:ascii="Arial" w:cs="Arial" w:eastAsia="Arial" w:hAnsi="Arial"/>
                <w:sz w:val="14"/>
                <w:szCs w:val="14"/>
                <w:b w:val="1"/>
                <w:bCs w:val="1"/>
                <w:color w:val="auto"/>
              </w:rPr>
              <w:t>Product Category</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Farberware®</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 xml:space="preserve">Licensed </w:t>
            </w:r>
            <w:r>
              <w:rPr>
                <w:rFonts w:ascii="Arial" w:cs="Arial" w:eastAsia="Arial" w:hAnsi="Arial"/>
                <w:sz w:val="23"/>
                <w:szCs w:val="23"/>
                <w:color w:val="auto"/>
                <w:vertAlign w:val="superscript"/>
              </w:rPr>
              <w:t>(1)</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r>
        <w:trPr>
          <w:trHeight w:val="230"/>
        </w:trPr>
        <w:tc>
          <w:tcPr>
            <w:tcW w:w="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Mikasa®</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Tableware and Home Solutions</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Taylor®</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 and Home Solutions</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KitchenAid®</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Licensed</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KitchenCraft®</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Pfaltzgraff®</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 Tableware and Home Solutions</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BUILT NY®</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Home Solutions</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Rabbit®</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Kamenstein®</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r>
        <w:trPr>
          <w:trHeight w:val="270"/>
        </w:trPr>
        <w:tc>
          <w:tcPr>
            <w:tcW w:w="2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MasterClass®</w:t>
            </w: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7360" w:type="dxa"/>
            <w:vAlign w:val="bottom"/>
          </w:tcPr>
          <w:p>
            <w:pPr>
              <w:spacing w:after="0"/>
              <w:rPr>
                <w:sz w:val="20"/>
                <w:szCs w:val="20"/>
                <w:color w:val="auto"/>
              </w:rPr>
            </w:pPr>
            <w:r>
              <w:rPr>
                <w:rFonts w:ascii="Arial" w:cs="Arial" w:eastAsia="Arial" w:hAnsi="Arial"/>
                <w:sz w:val="18"/>
                <w:szCs w:val="18"/>
                <w:color w:val="auto"/>
              </w:rPr>
              <w:t>Kitchenware</w:t>
            </w:r>
          </w:p>
        </w:tc>
      </w:tr>
    </w:tbl>
    <w:p>
      <w:pPr>
        <w:spacing w:after="0" w:line="121" w:lineRule="exact"/>
        <w:rPr>
          <w:sz w:val="20"/>
          <w:szCs w:val="20"/>
          <w:color w:val="auto"/>
        </w:rPr>
      </w:pPr>
    </w:p>
    <w:p>
      <w:pPr>
        <w:ind w:left="500" w:right="360" w:hanging="492"/>
        <w:spacing w:after="0" w:line="227" w:lineRule="auto"/>
        <w:tabs>
          <w:tab w:leader="none" w:pos="48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The Company has a royalty free license to utilize the Farberware</w:t>
      </w:r>
      <w:r>
        <w:rPr>
          <w:rFonts w:ascii="Arial" w:cs="Arial" w:eastAsia="Arial" w:hAnsi="Arial"/>
          <w:sz w:val="16"/>
          <w:szCs w:val="16"/>
          <w:color w:val="auto"/>
        </w:rPr>
        <w:t>®</w:t>
      </w:r>
      <w:r>
        <w:rPr>
          <w:rFonts w:ascii="Arial" w:cs="Arial" w:eastAsia="Arial" w:hAnsi="Arial"/>
          <w:sz w:val="18"/>
          <w:szCs w:val="18"/>
          <w:color w:val="auto"/>
        </w:rPr>
        <w:t xml:space="preserve"> brand, primarily for its kitchenware products, for a term that expires in 2195, subject to earlier termination under certain circumstances.</w:t>
      </w:r>
    </w:p>
    <w:p>
      <w:pPr>
        <w:spacing w:after="0" w:line="20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With the exception of the Company’s sterling silver products, 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distribution facility in Winchendon, Massachusetts.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two reportable operating segments, U.S. and International. The U.S. segment includes the domestic operations of the Company’s business that design, market and distribute its products to retailers, distributors and directly to consumers through retail websites. Business operations conducted outside the U.S. are primarily included in the International segment. Prior to December 31, 2018, certain international operations of the Company’s business were managed domestically by the U.S. segment. In 2019,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information regarding the Company’s reportable segments is included in Note M- Business Segments of the Notes to the consolidated financial statements included in Item 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wholesale customers include mass market merchants, specialty stores, commercial stores, department stores, warehouse clubs, grocery stores, off-price retailers, food service distributors, pharmacies, food and beverage outlets and e-commerce.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products are sold globally to a diverse customer base including mass market merchants (such as Walmart and Target), specialty stores (such as Bed Bath &amp; Beyond and Dunelm), commercial stores (such as Williams Sonoma, Sur La Table and Kohl’s), department stores (such as Macy’s, Belk and John Lewis), warehouse clubs (such as Costco, Sam’s Club and BJs), grocery stores (such as Publix, Kroger, HEB, Meijer, Winn-Dixie, Tesco, Waitrose and Sainsbury’s), off-price retailers (such as TJX Companies, Ross Stores and Big Lots), food service distributors (such as US Foods, Clark Food Service and Jetro), food and beverage outlets (such as Starbucks) and e-commerce (such as Amazon). The Company also does business with independent retailers, including through business-to-business Internet sites aimed at independent retailers.</w:t>
      </w: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also operates its own consumer Internet sites that provide information about the Company’s products and offer consumers the opportunity to purchase a limited selection of the Company’s products directly.</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the years ended December 31, 2019, 2018 and 2017, Wal-Mart Stores, Inc., including Sam’s Club and, in the U.K., Asda Superstore, (“Walmart”), accounted for 16%, 14% and 15% of net sales, respectively. Sales to Walmart are included in the Company's U.S. and International segments. During the year ended December 31, 2019, sales to Costco Wholesale Corporation (“Costco”) accounted for 11% of consolidated net sales. Sales to Costco are included in the Company's U.S. and International segment. No other customers accounted for 10% or more of the Company’s sales during these periods.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sells its products directly to retailers and, to a lesser extent, to distributors. The Company also sells a limited quantity of the Company’s products to individual consumers and smaller retailers through its own Internet sites. The Company operates distribution centers at the following locations:</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4100" w:type="dxa"/>
            <w:vAlign w:val="bottom"/>
          </w:tcPr>
          <w:p>
            <w:pPr>
              <w:spacing w:after="0"/>
              <w:rPr>
                <w:sz w:val="12"/>
                <w:szCs w:val="12"/>
                <w:color w:val="auto"/>
              </w:rPr>
            </w:pPr>
          </w:p>
        </w:tc>
        <w:tc>
          <w:tcPr>
            <w:tcW w:w="980" w:type="dxa"/>
            <w:vAlign w:val="bottom"/>
            <w:gridSpan w:val="2"/>
          </w:tcPr>
          <w:p>
            <w:pPr>
              <w:jc w:val="right"/>
              <w:ind w:right="500"/>
              <w:spacing w:after="0" w:line="145" w:lineRule="exact"/>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vMerge w:val="continue"/>
          </w:tcPr>
          <w:p>
            <w:pPr>
              <w:spacing w:after="0"/>
              <w:rPr>
                <w:sz w:val="12"/>
                <w:szCs w:val="12"/>
                <w:color w:val="auto"/>
              </w:rPr>
            </w:pPr>
          </w:p>
        </w:tc>
        <w:tc>
          <w:tcPr>
            <w:tcW w:w="5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(square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Rialto, California</w:t>
            </w:r>
          </w:p>
        </w:tc>
        <w:tc>
          <w:tcPr>
            <w:tcW w:w="5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703,000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Robbinsville, New Jersey</w:t>
            </w:r>
          </w:p>
        </w:tc>
        <w:tc>
          <w:tcPr>
            <w:tcW w:w="5080" w:type="dxa"/>
            <w:vAlign w:val="bottom"/>
            <w:gridSpan w:val="3"/>
          </w:tcPr>
          <w:p>
            <w:pPr>
              <w:jc w:val="right"/>
              <w:ind w:right="16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Aston, England </w:t>
            </w:r>
            <w:r>
              <w:rPr>
                <w:rFonts w:ascii="Arial" w:cs="Arial" w:eastAsia="Arial" w:hAnsi="Arial"/>
                <w:sz w:val="23"/>
                <w:szCs w:val="23"/>
                <w:color w:val="auto"/>
                <w:vertAlign w:val="superscript"/>
              </w:rPr>
              <w:t>(1)</w:t>
            </w:r>
          </w:p>
        </w:tc>
        <w:tc>
          <w:tcPr>
            <w:tcW w:w="5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Winchendon, Massachusetts</w:t>
            </w:r>
          </w:p>
        </w:tc>
        <w:tc>
          <w:tcPr>
            <w:tcW w:w="5080" w:type="dxa"/>
            <w:vAlign w:val="bottom"/>
            <w:gridSpan w:val="3"/>
          </w:tcPr>
          <w:p>
            <w:pPr>
              <w:jc w:val="right"/>
              <w:ind w:right="16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Corby, England </w:t>
            </w:r>
            <w:r>
              <w:rPr>
                <w:rFonts w:ascii="Arial" w:cs="Arial" w:eastAsia="Arial" w:hAnsi="Arial"/>
                <w:sz w:val="23"/>
                <w:szCs w:val="23"/>
                <w:color w:val="auto"/>
                <w:vertAlign w:val="superscript"/>
              </w:rPr>
              <w:t>(1)</w:t>
            </w:r>
          </w:p>
        </w:tc>
        <w:tc>
          <w:tcPr>
            <w:tcW w:w="5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Las Cruces, New Mexico</w:t>
            </w:r>
          </w:p>
        </w:tc>
        <w:tc>
          <w:tcPr>
            <w:tcW w:w="5080" w:type="dxa"/>
            <w:vAlign w:val="bottom"/>
            <w:gridSpan w:val="3"/>
          </w:tcPr>
          <w:p>
            <w:pPr>
              <w:jc w:val="right"/>
              <w:ind w:right="16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Medford, Massachusetts</w:t>
            </w:r>
          </w:p>
        </w:tc>
        <w:tc>
          <w:tcPr>
            <w:tcW w:w="5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40" w:hanging="492"/>
        <w:spacing w:after="0" w:line="267" w:lineRule="auto"/>
        <w:tabs>
          <w:tab w:leader="none" w:pos="48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 of December 31, 2019, the International segment utilized the Corby, England distribution center for a limited portion of customer orders. The Company expects to complete the consolidation of its Corby, England distribution center into the Aston, England distribution center in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sales and marketing staff coordinates directly with its wholesale customers to devise marketing strategies and merchandising concepts and to furnish advice on advertising and product promotion. The Company has developed many promotional programs for use in the ordinary course of business to promote sales throughout the year.</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Company’s sales and marketing efforts are supported from its principal offices and showroom in Garden City, New York, as well as showrooms in New York, New York; Medford, Massachusetts; Atlanta, Georgia; Bentonville, Arkansas; Issaquah, Washington; Pawtucket, Rhode Island; Menomonee Falls, Wisconsin; Aston, England; and Hong Kong.</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generally collaborates with its largest wholesale customers and in many instances produces specific versions of the Company’s product lines with exclusive designs and/or packaging for them.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INNOVATION</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At the heart of the Company is a culture of innovation and new product development. The Company’s global in-house design and development teams currently consist of approximately 116 professional designers, artists and engineers. Utilizing the latest available design tools, technology and materials, these teams create new products, redesign existing products and create packaging and merchandising concepts.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sources its products from hundreds of suppliers, almost all of which are located outside the United States (other than the suppliers for the Company’s sterling silver products). Most of the Company’s suppliers are located in China. The Company also sources products from suppliers in Hong Kong, Taiwan, Japan, South Korea, Vietnam, Malaysia, Thailand, India, the United States, Canada, Mexico, the U.K., Italy, France, Portugal, Poland, Slovenia, Sweden, Turkey, Netherlands, Denmark, Israel, Belgium, Germany, Czech Republic, Slovakia, American Samoa, Cambodia, Indonesia, the Philippines and Australia. The Company orders products substantially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manufactures its sterling silver products at its leased manufacturing facility in San Germán, Puerto Rico and fills jars and other containers with spices and assembles spice racks at the Company’s owned distribution facility in Winchendon, Massachusetts. The Company contracts with third parties to manufacture all of its other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markets for kitchenware, tableware and other products used in the home including home décor products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owns approximately 848 design and utility patents. The Company does not believe that the expiration of any of its patents would have a material adverse effect on either of the Company’s segments.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Backlog is not material to the Company’s business, because actual confirmed orders from the Company’s customers are typically received within close proximity to the required shipment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2019, the Company had a total of approximately 1,400 full-time employees, of whom 180 were located in Asia, 270 were located in Europe and 950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affiliates are subject to significant regulation by various governmental, regulatory and other administrative authorities.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manufacturer and distributor of consumer products, the Company is subject to the Consumer Products Safety Act in the United States and the Consumer Protection Act in the U.K. Additionally, laws regulating certain consumer products exist in some cities and states, as well as in other countries in which the Company or its subsidiaries and affiliates sell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spice filling operation and other certain scale products are regulated by the U.S. Food and Drug Administration.</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spacing w:after="0" w:line="1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is subject to risks and uncertainties associated with economic and political conditions around the world, including but not limited to, foreign government regulations, taxes including value-added taxes, import and export duties/tariffs and quotas, anti-dumping regulations, incidents and fears involving security, man-made or natural disasters, health epidemics, terrorism and wars, political unrest and other restrictions on trade and travel.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2019, net sales in the third and fourth quarters accounted for 60% of total annual net sales. In anticipation of the pre-holiday shipping season, inventory levels increase primarily in the June through October time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Geographic information concerning the Company’s revenues and long-lived assets is contained in Note B- Revenue and Note M- Business Segments of the Notes to the consolidated financial statements included in Item 15 of this Annual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years ended December 31, 2019 and 2018, the Company's U.S. segment incurred $0.7 million and $2.1 million, respectively, of restructuring expense related to the Filament integration, of which $0.1 million and $1.4 million was accrued at December 31, 2019 and 2018, respectively.</w:t>
      </w:r>
    </w:p>
    <w:p>
      <w:pPr>
        <w:spacing w:after="0" w:line="15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During the years ended December 31, 2019, and December 31, 2018 the Company's international segment incurred $0.7 million and $0.2 million, respectively, of restructuring expense primarily related to the integration of its legal entities operating in Europe of which $0.2 million was accrued at December 31, 2018. The Company had no international restructuring accrual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International segment expects to incur restructuring charges of $0.5 million in 2020 to complete its warehouse integration efforts.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businesses, operations, liquidity and financial condition are subject to various risks. The Company’s business, financial condition or results of operation could be significantly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risks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market conditions and by global and economic conditions and other factors beyond its control.</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 factors:</w:t>
      </w:r>
    </w:p>
    <w:p>
      <w:pPr>
        <w:spacing w:after="0" w:line="7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recession, inflation, deflation, unemployment and other factors adversely affecting consumer spending patterns generally;</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retail environment for the home and other matters that influence consumer spending in the home retail industry specifically;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housing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credit availability and consumer debt levels;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input costs, including fuel and energy costs and labor cost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and the ability to hedge interest rate risks;</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policies including tax policies relating to value-added taxes, import and export duties and quotas, anti-dumping regulations and related tariffs, import and export controls and social compliance standards;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conflicts and terrorist activities;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public health epidemics; such as the recent 2019 Coronavirus outbreak first reported in Wuhan, Hubei Province, China in December 2019;</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economic conditions in the United States, the U.K., continental Europe, Asia and elsewhere;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unstable economic and political conditions, lack of legal regulation enforcement, civil unrest and political activism, particularly in Asia;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and integration of the Company's European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occurrence of negative events related to any of the foregoing may adversely impact the Company’s results of operations and financial condition</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U.K. operations and sales may be materially adversely affected by the exit of the U.K. from the European Union.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January 31, 2020, the U.K. left the European Union ("Brexit"). The U.K.’s exit from the European Union is unprecedented and it remains unclear what impact this will have on the U.K.’s access to the EU Single Market and on the legal and regulatory environment in which the Company operates, as well as its effect on the global macroeconomic environment. Net sales attributable to U.K. domiciled businesses were $85.8 million for the year ended December 31, 2019, and represent approximately 12% of the Company’s consolidated net sales for the period.</w:t>
      </w:r>
    </w:p>
    <w:p>
      <w:pPr>
        <w:spacing w:after="0" w:line="19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Significant uncertainty remains regarding the impact of the U.K.’s exit from the European Union. The uncertainty surrounding the consequences of the U.K.’s exit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2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Company’s business may be materially adversely affected by the imposition of tariffs and other trade policies implemented by the U.S. and other governments.</w:t>
      </w:r>
    </w:p>
    <w:p>
      <w:pPr>
        <w:spacing w:after="0" w:line="19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During the last few years, the U.S. government has announced and, in some cases, implemented additional tariffs on certain foreign goods, including finished products and raw materials such as steel and aluminum. These tariffs and potential tariffs have resulted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may result in increased prices for these imported goods and materials and may limit the amount of these goods and materials that may be imported into the U.S.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A majority of the Company’s products are sourced from vendors in China. In 2018 and 2019, tariffs were imposed by the United States Trade Representative on certain finished products imported by the Company into the U.S. from China. In response to the tariffs, the Company may seek to increase prices to its customers, which may diminish demand for its products. Additionally, if the Company is unable to increase prices, this may result in the lowering of the gross margin that the Company realizes from the sale of its products. The results of either eventuality could adversely affect the Company’s results of operations and financial condition. Moreover, the imposition of further policies restrictive on trade by the U.S. government, or the imposition of retaliatory policies or tariffs by other governments, may adversely affect the Company’s results of operations and financial condition.</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Company's ability to obtain insurance and the terms of any available insurance coverage could be materially adversely affected by macroeconomic and company-specific events, as well as the financial condition of insurers.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is generally not fully insured against all significant losses. For example, the Company is not fully insured against hurricane and earthquake related losses. A loss for which the Company is not fully insured could have a material adverse effect on the business, financial condition, results of operations and prospects.</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risks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has substantial indebtedness and the highly seasonal nature of the Company’s business impacts its borrowing needs.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 substantial amount of indebtedness and is dependent on the availability of its bank loan facilities to finance its liquidity needs. As of December 31, 2019, the Company had $303.0 million of consolidated debt, including $32.8 million under its senior secured asset-based revolving credit facility (the “ABL Agreement”) and $270.2 million outstanding under a senior secured term loan credit facility (the “Term Loan” and, collectively with the ABL Agreement, the “Debt Agreements”).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ABL Agreement provides for, among other things, a maximum aggregate principal amount of $150.0 million and will mature on March 2, 2023. The Term Loan will be repaid in quarterly payments of principal equal to 0.25% of the original aggregate principal amount of the Term Loan, which payments commenced June 30, 2018. The Term Loan requires the Company to make an annual mandatory prepayment of principal based upon excess cash flow, if any. This amount is recorded in the current maturity of the Term Loan on the consolidated balance sheets. At December 31, 2019, borrowings under the Debt Agreements represented approximately 39% of total capital (indebtedness plus stockholders’ equity). The maximum borrowing amount under the ABL Agreement may be increased to up to $200.0 million if certain conditions are met. One or more tranches of additional term loans may be added under the Term Loan if certain conditions are met. The Incremental Facilities may not exceed the sum of (i) $50.0 million plus (ii) an unlimited amount so long as, in the case of (ii) only, the Company’s secured net leverage ratio, as defined in the Term Loan, is no greater than 3.75 to 1.00 subject to certain limitations and for the period defined.</w:t>
      </w:r>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2018, the Company utilized the proceeds of borrowings under the Debt Agreements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Company’s leverage and the effects of seasonal fluctuations in its cash flow, borrowing requirements and ability to borrow could have significant negative consequences on the Company’s financial condition and results of operations, including:</w:t>
      </w:r>
    </w:p>
    <w:p>
      <w:pPr>
        <w:spacing w:after="0" w:line="62" w:lineRule="exact"/>
        <w:rPr>
          <w:sz w:val="20"/>
          <w:szCs w:val="20"/>
          <w:color w:val="auto"/>
        </w:rPr>
      </w:pPr>
    </w:p>
    <w:p>
      <w:pPr>
        <w:ind w:left="980" w:hanging="324"/>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impairing the Company’s ability to meet the financial covenants, if and when applicable, contained in the ABL Agreement or to generate cash sufficient to pay interest or principal due under its Debt Agreements, which could result in an acceleration of some or all of the Company’s outstanding debt;</w:t>
      </w:r>
    </w:p>
    <w:p>
      <w:pPr>
        <w:spacing w:after="0" w:line="75"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borrow money, dispose of assets or sell equity to fund the Company’s working capital, capital expenditures, dividend payments, debt service, strategic initiatives or for other obligations or purposes;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Company’s ability to sell eligible accounts receivable under its Receivables Purchase Agreement;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the Company’s flexibility in planning for, or reacting to, changes in the economy, the markets, regulatory requirements, its operations or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the Company's ability to enter into derivative agreements to hedge interest rate and foreign exchange risk;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the Company more highly leveraged than some of its competitors, which may place the Company at a competitive disadvantage;</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the Company more vulnerable to downturns in the economy or its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the Company’s cash flow from operations to make interest payments;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the Company to satisfy other obligations;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risking credit rating downgrades of the Company, which could increase future debt costs and limit the future availability of debt financing; and</w:t>
      </w:r>
    </w:p>
    <w:p>
      <w:pPr>
        <w:spacing w:after="0" w:line="62"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the Company from borrowing additional funds as needed or taking advantage of business opportunities as they arise, pay cash dividends or repurchase common stock.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spacing w:after="0" w:line="2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Company’s failure to meet certain covenants or comply with other requirements of its Debt Agreements may materially and adversely affect the Company’s assets, financial position and cash flows.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ABL Agreement, under certain circumstances, requires the Company to maintain a certain fixed charge coverage ratio. As a result of this and other covenants within the Debt Agreements, the Company may be limited in its ability to incur additional debt, make investments or undertake certain other business activities.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spacing w:after="0" w:line="2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Company’s borrowings, and discount rate applied to sale of receivables, are subject to interest rate fluctuations and an increase in interest rates could adversely affect the Company’s financial results.</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borrowings bear interest at floating rates. An increase in interest rates would adversely affect the Company’s profitability. To the extent that the Company’s access to credit may be restricted because of its own performance, its bank lenders’ performances or conditions in the capital markets generally, the Company would not be able to operate normally.</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Receivables Purchase Agreement also depends upon LIBOR, as it is a component of the discount rate applicable to the agreement. If LIBOR increases, the Company may not be able to rely on the Receivables Purchase Agreement, which could have a material and adverse effect upon the Company’s financial condition, results of operations and cash flows.</w:t>
      </w:r>
    </w:p>
    <w:p>
      <w:pPr>
        <w:spacing w:after="0" w:line="200" w:lineRule="exact"/>
        <w:rPr>
          <w:sz w:val="20"/>
          <w:szCs w:val="20"/>
          <w:color w:val="auto"/>
        </w:rPr>
      </w:pPr>
    </w:p>
    <w:p>
      <w:pPr>
        <w:spacing w:after="0" w:line="2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Changes in the method for determining LIBOR and the potential replacement of the LIBOR benchmark interest rate could increase the Company's borrowing costs.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Some of the Company’s borrowings bear interest at a variable rate based on LIBOR. In July 2017, the United Kingdom’s Financial Conduct Authority (“FCA”), a regulator of financial services firms and financial markets in the United Kingdom, stated that it will plan for a phase out of regulatory oversight of LIBOR interest rates indices. The FCA has indicated they will support the LIBOR indices through 2021, to allow for an orderly transition to an alternative reference rate.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 Treasury securities.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is evaluating the potential impact of the eventual replacement of the LIBOR benchmark interest rate, including the possibility of SOFR as the dominant replacement. Introduction of an alternative rate also may introduce additional basis risk for market participants as an alternative index is utilized along with LIBOR. There can be no guarantee that SOFR will become widely used and that alternatives may or may not be developed with additional complications. The Company is not able to predict whether LIBOR will cease to be available after 2021, whether SOFR will become a widely accepted benchmark in place of LIBOR, or what the impact of such a possible transition to SOFR may be on the Company's financial condition and results of operations.</w:t>
      </w:r>
    </w:p>
    <w:p>
      <w:pPr>
        <w:spacing w:after="0" w:line="2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Company’s inability to complete future acquisitions or strategic alliances and/or integrate acquired businesses could have a material adverse effect on the Company’s business and results of operations.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spacing w:after="0" w:line="16" w:lineRule="exact"/>
        <w:rPr>
          <w:sz w:val="20"/>
          <w:szCs w:val="20"/>
          <w:color w:val="auto"/>
        </w:rPr>
      </w:pPr>
    </w:p>
    <w:p>
      <w:pPr>
        <w:ind w:left="980" w:right="140" w:hanging="324"/>
        <w:spacing w:after="0" w:line="342"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inability to integrate acquired companies’ products and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leveraging the customer information and technology of the two companies;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effectuating the Company’s diversification strategy, including challenges achieving revenue growth from sales of each company’s products and services to the clients and customers of the other company;</w:t>
      </w:r>
    </w:p>
    <w:p>
      <w:pPr>
        <w:spacing w:after="0" w:line="62"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 and</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variability and currency controls could materially adversely affect the Company’s operating results and financial condition.</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Chinese renminbi, Euros, Hong Kong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The Company has entered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Company expands its international operations, it will be subject to increased foreign exchange variability which could have a material adverse effect on the Company’s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requires it to maintain large fixed costs that can affect its profitability.</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reduction efforts may not be successful and restructuring benefits may not be realized.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 implementation of restructuring plans could be disruptive to the Company’s operations, result in higher than anticipated charges and otherwise adversely affect the Company’s results of operations and financial condition.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spacing w:after="0" w:line="3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the Company’s goodwill or other long-term assets become impaired, the Company will be required to record impairment charges, which may be significant.</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portion of the Company’s long-term assets consists of goodwill recorded as a result of the Company’s acquisitions; other identifiable intangible assets, including trade names; and fixed assets. At December 31, 2019, goodwill, net of impairment totaled $49.4 million. The Company does not amortize goodwill but rather reviews it for impairment on an annual basis or more frequently when events or changes in circumstances indicate that its carrying value may not be recoverable. If the carrying value of a reporting unit exceeds its current fair value as determined based on the discounted future cash flows of the reporting unit or comparable market sales and earnings multiples, the goodwill or intangible asset is considered impaired and is reduced to fair value.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Determination of the fair value of a reporting unit includes developing estimates which are highly subjective and incorporate calculations that are sensitive to minor changes in underlying assumptions. Management’s assumptions change as more information becomes available. Changes in these assumptions could result in an impairment charge in the future, which could have a significant adverse impact on the Company’s reported earnings. If the future operating performance of one or more of the Company’s operating segments does not meet expectations, the Company may be required to record a significant charge during the period in which any impairment of the Company’s goodwill or other long-term assets is determined.</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further recognition of an impairment of the Company’s goodwill or any of the Company’s assets would negatively affect the Company’s results of operations and total capitalization, the effect of which could be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Reporting Unit</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During the third quarter of 2019, the Company performed an interim assessment of its European kitchenware business by comparing the fair value of the reporting unit with its carrying value.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 reduced expectations for future cash flows of the European kitchenware business. The fair value of the business was approximately 30.1% below its carrying value as of September 30, 2019.</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2018, the Company incurred a non-cash goodwill impairment charge of $2.2 million related to the European tableware business due to a decline in operating performance and reduced expectations for future cash flows.</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Following the goodwill impairment charges taken in both the third quarter of 2019 and 2018, goodwill associated with the International reporting unit, comprised of the European kitchenware business and tableware business, acquired in 2014 and 2011, respectively, is zero.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23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performed its annual impairment assessment of its U.S. reporting unit as of October 1, 2019 by comparing the fair value of the reporting unit with its carrying value. The Company performed the analysis using a discounted cash flow and market multiple method. Based upon the analysis performed, the Company recognized a non-cash goodwill impairment charge of $33.2 million, during the three months ended December 31, 2019. The goodwill impairment charge resulted from, among other factors, a sustained decline in the Company's market capitalization observed in the fourth quarter of 2019.The fair value of the U.S, reporting unit was approximately 6.1% below its carrying value.</w:t>
      </w:r>
    </w:p>
    <w:p>
      <w:pPr>
        <w:spacing w:after="0" w:line="200" w:lineRule="exact"/>
        <w:rPr>
          <w:sz w:val="20"/>
          <w:szCs w:val="20"/>
          <w:color w:val="auto"/>
        </w:rPr>
      </w:pPr>
    </w:p>
    <w:p>
      <w:pPr>
        <w:spacing w:after="0" w:line="2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Company’s projections of product demand, sales and net income are highly subjective in nature and the Company’s future sales and net income could vary materially from the Company’s projections.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the cost of employee benefits could materially adversely impact the Company’s financial results and cash flows.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and an aging workforce and other employee demographics could result in an increase in medical costs beyond what the Company has experienced or expects. The Company has stop-loss coverage in place for catastrophic events, but the aggregate impact of a high number of claims up to the Company’s stop-loss limit may have an effect on the Company’s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the Company’s controls.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does not expect that its disclosure controls or the Company’s internal controls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If in the future the Company’s controls become inadequate, it could fail to meet its financial reporting obligations, its reputation may be adversely affected, its business and operating results could be harmed, and the market price of its stock could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risks</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Company faces intense competition from other companies worldwide and if the Company is unable to compete successfully, the Company’s business, results of operations and financial condition could be materially and adversely affected.</w:t>
      </w:r>
    </w:p>
    <w:p>
      <w:pPr>
        <w:spacing w:after="0" w:line="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markets for the Company’s products are intensely competitive with the principal competitive factors being product innovation, brand name, product quality, aesthetic appeal to customers, packaging, breadth of product offerings, distribution capability, delivery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Company’s customer purchasing practices could materially adversely affect the Company’s operating results.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wholesale customers include mass market merchants, specialty stores, commercial stores, department stores, warehouse clubs, grocery stores, off-price retailers, food service distributors, pharmacies, food and beverage outlets and e-commerce.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a result of the desire of retailers to more closely manage inventory levels, there is a growing trend among retailers to make purchases on a “just-in-time” basis. While the Company generally orders products substantially in advance of the anticipated time of their sale by the Company, this trend may require the Company to shorten its lead time for production in certain cases and more closely anticipate demand, which may require the Company to carry additional inventories.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spacing w:after="0" w:line="18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at the Company’s large customers, or actions taken by them, and consolidation in the retail industry could materially adversely affect the Company’s operating results.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years ended December 31, 2019, 2018 and 2017, Wal-Mart Stores, Inc., including Sam’s Club and, in the U.K., Asda Superstore, (“Walmart”), accounted for 16%, 14% and 15% of net sales, respectively. Sales to Walmart are included in the Company's U.S. and International segments. During the year ended December 31, 2019, sales to Costco Wholesale Corporation (“Costco”) accounted for 11% of consolidated net sales. Sales to Costco are included in the Company's U.S. and International segment. No other customers accounted for 10% or more of the Company’s sales during these periods.</w:t>
      </w:r>
    </w:p>
    <w:p>
      <w:pPr>
        <w:spacing w:after="0" w:line="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material reduction in sales to Walmart or other top customers in the aggregate, could have a significant adverse effect on the Company’s business and operating results. In addition, pressures by such customers that would cause the Company to materially reduce the price of its products could result in reduced operating margin.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such customers. In particular, the concentration of the Company’s business with Walmart extends to its international business, including in China, as well as through Vasconia in Mexico and the Company’s strategic alliance in Canada, due to the market presence of Walmart in these foreign countries. Any changes in purchasing practices or decline in the financial condition, of Walmart or other large customers may have a material adverse impact on the business, results of operations and financial condition of the Company.</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spacing w:after="0" w:line="2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spacing w:after="0" w:line="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retail environment is highly competitive. Consumers are increasingly embracing shopping online and through mobile commerce applications. As a result, a greater portion of total consumer expenditures with retailers is occurring online and through mobile commerce applications.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 is unable to effectively manage its existing Internet business, the Company's reputation and operating results may be harmed.</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success of the Company’s Internet business depends, in part, on factors over which the Company may have limited control. The Company must successfully respond to changing consumer preferences and buying trends relating to Internet usage. The Company is also vulnerable to certain additional risks and uncertainties associated with the Internet,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creative user interfaces and other Internet marketing tools such as paid search, which may increase its costs and which may not succeed in increasing sales or attracting customers. The Company’s failure to successfully respond to these risks and uncertainties might adversely affect the sales in its Internet business, as well as damage the Company’s reputation and brands.</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Demand for new products and the inability to develop and introduce new competitive products at favorable profit margins could adversely affect the Company’s performance and prospects for future growth.</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New product introductions and product innovation are significant contributors to the Company’s growth strategy and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the market demands and the costs of development and production may impede the successful development and introduction of new products. Acceptance of the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risks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International suppliers subject the Company to regional regulatory, man-made or natural disasters, health epidemics, political, economic and foreign currency exchange risk that could materially and adversely affect the Company’s operating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sources its products from suppliers located principally in Asia, Europe and the United States. The Company’s vendors in Asia, from whom a substantial majority of the Company’s products are sourced, are located primarily in China, which subjects the Company to various risks within the region including regulatory, man-made or natural disasters, health epidemics, political, economic and foreign currency changes.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Changes in currency exchange rates might negatively affect the Company and its overseas vendors’ profitability and business prospects. The Company does 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international trade subjects it to transportation risks.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imports its products for delivery to its distribution centers, as well as arranges for its customers to import goods to which title has passed overseas or at a port of entry. For purchases that are to be delivered to its distribution centers,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work stoppages, weather disruptions and carriers’ ability to provide delivery services to meet the Company’s shipping needs. Transportation disruptions and increased transportation costs could materially adversely affect the Company’s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depends on third-party manufacturers to produce the majority of its products, which presents quality control risks to the Company.</w:t>
      </w:r>
    </w:p>
    <w:p>
      <w:pPr>
        <w:spacing w:after="0" w:line="14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the Company has agreements with its third party manufacturers regarding quality standards and regularly audits the facilities of its manufacturers through its quality control program, the third party manufacturers may not continue to meet the Company’s quality standards, social standards regarding its workforce that are expected in the United States or legislation and regulations that apply to the products the Company contracts to manufacture.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product costs are subject to price fluctuation.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The selling prices of the Company’s products have not always increased in response to raw material, labor or other cost increases, and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spacing w:after="0" w:line="313" w:lineRule="exact"/>
        <w:rPr>
          <w:sz w:val="20"/>
          <w:szCs w:val="20"/>
          <w:color w:val="auto"/>
        </w:rPr>
      </w:pPr>
    </w:p>
    <w:p>
      <w:pPr>
        <w:spacing w:after="0" w:line="362" w:lineRule="auto"/>
        <w:rPr>
          <w:sz w:val="20"/>
          <w:szCs w:val="20"/>
          <w:color w:val="auto"/>
        </w:rPr>
      </w:pPr>
      <w:r>
        <w:rPr>
          <w:rFonts w:ascii="Arial" w:cs="Arial" w:eastAsia="Arial" w:hAnsi="Arial"/>
          <w:sz w:val="15"/>
          <w:szCs w:val="15"/>
          <w:b w:val="1"/>
          <w:bCs w:val="1"/>
          <w:i w:val="1"/>
          <w:iCs w:val="1"/>
          <w:color w:val="auto"/>
        </w:rPr>
        <w:t>A widespread outbreak of an illness or other health issue could negatively affect various aspects of the business, including the Company's supply chain, and make it more difficult and expensive to meet the Company's obligations to its customers, and could result in reduced demand from its customers.</w:t>
      </w:r>
    </w:p>
    <w:p>
      <w:pPr>
        <w:spacing w:after="0" w:line="128"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The Company's global operations are susceptible to global events, including a widespread outbreak of an illness or other health issue, As a result of epidemic outbreaks businesses can be shut down, supply chains can be interrupted, slowed, or rendered inoperable,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individuals can become ill, quarantined, or otherwise unable to work and/or travel due to health reasons or governmental restrictions. Epidemic outbreaks could also substantially interfere with general commercial activity related to the Company's supply chain and customer base, which could have a material adverse effect on the Company's financial condition, results of operations, business, or prospects.</w:t>
      </w:r>
    </w:p>
    <w:p>
      <w:pPr>
        <w:spacing w:after="0" w:line="20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If the Company's operations are curtailed and the supply chain continues to be disrupted, the Company may need to seek alternate sources of supply for services and staff, which may be more expensive. Alternate sources may not be available or may result in delays in shipments to the Company from its supply chain and subsequently to the customers, each of which would affect the Company's results of operations. Further, if the customers’ businesses are similarly affected, they might delay or reduce purchases from the Company, which could have a material adverse effect on the Company's results from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certain licenses or material changes in royalty rates could materially adversely affect the Company’s operating margin and cash flow.</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Significant portions of the Company’s business are dependent on trade names, trademarks and patents, some of which are licensed from third parties. In 2019, sales of licensed brands accounted for approximately 12%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spacing w:after="0" w:line="19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holds certain rights to use the Farberware brand for kitchen tools and gadgets, cutlery, cutting boards, shears and certain other products which together represent a material portion of its sales, through a fully-paid, royalty-free license for a term that expires in 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and gadgets, cutlery, cutting boards, shears and certain other products through termination as a result of an uncured breach, its business, results of operations and financial condition would be materially adversely affected.</w:t>
      </w:r>
    </w:p>
    <w:p>
      <w:pPr>
        <w:spacing w:after="0" w:line="18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Sales of KitchenAid branded products, to a lesser extent, also represent a material portion of the Company’s sales. The Company also holds a license to use the KitchenAid brand subject to a license agreement that will expire in December 2022.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spacing w:after="0" w:line="26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Company may not be able to adequately establish or protect its intellectual property rights, and the infringement or loss of the Company’s intellectual property rights could harm its business.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spacing w:after="0" w:line="2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Company is unable to protect the confidentiality of its proprietary information and know-how, the value of the Company’s technology, products and services could be harmed significantly.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registered intellectual property, the Company relies on know-how and other proprietary information in operating its business. If this information is not adequately protected, then it may be disclosed or used in an unauthorized manner. To the extent that 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advancement of their products, methods or technologies.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brands are subject to reputational risks and damage to the Company’s brands or reputation could adversely affect its business.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brands and its reputation are among its most important assets. The Company’s ability to attract and retain customers depends, in part, upon external perceptions of the Company, the quality of its products and its corporate and management integrity. The consumer goods industry is by its nature more prone to reputational risks than other industries. This has been compounded in recent years by the free flow of unverified information on the Internet and, in particular, on social media. Damage to the Company’s brands or reputation or negative publicity or perceptions about the Company could adversely affect its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regulatory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the Company’s operations caused by outside forces could cause material losses.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present special challenges that the Company may not be able to meet, and this could materially and adversely affect the Company’s financial results.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conducts business outside of the United States through subsidiaries, affiliates and joint ventures. These entities have operations and assets in the U.K., Mexico, Brazil, Canada, China and Hong Kong. Therefore, the Company is subject to increases and decreases in its investments in these entities resulting from the impact of fluctuations in foreign currency exchange rates. These entities also bear risks similar to those risks faced by the Company. However, there are specific additional risks related to these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organizations, such as the failure of the Company’s partners or other investors to meet their obligations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the Company sells its products in foreign countries and seeks to increase its level of international business activity. Accordingly, the Company is subject to various risks, including:</w:t>
      </w:r>
    </w:p>
    <w:p>
      <w:pPr>
        <w:spacing w:after="0" w:line="6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U.S.-imposed embargoes of sales to specific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import controls (which may be arbitrarily imposed or enforced);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regulations and duties;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regulations (which require the Company to comply with stringent licensing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anti-dumping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and currency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 remittance restrictions;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 civil uprisings and riots;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instability;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necessity of obtaining governmental approval for new and continuing products and operations;</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systems or decrees, laws, taxes, regulations, interpretations and court decisions that are not always fully developed and that may be retroactively or arbitrarily applied;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and integration of the Company's European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epidemics;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income taxes, excise duties, import taxes, export taxes or other governmental assessments;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 global enterprise.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Any significant violations of regulations or the occurrence of the events listed above could result in civil or criminal sanctions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Any of these events could result in a loss of business or other unexpected costs that could reduce sales or profits and have a material adverse effect on the Company’s financial condition, results of operations and cash flows.</w:t>
      </w:r>
    </w:p>
    <w:p>
      <w:pPr>
        <w:spacing w:after="0" w:line="2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Company operates in a regulated environment that imposes significant compliance requirements. Non-compliance with these requirements could subject the Company to sanctions and materially adversely affect the Company’s business.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which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w:t>
      </w:r>
    </w:p>
    <w:p>
      <w:pPr>
        <w:sectPr>
          <w:pgSz w:w="11900" w:h="16838" w:orient="portrait"/>
          <w:cols w:equalWidth="0" w:num="1">
            <w:col w:w="11240"/>
          </w:cols>
          <w:pgMar w:left="320" w:top="125"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New and future laws and regulations governing the Internet and e-commerce could have a material adverse effect on the Company’s business, results of operations and financial condition.</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w:t>
      </w:r>
    </w:p>
    <w:p>
      <w:pPr>
        <w:spacing w:after="0" w:line="31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 xml:space="preserve">On June 21, 2018, the U.S. Supreme Court decided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(the “Wayfair Decision”), a case that challenged existing law under which online retailers are not required to collect sales tax unless they have a physical presence in the buyer’s state. The Wayfair Decision established that a state may enforce or adopt laws requiring online retailers to collect and remit sales tax if there is a substantial nexus between the online retailer’s activity and the state, even if the retailer has no physical presence within the taxing state. The majority of U.S. states have enacted laws or have pending legislation that require online retailers to collect and remit sales tax for online sales. These laws and pending legislation could result in the Company incurring substantial tax liabilities, including taxes on past sales, as well as penalties and interest. The imposition by state governments of sales tax collection obligations on out-of-state internet retailers could also create additional administrative burdens on the Company. This decision and the enactment and enforcement of laws resulting from this decision could also impact where the Company is required to file state income taxes. As a result, the Company’s effective income tax rate, the cost of the Company’s e-commerce business, and the growth of its e-commerce business, could be materially adversely effected by the Wayfair Decision and other new laws or regulations governing the internet and e-commerce. This potential negative impact on the Company’s e-commerce business could have a material adverse effect on the Company’s overall business, results of operations and financial condition.</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failure in or compromise of the Company’s operating systems or infrastructure or those of third parties could disrupt the Company’s business and cause losses.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w:t>
      </w:r>
    </w:p>
    <w:p>
      <w:pPr>
        <w:spacing w:after="0" w:line="2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Company is subject to cyber security risks and may incur increasing costs in efforts to minimize those risks and to comply with regulatory standards.</w:t>
      </w:r>
    </w:p>
    <w:p>
      <w:pPr>
        <w:spacing w:after="0" w:line="6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to ensure that the Company is protected, to the greatest extent possible, against cyber risks and security breaches. Despite these efforts security of the Company’s computer networks could be compromised which could impact operations and confidential information could be misappropriated, which could lead to negative publicity, loss of sales and profits or cause the Company to incur significant costs to reimburse third- parties for damages, which could adversely impact profits.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the Company must comply with increasingly complex and rigorous regulatory standards enacted to protect businesses and personal data, including the General Data Protection Regulation (“GDPR”) and the California Consumer Privacy Act. GDPR is a comprehensive European Union privacy and data protection reform, effective in 2018, which applies to companies that are organized in the European Union or otherwise provide services to consumers who reside in the European Union, and imposes strict standards regarding the sharing, storage, use, disclosure and protection of end user data and significant penalties (monetary and otherwise) for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non-compliance. The California Consumer Privacy Act, which became effective in January 2020, created new data privacy rights, including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Any failure to comply with GDPR, the California Consumer Privacy Act,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spacing w:after="0" w:line="19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sells consumer products which involve an inherent risk of product liability claims.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marketing of certain of the Company’s consumer products involve an inherent risk of product liability claims or recalls or other regulatory or enforcement actions initiated by the U.S. Consumer Product Safety Commission, by the Office of Fair Trading in the U.K.,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Additionally, the Company’s product standards could be impacted by new or revised environmental rules and regulations or other social initiatives.</w:t>
      </w:r>
    </w:p>
    <w:p>
      <w:pPr>
        <w:spacing w:after="0" w:line="28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Company may incur material costs due to environmental liabilities which could have a material adverse effect on the Company’s business, financial condition and results of operations.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subject to a broad range of federal, state, local, foreign and multi-national laws and regulations relating to the environment. These include laws and regulations that govern:</w:t>
      </w:r>
    </w:p>
    <w:p>
      <w:pPr>
        <w:spacing w:after="0" w:line="6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discharges to the air, water and land;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handling and disposal of solid and hazardous substances and wastes;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remediation of contamination associated with release of hazardous substances at the Company’s facilities and at off-site disposal locations.</w:t>
      </w:r>
    </w:p>
    <w:p>
      <w:pPr>
        <w:spacing w:after="0" w:line="2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and others may be passed on to the Company from its third-party suppliers. Although the Company believes that it is substantially in compliance with applicable environmental laws and regulations at its facilities, the Company may not always be in compliance with such laws and regulations or any new laws and regulations in the future, which could have a material adverse effect on the Company’s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2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8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5"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Company’ executives and other key employees are critical to the Company’s success. The loss of and/or failure to attract and maintain its highly skilled employees could adversely affect the Company’s business.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The Company may not be able to attract and retain skilled personnel or may incur significant costs in order to do so.</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 a result of the Company’s acquisition of Filament, Taylor Parent has significant influence over the Company and its interests may conflict with the Company’s or its stockholders in the future.</w:t>
      </w:r>
    </w:p>
    <w:p>
      <w:pPr>
        <w:spacing w:after="0" w:line="6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 (ii) 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w:t>
      </w:r>
    </w:p>
    <w:p>
      <w:pPr>
        <w:spacing w:after="0" w:line="1" w:lineRule="exact"/>
        <w:rPr>
          <w:sz w:val="20"/>
          <w:szCs w:val="20"/>
          <w:color w:val="auto"/>
        </w:rPr>
      </w:pPr>
    </w:p>
    <w:p>
      <w:pPr>
        <w:ind w:firstLine="8"/>
        <w:spacing w:after="0" w:line="270" w:lineRule="auto"/>
        <w:tabs>
          <w:tab w:leader="none" w:pos="40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terminate the employment of the Chief Executive Officer, other than for cause (in which case the Company shall consult in good faith with Taylor Parent on a replacement Chief Executive Officer); or (ix)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Accordingly, Taylor Parent’s influence over the Company and the consequences of such control could have a material adverse effect on the Company’s business and business prospects and negatively impact the trading price of its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principal properties at which the Company operated its business at December 31,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35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jc w:val="center"/>
              <w:ind w:left="788"/>
              <w:spacing w:after="0"/>
              <w:rPr>
                <w:sz w:val="20"/>
                <w:szCs w:val="20"/>
                <w:color w:val="auto"/>
              </w:rPr>
            </w:pPr>
            <w:r>
              <w:rPr>
                <w:rFonts w:ascii="Arial" w:cs="Arial" w:eastAsia="Arial" w:hAnsi="Arial"/>
                <w:sz w:val="14"/>
                <w:szCs w:val="14"/>
                <w:b w:val="1"/>
                <w:bCs w:val="1"/>
                <w:color w:val="auto"/>
                <w:w w:val="85"/>
              </w:rPr>
              <w:t>Size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gridSpan w:val="3"/>
            <w:vMerge w:val="continue"/>
          </w:tcPr>
          <w:p>
            <w:pPr>
              <w:spacing w:after="0"/>
              <w:rPr>
                <w:sz w:val="13"/>
                <w:szCs w:val="13"/>
                <w:color w:val="auto"/>
              </w:rPr>
            </w:pPr>
          </w:p>
        </w:tc>
        <w:tc>
          <w:tcPr>
            <w:tcW w:w="3540" w:type="dxa"/>
            <w:vAlign w:val="bottom"/>
            <w:gridSpan w:val="2"/>
            <w:vMerge w:val="continue"/>
          </w:tcPr>
          <w:p>
            <w:pPr>
              <w:spacing w:after="0"/>
              <w:rPr>
                <w:sz w:val="13"/>
                <w:szCs w:val="13"/>
                <w:color w:val="auto"/>
              </w:rPr>
            </w:pPr>
          </w:p>
        </w:tc>
        <w:tc>
          <w:tcPr>
            <w:tcW w:w="1900" w:type="dxa"/>
            <w:vAlign w:val="bottom"/>
          </w:tcPr>
          <w:p>
            <w:pPr>
              <w:jc w:val="center"/>
              <w:ind w:left="788"/>
              <w:spacing w:after="0" w:line="158" w:lineRule="exact"/>
              <w:rPr>
                <w:sz w:val="20"/>
                <w:szCs w:val="20"/>
                <w:color w:val="auto"/>
              </w:rPr>
            </w:pPr>
            <w:r>
              <w:rPr>
                <w:rFonts w:ascii="Arial" w:cs="Arial" w:eastAsia="Arial" w:hAnsi="Arial"/>
                <w:sz w:val="14"/>
                <w:szCs w:val="14"/>
                <w:b w:val="1"/>
                <w:bCs w:val="1"/>
                <w:color w:val="auto"/>
                <w:w w:val="90"/>
              </w:rPr>
              <w:t>(square feet)</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411"/>
              <w:spacing w:after="0" w:line="158" w:lineRule="exact"/>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Rialto, California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w w:val="95"/>
              </w:rPr>
              <w:t>West Coast warehouse and distribution facility</w:t>
            </w:r>
          </w:p>
        </w:tc>
        <w:tc>
          <w:tcPr>
            <w:tcW w:w="190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703,000</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Principal East Coast warehouse and</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Robbinsville, New Jersey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distribution facility</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showroom, warehouse and</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Aston, England </w:t>
            </w:r>
            <w:r>
              <w:rPr>
                <w:rFonts w:ascii="Arial" w:cs="Arial" w:eastAsia="Arial" w:hAnsi="Arial"/>
                <w:sz w:val="23"/>
                <w:szCs w:val="23"/>
                <w:color w:val="auto"/>
                <w:vertAlign w:val="superscript"/>
              </w:rPr>
              <w:t>(2) (4)</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distribution facilities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w w:val="96"/>
              </w:rPr>
              <w:t>Warehouse and distribution facility, and spice</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Winchendon, Massachusetts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packing line</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Garden City, New York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Corporate headquarters/main showroom</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159,000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showroom, warehouse and</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Corby, England </w:t>
            </w:r>
            <w:r>
              <w:rPr>
                <w:rFonts w:ascii="Arial" w:cs="Arial" w:eastAsia="Arial" w:hAnsi="Arial"/>
                <w:sz w:val="23"/>
                <w:szCs w:val="23"/>
                <w:color w:val="auto"/>
                <w:vertAlign w:val="superscript"/>
              </w:rPr>
              <w:t>(2) (4)</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distribution facility</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143,000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showroom, warehouse and</w:t>
            </w:r>
          </w:p>
        </w:tc>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Medford, Massachusetts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distribution facility</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San Germán, Puerto Rico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Sterling silver manufacturing facility</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Las Cruces, New Mexico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w w:val="99"/>
              </w:rPr>
              <w:t>Offices, warehouse and distribution facilities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Shanghai,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Oak Brook, Illinois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Guangzhou,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Seattle, Washington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York, Pennsylvania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New York, New York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Atlanta, Georgia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Showrooms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Kowloon, Hong Kong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7,300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Bentonville, Arkansas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Newtown, Pennsylvania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Pawtucket, Rhode Island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 and showroom</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Menomonee Falls, Wisconsin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Showroom</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Tianjin, China </w:t>
            </w:r>
            <w:r>
              <w:rPr>
                <w:rFonts w:ascii="Arial" w:cs="Arial" w:eastAsia="Arial" w:hAnsi="Arial"/>
                <w:sz w:val="23"/>
                <w:szCs w:val="23"/>
                <w:color w:val="auto"/>
                <w:vertAlign w:val="superscript"/>
              </w:rPr>
              <w:t>(3)</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Minneapolis, Minnesota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 xml:space="preserve">Isaaquah, Washington </w:t>
            </w:r>
            <w:r>
              <w:rPr>
                <w:rFonts w:ascii="Arial" w:cs="Arial" w:eastAsia="Arial" w:hAnsi="Arial"/>
                <w:sz w:val="23"/>
                <w:szCs w:val="23"/>
                <w:color w:val="auto"/>
                <w:vertAlign w:val="superscript"/>
              </w:rPr>
              <w:t>(1)</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Offices</w:t>
            </w:r>
          </w:p>
        </w:tc>
        <w:tc>
          <w:tcPr>
            <w:tcW w:w="1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Location primarily used by the U.S. segment.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Location used by the International segment.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Location used by all segments.</w:t>
      </w:r>
    </w:p>
    <w:p>
      <w:pPr>
        <w:spacing w:after="0" w:line="9" w:lineRule="exact"/>
        <w:rPr>
          <w:sz w:val="20"/>
          <w:szCs w:val="20"/>
          <w:color w:val="auto"/>
        </w:rPr>
      </w:pPr>
    </w:p>
    <w:p>
      <w:pPr>
        <w:sectPr>
          <w:pgSz w:w="11900" w:h="16838" w:orient="portrait"/>
          <w:cols w:equalWidth="0" w:num="2">
            <w:col w:w="140" w:space="340"/>
            <w:col w:w="10740"/>
          </w:cols>
          <w:pgMar w:left="320" w:top="125" w:right="359" w:bottom="1440" w:gutter="0" w:footer="0" w:header="0"/>
          <w:type w:val="continuous"/>
        </w:sectPr>
      </w:pPr>
    </w:p>
    <w:p>
      <w:pPr>
        <w:ind w:left="500" w:right="320" w:hanging="492"/>
        <w:spacing w:after="0" w:line="248" w:lineRule="auto"/>
        <w:tabs>
          <w:tab w:leader="none" w:pos="48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As of December 31, 2019, the International segment utilized the Corby, England distribution center for a limited portion of customer orders. The Company expects to complete the consolidation of its Corby, England distribution center into the Aston, England distribution center in 2020.</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3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5"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39"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Company believes, supports that the imported products were properly classified as specified sets. The Company's counsel filed a lead Protest and Application for Further Review on February 5, 2020 and will be requesting that CBP suspend the matter until the protest is reviewed and decided by CBP headquarters based on the sufficiency of the evidence presented.</w:t>
      </w:r>
    </w:p>
    <w:p>
      <w:pPr>
        <w:spacing w:after="0" w:line="209" w:lineRule="exact"/>
        <w:rPr>
          <w:sz w:val="20"/>
          <w:szCs w:val="20"/>
          <w:color w:val="auto"/>
        </w:rPr>
      </w:pPr>
    </w:p>
    <w:p>
      <w:pPr>
        <w:ind w:right="820"/>
        <w:spacing w:after="0" w:line="257" w:lineRule="auto"/>
        <w:rPr>
          <w:sz w:val="20"/>
          <w:szCs w:val="20"/>
          <w:color w:val="auto"/>
        </w:rPr>
      </w:pPr>
      <w:r>
        <w:rPr>
          <w:rFonts w:ascii="Arial" w:cs="Arial" w:eastAsia="Arial" w:hAnsi="Arial"/>
          <w:sz w:val="18"/>
          <w:szCs w:val="18"/>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860"/>
        <w:spacing w:after="0" w:line="488"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color w:val="auto"/>
        </w:rPr>
        <w:t>The Company’s common stock is traded under the symbol “LCUT” on the NASDAQ Global Select Market (“NASDAQ”).</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Company estimates that there were approximately 1,900 record holders of the Company’s common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were issued or outstanding at December 31, 2019.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currently intends to continue paying cash dividends for the foreseeable future, although the Board of Directors may in its discretion determine to modify or eliminate such dividends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chart compares the cumulative total return on the Company’s common stock with the NASDAQ Market Index, the Company’s peer group and the Hemscott Group Index for Housewares &amp; Accessories. The comparisons in this chart are required by the SEC and are not intended to forecast or be indicative of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172200" cy="2948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Lifetime</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Hemscott</w:t>
            </w:r>
          </w:p>
        </w:tc>
        <w:tc>
          <w:tcPr>
            <w:tcW w:w="280" w:type="dxa"/>
            <w:vAlign w:val="bottom"/>
          </w:tcPr>
          <w:p>
            <w:pPr>
              <w:spacing w:after="0"/>
              <w:rPr>
                <w:sz w:val="14"/>
                <w:szCs w:val="1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Peer</w:t>
            </w:r>
          </w:p>
        </w:tc>
        <w:tc>
          <w:tcPr>
            <w:tcW w:w="24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Brands, Inc.</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Group Index</w:t>
            </w:r>
          </w:p>
        </w:tc>
        <w:tc>
          <w:tcPr>
            <w:tcW w:w="28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Group</w:t>
            </w:r>
          </w:p>
        </w:tc>
        <w:tc>
          <w:tcPr>
            <w:tcW w:w="240" w:type="dxa"/>
            <w:vAlign w:val="bottom"/>
          </w:tcPr>
          <w:p>
            <w:pPr>
              <w:spacing w:after="0"/>
              <w:rPr>
                <w:sz w:val="16"/>
                <w:szCs w:val="16"/>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69"/>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12/31/2014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12/31/2015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114.05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12/31/2016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12/31/2017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98.93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12/31/2018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146.67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12/31/2019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124.73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200.49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right="20" w:hanging="492"/>
        <w:spacing w:after="0" w:line="260" w:lineRule="auto"/>
        <w:tabs>
          <w:tab w:leader="none" w:pos="48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graph assumes $100 was invested as of the close of trading on December 31, 2014 and dividends were reinvested. Measurement points are at the last trading day of each of the fiscal years ended December 31, 2015, 2016, 2017, 2018 and 2019.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issuers included in the peer group identified include, Acushnet Holdings Corp., Callaway Golf Co., Crocs, Inc., Delta Apparel, Inc., Hamilton Beach Brands Holding Co., Helen of Troy Ltd., JAKKS Pacific, Inc., Lands’ End, Inc., Libbey, Inc., Movado Group, Inc., Oxford Industries, Inc., The Buckle, Inc. and Tupperware Brands Corp.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issuer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126"/>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46"/>
              <w:spacing w:after="0" w:line="135"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2"/>
              </w:rPr>
              <w:t>dollar value of</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0"/>
              </w:rPr>
              <w:t>shares that</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w:t>
            </w:r>
          </w:p>
        </w:tc>
        <w:tc>
          <w:tcPr>
            <w:tcW w:w="200" w:type="dxa"/>
            <w:vAlign w:val="bottom"/>
          </w:tcPr>
          <w:p>
            <w:pPr>
              <w:spacing w:after="0"/>
              <w:rPr>
                <w:sz w:val="11"/>
                <w:szCs w:val="11"/>
                <w:color w:val="auto"/>
              </w:rPr>
            </w:pPr>
          </w:p>
        </w:tc>
        <w:tc>
          <w:tcPr>
            <w:tcW w:w="1360" w:type="dxa"/>
            <w:vAlign w:val="bottom"/>
          </w:tcPr>
          <w:p>
            <w:pPr>
              <w:jc w:val="center"/>
              <w:ind w:right="146"/>
              <w:spacing w:after="0" w:line="135"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purchased as</w:t>
            </w: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part of publicly</w:t>
            </w: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announced</w:t>
            </w: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2"/>
              </w:rPr>
              <w:t>or programs</w:t>
            </w:r>
          </w:p>
        </w:tc>
        <w:tc>
          <w:tcPr>
            <w:tcW w:w="0" w:type="dxa"/>
            <w:vAlign w:val="bottom"/>
          </w:tcPr>
          <w:p>
            <w:pPr>
              <w:spacing w:after="0"/>
              <w:rPr>
                <w:sz w:val="1"/>
                <w:szCs w:val="1"/>
                <w:color w:val="auto"/>
              </w:rPr>
            </w:pPr>
          </w:p>
        </w:tc>
      </w:tr>
      <w:tr>
        <w:trPr>
          <w:trHeight w:val="135"/>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shares</w:t>
            </w: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plans or</w:t>
            </w:r>
          </w:p>
        </w:tc>
        <w:tc>
          <w:tcPr>
            <w:tcW w:w="200" w:type="dxa"/>
            <w:vAlign w:val="bottom"/>
          </w:tcPr>
          <w:p>
            <w:pPr>
              <w:spacing w:after="0"/>
              <w:rPr>
                <w:sz w:val="11"/>
                <w:szCs w:val="11"/>
                <w:color w:val="auto"/>
              </w:rPr>
            </w:pPr>
          </w:p>
        </w:tc>
        <w:tc>
          <w:tcPr>
            <w:tcW w:w="136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87"/>
              </w:rPr>
              <w:t>subsequent to</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9"/>
                <w:szCs w:val="9"/>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9"/>
                <w:szCs w:val="9"/>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2"/>
              </w:rPr>
              <w:t xml:space="preserve">end of period </w:t>
            </w:r>
            <w:r>
              <w:rPr>
                <w:rFonts w:ascii="Arial" w:cs="Arial" w:eastAsia="Arial" w:hAnsi="Arial"/>
                <w:sz w:val="9"/>
                <w:szCs w:val="9"/>
                <w:b w:val="1"/>
                <w:bCs w:val="1"/>
                <w:color w:val="auto"/>
                <w:w w:val="92"/>
              </w:rPr>
              <w:t>(2)</w:t>
            </w:r>
          </w:p>
        </w:tc>
        <w:tc>
          <w:tcPr>
            <w:tcW w:w="0" w:type="dxa"/>
            <w:vAlign w:val="bottom"/>
          </w:tcPr>
          <w:p>
            <w:pPr>
              <w:spacing w:after="0"/>
              <w:rPr>
                <w:sz w:val="1"/>
                <w:szCs w:val="1"/>
                <w:color w:val="auto"/>
              </w:rPr>
            </w:pPr>
          </w:p>
        </w:tc>
      </w:tr>
      <w:tr>
        <w:trPr>
          <w:trHeight w:val="23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December 31, 2019</w:t>
            </w:r>
          </w:p>
        </w:tc>
        <w:tc>
          <w:tcPr>
            <w:tcW w:w="15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1,133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6,771,467</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38" w:lineRule="auto"/>
        <w:tabs>
          <w:tab w:leader="none" w:pos="48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certain tax liabilities arising from the vesting of restricted stock. The number above does not include unvested shares forfeited back to the Company pursuant to the terms of the Company’s stock compensation plans.</w:t>
      </w:r>
    </w:p>
    <w:p>
      <w:pPr>
        <w:ind w:left="500" w:right="180" w:hanging="492"/>
        <w:spacing w:after="0" w:line="229" w:lineRule="auto"/>
        <w:tabs>
          <w:tab w:leader="none" w:pos="48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April 30, 2013, the Board of Directors of Lifetime Brands, Inc.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December 31, 2019.</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selected consolidated statement of operations data for the years ended December 31, 2019, 2018 and 2017 and the selected consolidated balance sheet data as of December 31, 2019 and 2018 have been derived from the Company’s audited consolidated financial statements included elsewhere in this Annual Report on Form 10-K. The selected consolidated statement of operations data for the years ended December 31, 2016 and 2015 and the selected consolidated balance sheet data at December 31, 2017, 2016 and 2015 have been derived from the Company’s audited consolidated financial statements included in the Company’s Annual Reports on Form 10-K for those respective years, which are not included in this Annual Report on Form 10-K.</w:t>
      </w:r>
    </w:p>
    <w:p>
      <w:pPr>
        <w:spacing w:after="0" w:line="29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This information should be read together with the discussion 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the Company’s consolidated financial statements and Notes to those statements included elsewhere in this Annual Report on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1"/>
          </w:tcPr>
          <w:p>
            <w:pPr>
              <w:jc w:val="center"/>
              <w:ind w:right="140"/>
              <w:spacing w:after="0"/>
              <w:rPr>
                <w:sz w:val="20"/>
                <w:szCs w:val="20"/>
                <w:color w:val="auto"/>
              </w:rPr>
            </w:pPr>
            <w:r>
              <w:rPr>
                <w:rFonts w:ascii="Arial" w:cs="Arial" w:eastAsia="Arial" w:hAnsi="Arial"/>
                <w:sz w:val="14"/>
                <w:szCs w:val="14"/>
                <w:color w:val="auto"/>
                <w:w w:val="90"/>
              </w:rPr>
              <w:t>(in thousands, except per share data)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b w:val="1"/>
                <w:bCs w:val="1"/>
                <w:color w:val="auto"/>
              </w:rPr>
              <w:t xml:space="preserve">STATEMENT OF OPERATIONS DATA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734,902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704,542</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579,476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592,619</w:t>
            </w:r>
          </w:p>
        </w:tc>
        <w:tc>
          <w:tcPr>
            <w:tcW w:w="10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587,670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479,711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364,319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375,719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373,284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 xml:space="preserve">Distribution expenses </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72,543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69,716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54,815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161,618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140,903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134,903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42,990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(23,395)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15,180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24,231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Financing expense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w:t>
            </w: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w w:val="98"/>
              </w:rPr>
              <w:t>(Loss) Income before income taxes and equity in earnings</w:t>
            </w:r>
          </w:p>
        </w:tc>
        <w:tc>
          <w:tcPr>
            <w:tcW w:w="3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(43,773)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10,779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22,002</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18,331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net of taxes</w:t>
            </w:r>
          </w:p>
        </w:tc>
        <w:tc>
          <w:tcPr>
            <w:tcW w:w="3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6"/>
              </w:rPr>
              <w:t>467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(44,415)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12,278</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(loss) income per common share</w:t>
            </w: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20,597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13,850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(loss) income per common share</w:t>
            </w: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20,597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14,266</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vMerge w:val="continue"/>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23"/>
                <w:szCs w:val="23"/>
                <w:b w:val="1"/>
                <w:bCs w:val="1"/>
                <w:color w:val="auto"/>
                <w:vertAlign w:val="superscript"/>
              </w:rPr>
              <w:t>(1)</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329,153</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318,804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258,423</w:t>
            </w: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256,447</w:t>
            </w:r>
          </w:p>
        </w:tc>
        <w:tc>
          <w:tcPr>
            <w:tcW w:w="100" w:type="dxa"/>
            <w:vAlign w:val="bottom"/>
          </w:tcPr>
          <w:p>
            <w:pPr>
              <w:spacing w:after="0"/>
              <w:rPr>
                <w:sz w:val="21"/>
                <w:szCs w:val="21"/>
                <w:color w:val="auto"/>
              </w:rPr>
            </w:pPr>
          </w:p>
        </w:tc>
        <w:tc>
          <w:tcPr>
            <w:tcW w:w="36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243,380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(5)</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107,307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84,876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71,515</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91,286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91,361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(4)</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221,846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233,928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186,908</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165,161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152,019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(5)</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770,023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8"/>
              </w:rPr>
              <w:t>708,572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401,521</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399,854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398,331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287,103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8"/>
              </w:rPr>
              <w:t>304,774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94,744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86,201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236,317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279,493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210,279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197,728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199,468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ind w:left="480" w:hanging="472"/>
        <w:spacing w:after="0" w:line="217" w:lineRule="auto"/>
        <w:tabs>
          <w:tab w:leader="none" w:pos="48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acquisition of Filament in March 2018 affects the comparability of the periods.</w:t>
      </w:r>
    </w:p>
    <w:p>
      <w:pPr>
        <w:spacing w:after="0" w:line="1" w:lineRule="exact"/>
        <w:rPr>
          <w:rFonts w:ascii="Arial" w:cs="Arial" w:eastAsia="Arial" w:hAnsi="Arial"/>
          <w:sz w:val="23"/>
          <w:szCs w:val="23"/>
          <w:color w:val="auto"/>
          <w:vertAlign w:val="superscript"/>
        </w:rPr>
      </w:pPr>
    </w:p>
    <w:p>
      <w:pPr>
        <w:ind w:left="500" w:right="200" w:hanging="492"/>
        <w:spacing w:after="0" w:line="219" w:lineRule="auto"/>
        <w:tabs>
          <w:tab w:leader="none" w:pos="48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Prior to January 1, 2019, depreciation associated with certain tooling used to produce products was classified as selling, general and administrative expenses. The amount recorded in cost of sales for the year ended December 31, 2019 was $1.4 million.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impact on the comparative periods presented is immaterial and therefore, the comparative periods have not been adjusted to reflect this change in accounting policy.</w:t>
      </w:r>
    </w:p>
    <w:p>
      <w:pPr>
        <w:ind w:left="480" w:hanging="472"/>
        <w:spacing w:after="0" w:line="197" w:lineRule="auto"/>
        <w:tabs>
          <w:tab w:leader="none" w:pos="48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2016 period includes a $1.2 million charge to correct prior years’ depreciation of certain assets within the U.S. segment.</w:t>
      </w:r>
    </w:p>
    <w:p>
      <w:pPr>
        <w:spacing w:after="0" w:line="1" w:lineRule="exact"/>
        <w:rPr>
          <w:rFonts w:ascii="Arial" w:cs="Arial" w:eastAsia="Arial" w:hAnsi="Arial"/>
          <w:sz w:val="23"/>
          <w:szCs w:val="23"/>
          <w:color w:val="auto"/>
          <w:vertAlign w:val="superscript"/>
        </w:rPr>
      </w:pPr>
    </w:p>
    <w:p>
      <w:pPr>
        <w:ind w:left="500" w:hanging="492"/>
        <w:spacing w:after="0" w:line="219" w:lineRule="auto"/>
        <w:tabs>
          <w:tab w:leader="none" w:pos="48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 2018 and 2015, the Company recorded a gain of $1.7 million and a loss of $0.7 million, respectively, related to adjustments to the fair value of certain contingent consideration.</w:t>
      </w:r>
    </w:p>
    <w:p>
      <w:pPr>
        <w:ind w:left="500" w:right="60" w:hanging="492"/>
        <w:spacing w:after="0" w:line="229" w:lineRule="auto"/>
        <w:tabs>
          <w:tab w:leader="none" w:pos="48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2019 period reflects the adoption of ASU 2016-02, Leases (Topic 842) which requires a lessee, in most leases, to initially recognize a lease liability for the obligation to make lease payments and a right-of-use asset for the right to use the underlying asset for the lease term. As a result, comparability to the prior years' current liabilities, working capital, and total assets is affected.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2019, Kitchenware products and Tableware products accounted for approximately 79% of the Company’s U.S. net sales and 82% of the Company’s consolidated net sales. In 2018, Kitchenware products and Tableware products accounted for approximately 82% of the Company’s U.S. net sales and 84% of the Company’s consolidated net sales. The year ended December 31, 2018 includes the operations of Filament for the period from March 2, 2018, the date of the acquisition of Filament, to December 31, 2018.</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Mikasa®, Taylor®, KitchenAid®, KitchenCraft®, Pfaltzgraff®, BUILT NY®, Rabbit®, Kamenstein®, and MasterClass®.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October 1, 2018, the Company operates in two reportable segments: U.S. and International. The U.S. segment is the Company’s primary domestic business that designs, markets and distributes its products to retailers and distributors, as well as directly to consumers through third party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owns approximately 30%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consolidated statements of operations. Accordingly, the Company has recorded its proportionate share of Vasconia's net income (reduced for amortization expense related to the customer relationships acquired) for the year ended December 31, 2019, 2018, and 2017 in the accompanying consolidated statements of operations. Pursuant to a Shares Subscription Agreement, the Company may designate four persons to be nominated as members of Vasconia’s Board of Directors.</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equity in earnings of Vasconia, net of taxes, of $0.5 million, $0.9 million and $0.4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business and working capital needs are highly seasonal, with a majority of sales occurring in the third and fourth quarters. In 2019, 2018 and 2017, net sales for the third and fourth quarters accounted for 60%, 62% and 60%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years ended December 31, 2019 and 2018, the Company's U.S. segment incurred $0.7 million and $2.1 million, respectively, of restructuring expense related to the Filament integration, of which $0.1 million and $1.4 million was accrued at December 31, 2019 and 2018, respectively.</w:t>
      </w:r>
    </w:p>
    <w:p>
      <w:pPr>
        <w:spacing w:after="0" w:line="15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During the years ended December 31, 2019, and December 31, 2018 the Company's international segment incurred $0.7 million and $0.2 million, respectively, of restructuring expense primarily related to the integration of its legal entities operating in Europe of which $0.2 million was accrued at December 31, 2018. The Company had no international restructuring accrual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International segment expects to incur restructuring charges of $0.5 million in 2020 to complete its warehouse integration efforts.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U.S. government recently announced and, in some cases, implemented additional tariffs on certain foreign goods, including certain finished products and raw materials such as steel and aluminum. These tariffs have resulted or may result in increased prices for these imported goods and materials and may limit the amount of these goods and materials that may be imported into the U.S.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2019, the Office of the U.S. Trade Representative (‘‘USTR’’) has imposed, and in certain cases subsequently reduced or removed, additional tariffs on products imported from China. The Company purchases a high concentration of products from unaffiliated manufacturers located in China. This concentration exposes the Company to risks associated with doing business globally, including changes in tariffs.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tariff increases that have been implemented by the USTR began to adversely impact the Company's cost of sales in the third quarter of fiscal 2019 and will continue to do so, as long as these tariff increases remain in effect. In December 2019, the U.S. and China announced an interim trade agreement to halt additional tariff increases that were due to become effective before the end of the year and reverse some tariff increases that became effective in September 2019. The specific details of the interim trade agreement are unclear, as is the ultimate outcome of the broader trade negotiations. At this time, the Company expects to mitigate the impact of tariff increases primarily through pricing actions and product cost reductions in its supply chain. A substantial majority of the Company’s products are sourced from vendors in China. Although the Company's pricing actions are intended to offset the gross profit dollar impact of tariff increases, there are no assurances that the pricing actions will be successful in fully offsetting this impact or will not reduce retail consumption or customer orders in the short-term. Since July 2018, the USTR has periodically issued lists of products that are excluded from tariffs on Chinese imports. Under the USTR exclusion process, companies have the opportunity to seek to have particular products excluded from the tariff lists and apply for a refund.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31, 2020, the U.K. left the European Union. The U.K.’s exit from the European Union is unprecedented and it remains unclear what impact this will have on the U.K.’s access to the EU Single Market and on the legal and regulatory environment in which the Company operates, as well as its effect on the global macroeconomic environment. Net sales attributable to U.K. domiciled businesses were $85.8 million for the year ended December 31, 2019, and represent approximately 12% of the Company’s consolidated net sales for the period.</w:t>
      </w:r>
    </w:p>
    <w:p>
      <w:pPr>
        <w:spacing w:after="0" w:line="2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Significant uncertainty remains regarding the impact of the U.K.’s exit from the European Union. The uncertainty surrounding the consequences of the U.K.’s exit could adversely impact the U.K. economy, customers and investor confidence. Such uncertainty may contribute to additional market volatility, including volatility in the value of the U.K. pound and European euro, and may adversely affect the Company’s businesses,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ADOPTION OF ACCOUNTING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36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Effective January 1, 2019, the Company adopted Accounting Standards Update (“ASU”) 2016-15, Statement of Cash Flows (Topic 230): Classification of Certain Cash Receipts and Cash Payments, which reduces the diversity in practice on how certain transactions are classified in the statement of cash flows. The adoption of this ASU did not have a material impact on the Company’s cash flow statement.</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Effective January 1, 2019, the Company adopted ASU 2016-02, Leases (Topic 842), which requires a lessee, in most leases, to initially recognize a lease liability for the obligation to make lease payments and a right-of-use asset for the right to use the underlying asset for the lease term. The guidance required adoption using a modified retrospective transition approach with either 1) periods prior to the adoption date being recast or 2) a cumulative-effect adjustment recognized to the opening balance of retained earnings on the adoption date with prior periods not recast. The Company adopted this standard on January 1, 2019 using the cumulative-effect adjustment method and elected certain practical expedients allowed under the standard. The Company’s project team assessed the effect of the adoption of this standard on its accounting policies, business processes, internal controls over financial reporting and related disclosures. Upon adoption, the Company's asset and lease liabilities increased by $91.0 million and $104.5 million, respectively. The Company did not recognize a material cumulative-effect adjustment to retained earnings upon adoption.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simplifies the accounting for income taxes by removing certain exceptions to the general principles and improve consistent application of and simplify GAAP for other areas of Topic 740 by clarifying and amending existing guidance. The guidance is effective for fiscal years and interim periods within those fiscal years beginning after December 15, 2020. Early adoption is permitted. Additionally, an entity that elects early adoption must adopt all the amendments in the same period. Management is currently evaluating the impact of this standard on its consolidated financial statements and related disclosures.</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 of operations data of the Company as a percentage of net sales for the periods indicated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r>
      <w:tr>
        <w:trPr>
          <w:trHeight w:val="24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20" w:type="dxa"/>
            <w:vAlign w:val="bottom"/>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tcBorders>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6"/>
        </w:trPr>
        <w:tc>
          <w:tcPr>
            <w:tcW w:w="6820" w:type="dxa"/>
            <w:vAlign w:val="bottom"/>
          </w:tcPr>
          <w:p>
            <w:pPr>
              <w:ind w:left="20"/>
              <w:spacing w:after="0"/>
              <w:rPr>
                <w:sz w:val="20"/>
                <w:szCs w:val="20"/>
                <w:color w:val="auto"/>
              </w:rPr>
            </w:pPr>
            <w:r>
              <w:rPr>
                <w:rFonts w:ascii="Arial" w:cs="Arial" w:eastAsia="Arial" w:hAnsi="Arial"/>
                <w:sz w:val="18"/>
                <w:szCs w:val="18"/>
                <w:color w:val="auto"/>
              </w:rPr>
              <w:t>(Loss) income before income taxes and equity in earnings</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tcBorders>
          </w:tcPr>
          <w:p>
            <w:pPr>
              <w:spacing w:after="0"/>
              <w:rPr>
                <w:sz w:val="20"/>
                <w:szCs w:val="20"/>
                <w:color w:val="auto"/>
              </w:rPr>
            </w:pPr>
          </w:p>
        </w:tc>
      </w:tr>
      <w:tr>
        <w:trPr>
          <w:trHeight w:val="27"/>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Equity in earnings, net of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COMPARED TO 2018</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2019,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sales for the year 2019 were $734.9 million, an increase of $30.4 million, or 4.3%, compared to net sales of $704.5 million in 2018. In constant currency, a non-GAAP financial measure, which excludes the impact of foreign exchange fluctuations and was determined by applying 2019 average rates to 2018 local currency amounts, net sales increased $34.0 million, or 4.9%, as compared to consolidated net sales in the corresponding period in 2018. Net sales in 2019 increased $4.6 million or 0.6% on an unaudited pro forma basis, reflecting the acquisition of Filament as if it had occurred on January 1, 2018.</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Net sales for the U.S. segment in 2019 were $644.2 million, an increase of $35.1 million, or 5.8%, compared to net sales of $609.1 million in 2018. Net sales in 2019 increased $9.3 million or 1.5%, on a pro forma basis, reflecting the acquisition of Filament as if it had occurred on January 1, 2018.</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sales for the U.S. segment’s Kitchenware product category in 2019 were $354.3 million, an increase of $24.2 million, or 7.3%, compared to net sales of $330.1 million in 2018. The net sales increase in the U.S. segment’s Kitchenware product category was partially attributable to the inclusion of Filament for a full year in 2019. Additionally, net sales increased as a result of new tools and gadgets program, as well as higher sales for Taylor and Rabbit branded kitchenware. The increase was partially offset by lower sales for cutlery and bakeware/pantryware products.</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Net sales for the U.S. segment’s Tableware product category in 2019 were $156.1 million, a decrease of $12.7 million, or 7.5%, compared to net sales of $168.8 million for 2018. The decrease was primarily driven by lower replenishment orders related to certain dinnerware retail programs in 2019.</w:t>
      </w:r>
    </w:p>
    <w:p>
      <w:pPr>
        <w:spacing w:after="0" w:line="12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sales for the U.S. segment’s Home Solutions products category in 2019 were $133.8 million, an increase of $23.6 million, or 21.4%, compared to net sales of $110.2 million in 2018. The increase was primarily attributable to a new program for the home decor products line and the inclusion of Filament for a full year in 2019.</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sales for the International segment in 2019 were $90.7 million, a decrease of $4.7 million, compared to net sales of $95.4 million for 2018. In constant currency, a non-GAAP financial measure, which excludes the impact of foreign exchange fluctuations and was determined by applying 2019 average exchange rates to 2018 local currency amounts, net sales decreased approximately 1.2%. The decrease in sales was partially due to an order fulfillment disruption caused by a consolidation from multiple to a single new warehouse, partially offset by growth in E-Commerce and an increase in Asia trading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2019 was $255.2 million, or 34.7%, compared to $255.8 million, or 36.3%, for the corresponding period in 2018.</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margin for the U.S. segment was $226.5 million, or 35.2%, for 2019 compared to $223.5 million, or 36.7%, for 2018. Gross margin fluctuates from period to period based on a number of factors, including product and customer mix. The U.S. segment's gross margin was negatively impacted by higher tariff rates on products imported from China. This impact was partially offset by tariff exclusion refunds for certain duties charged to cost of sales in 2018, devalued Chinese Yuan, cost concessions from suppliers, packaging redesigns, and higher wholesale price points on affected inventory. Both the tariff environment, and the suppliers and customer community's response are highly dynamic, which can negatively or positively impact gross margin in future reporting periods.</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Gross margin for the International segment was $28.7 million, or 31.6%, for 2019 compared to $32.3 million, or 33.9%, for 2018. The decrease was primarily attributable to sales of clearance inventory and changes in customer and product mix.</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expenses were $72.5 million for the 2019 period as compared to $69.7 million for the 2018 period. Distribution expenses as a percentage of net sales were 9.9% and 9.9% in 2019 and 2018.</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Distribution expenses as a percentage of net sales for the U.S. segment were approximately 8.6% in 2019 and 9.5% in 2018. Distribution expenses in 2019 and 2018 include $0.2 million and $2.7 million, respectively, for the Company’s facility relocation efforts of its west coast distribution facility. As a percentage of sales shipped from the Company’s warehouses, distribution expenses, excluding the relocation costs for the U.S. segment, were 9.6% and 9.9% for 2019 and 2018, respectively. The decrease reflects the termination of the Company's variable cost distribution facility as part of the efforts to integrate the operations of Filament.</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18.7% in 2019 and 12.4% in 2018, respectively. Distribution expenses in 2019 include $2.6 million, for the Company’s facility relocation costs of its International distribution facilities. No International relocation costs were incurred in 2018. As a percentage of sales shipped from the Company’s warehouses, distribution expenses, excluding the relocation costs for the International segment, were 15.6% and 13.1% for 2019 and 2018, respectively. The increase was primarily driven by higher U.K. integration facility expenses due to running multiple facilities concurrently in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general and administrative (“SG&amp;A”) expenses for 2019 were $161.6 million, a decrease of $1.3 million, or 0.8%, as compared to $162.9 million for 2018.</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SG&amp;A expenses for 2019 for the U.S. segment were $117.1 million, a decrease of $2.0 million, or 1.7%, compared to $119.1 million for 2018. As a percentage of net sales, SG&amp;A expenses were 18.2% for 2019 compared to 19.6% for 2018. The 2019 period reflects the synergy savings from the Filament acquisition, primarily from efficiencies in labor reduction initiatives. The 2018 period does not reflect a full year of SG&amp;A expenses for Filament, which was acquired on March 2, 2018.</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SG&amp;A expenses for 2019 for the International segment were $24.3 million, compared to $23.6 million for 2018. As a percentage of net sales, SG&amp;A expenses increased to 26.8% for 2019 compared to 24.7% for 2018. The increase was driven by higher professional fees and higher warehouse expenses as the Company began consolidating its Corby, England distribution center into the Aston, England distribution center in 2019.</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Unallocated corporate expenses were $20.2 million for both 2019 and 2018. The 2019 results reflect higher professional fees offset by lower acquisition expenses than the comparative 2018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performed its annual impairment assessment of its U.S. reporting unit as of October 1, 2019 by comparing the fair value of the reporting unit with its carrying value. The Company performed the analysis using a discounted cash flow and market multiple method. Based upon the analysis performed, the Company recognized a non-cash goodwill impairment charge of $33.2 million, during the three months ended December 31, 2019. The goodwill impairment charge resulted from, among other factors, a sustained decline in the Company's market capitalization observed in the fourth quarter of 2019.The fair value of the U.S, reporting unit was approximately 6.1% below its carrying value.</w:t>
      </w:r>
    </w:p>
    <w:p>
      <w:pPr>
        <w:spacing w:after="0" w:line="31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Reporting Unit</w:t>
      </w:r>
    </w:p>
    <w:p>
      <w:pPr>
        <w:spacing w:after="0" w:line="23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During the third quarter of 2019, the Company performed an interim assessment of its European kitchenware business by comparing the fair value of the reporting unit with its carrying value.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 reduced expectations for future cash flows of the European kitchenware business. The fair value of the business was approximately 30.1% below its carrying value as of September 30, 2019.</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2018, the Company incurred a non-cash goodwill impairment charge of $2.2 million related to the European tableware business due to a decline in operating performance and reduced expectations for future cash flows.</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Following the goodwill impairment charges taken in both the third quarter of 2019 and 2018, goodwill associated with the International reporting unit, comprised of the European kitchenware business and tableware business, acquired in 2014 and 2011, respectively, is zero.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years ended December 31, 2019 and 2018, the Company's U.S. segment incurred $0.7 million and $2.1 million, respectively, of restructuring expense related to the Filament integration, of which $0.1 million and $1.4 million was accrued at December 31, 2019 and 2018, respectively.</w:t>
      </w:r>
    </w:p>
    <w:p>
      <w:pPr>
        <w:spacing w:after="0" w:line="15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During the years ended December 31, 2019, and December 31, 2018 the Company's international segment incurred $0.7 million and $0.2 million, respectively, of restructuring expense primarily related to the integration of its legal entities operating in Europe of which $0.2 million was accrued at December 31, 2018. The Company had no international restructuring accrual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International segment expects to incur restructuring charges of $0.5 million in 2020 to complete its warehouse integration efforts.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Interest expense for 2019 was $20.4 million compared to $18.0 million for 2018. The increase in expense was attributable to the financing obtained in connection with the acquisition of Filament which was completed in March 2018. The 2019 interest expense included a full year of interest related to the financing of Filament.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income tax provision was $1.1 million in 2019 and $2.9 million in 2018. The Company’s effective tax rate for 2019 was (2.5)%, compared to 567.6% for 2018. The effective tax rate in 2019 was driven primarily by the impairment of goodwill in the U.S. and international reporting units, nondeductible expenses, state taxes and tax credits. The effective tax rate in 2018 was driven by nondeductible expenses related to the Filament acquisition, impairment of goodwill in the international reporting unit, the increase in liability related to uncertain tax positions, and state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net of tax, for 2019 and 2018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6"/>
              </w:rPr>
              <w:t>Year Ended December 31,</w:t>
            </w:r>
          </w:p>
        </w:tc>
      </w:tr>
      <w:tr>
        <w:trPr>
          <w:trHeight w:val="196"/>
        </w:trPr>
        <w:tc>
          <w:tcPr>
            <w:tcW w:w="8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8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7"/>
                <w:szCs w:val="17"/>
                <w:color w:val="auto"/>
              </w:rPr>
            </w:pPr>
          </w:p>
        </w:tc>
      </w:tr>
      <w:tr>
        <w:trPr>
          <w:trHeight w:val="25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 net of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807</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Tax act transition adjustments</w:t>
            </w:r>
          </w:p>
        </w:tc>
        <w:tc>
          <w:tcPr>
            <w:tcW w:w="18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80</w:t>
            </w:r>
          </w:p>
        </w:tc>
      </w:tr>
      <w:tr>
        <w:trPr>
          <w:trHeight w:val="27"/>
        </w:trPr>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net of taxes and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887</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Impairment of Grand Venture</w:t>
            </w:r>
          </w:p>
        </w:tc>
        <w:tc>
          <w:tcPr>
            <w:tcW w:w="18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(227)</w:t>
            </w:r>
          </w:p>
        </w:tc>
      </w:tr>
      <w:tr>
        <w:trPr>
          <w:trHeight w:val="27"/>
        </w:trPr>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660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Vasconia reported income from operations for 2019 of $8.6 million, as compared to $11.4 million for 2018 and reported net income of $1.8 million and $2.9 million in 2019 and 2018, respectively . The effect of the translation of the Company’s investment, as well as the translation of Vasconia’s balance sheet, resulted in a decrease of the investment of $1.6 million during the year ended December 31, 2019 and a decrease of the investment of $1.9 million during the year ended December 31, 2018.</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operating losses in the Company’s investment in Grand Venture, the Company evaluated the investments carrying value and assessed if an other-than temporary impairment under the equity method of accounting was necessary. As a result of this evaluation, the Company recorded an impairment charge of approximately $0.2 million during the year ended December 31, 2018.</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COMPARED TO 2017</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Prior to December 31, 2018, certain international operations of the Company’s business were managed domestically by the U.S. segment. The prior period segment information has been recast to reflect the current reportable segment structure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sales for the year 2018 were $704.5 million, an increase of $125.0 million, or 21.6%, compared to net sales of $579.5 million in 2017. Net sales from Filament for the period from March 2, 2018, the date of the acquisition of Filament, were $128.8 million. In constant currency, a non-GAAP financial measure, which excludes the impact of foreign exchange fluctuations and was determined by applying 2018 average rates to 2017 local currency amounts, net sales increased $122.3 million, or 21.0%, as compared to consolidated net sales in the corresponding period in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U.S. segment in 2018 were $609.1 million, an increase of $131.0 million, or 27.4%, compared to net sales of $478.1 million in 2017.</w:t>
      </w:r>
    </w:p>
    <w:p>
      <w:pPr>
        <w:spacing w:after="0" w:line="2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sales for the U.S. segment’s Kitchenware product category in 2018 were $330.1 million, an increase of $56.0 million, or 20.4%, compared to net sales of $274.1 million in 2017. The increase in the U.S. segment’s Kitchenware product category was primarily attributable to contributions from Filament, and to a lesser extent, an increase in pantryware club program sales and an increase in tools and gadget off price retailer sales. These increase were partially offset by a decline in tools and gadget club sales and a decline in novelty kitchenware sales.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sales for the U.S. segment’s Tableware product category in 2018 were $168.8 million, an increase of $16.3 million, or 10.7%, compared to net sales of $152.5 million for 2017. The Tableware product category sales increase was primarily attributable to warehouse club programs and an increase in sales from Fitz and Floyd, which was acquired in August 2017.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U.S. segment’s Home Solutions products category in 2018 were $110.2 million, an increase of $58.6 million, compared to net sales of</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$51.6 million in 2017. The increase primarily reflects contributions from Filament and an increase in hydration programs. This increase was partially offset by a decline in home décor sales attributable to a customer bankruptcy and a decline in a customer program.</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the International segment in 2018 were $95.4 million, a decrease of $6.0 million, compared to net sales of $101.4 million for 2017. In constant currency, a non-GAAP financial measure, which excludes the impact of foreign exchange fluctuations and was determined by applying 2018 average exchange rates to 2017 local currency amounts, net sales decreased approximately 8.3%. The decrease, in constant currency, is due to a decline in private label tableware sales and a decline in kitchenware export and field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2018 was $255.8 million, or 36.3%, compared to $215.2 million, or 37.1%, for the corresponding period in 2017.</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Gross margin for the U.S. segment was $223.5 million, or 36.7%, for 2018 compared to $182.2 million, or 38.1%, for 2017. Gross margin fluctuates from period to period based on a number of factors, including product and customer mix. The decrease in gross margin percentage is attributable to a change in customer and product mix from the Kitchenware and Tableware product categories, partially offset by the impact of Filament.</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margin for the International segment was $32.3 million, or 33.9%, for 2018 compared to $33.0 million, or 32.5%, for 2017. The increase in gross margin in the International segment is attributable to the tableware products favorable customer and product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Distribution expenses were $69.7 million for the 2018 period as compared to $58.1 million for the 2017 period. Distribution expenses as a percentage of net sales were 9.9% and 10.0% in 2018 and 2017, respectively.</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Distribution expenses as a percentage of net sales for the U.S. segment were approximately 9.5% in 2018 and 9.8% in 2017. Distribution expenses in 2018 and 2017 include $2.7 million and $0.7 million, respectively, for the Company’s west coast distribution facility relocation which was completed in 2018. Distribution expenses as a percentage of sales shipped from the Company’s warehouses located in the United States for the U.S. segment were 10.4% and 10.8% for 2018 and 2017, respectively. The decrease reflects the addition of Filament, which has less distribution expense as a percentage of net sales than the Company’s historical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12.4% and 11.0% for 2018 and 2017, respectively. Distribution expenses as a percentage of sales shipped from the Company’s warehouses for the International segment were 13.1% and 12.3% for 2018 and 2017, respectively. The increase reflects an increase in labor and facility expenses, in part, due to an increase in inventory for new branded product portfolio.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for 2018 were $162.9 million, an increase of $22.0 million, or 15.6%, as compared to $140.9 million for 2017.</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SG&amp;A expenses for 2018 for the U.S. segment were $119.1 million, an increase of $22.4 million, or 23.2%, compared to $96.7 million for 2017. The 2018 period reflects an increase related to the Company’s acquisition of Filament, including an increase in intangible amortization expense. The acquisition related increases offset a decrease in employee, office and selling expense due to synergies realized from the acquisition of Filament. As a percentage of net sales, SG&amp;A expenses were 19.6% for 2018 compared to 20.2% for 2017.</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SG&amp;A expenses for 2018 for the International segment were $23.6 million, compared to $27.1 million for 2017. The decrease was due in part to unrealized losses on foreign currency contracts of $2.6 million in the prior period, as compared to a net realized and unrealized gain of $0.2 million in the 2018 period. The 2017 period also includes expenses of approximately $0.7 million attributable to the implementation of Systems, Applications and Products (“SAP”), which is software that the Company uses in the management of its business, which were not repeated in 2018. As a percentage of net sales, SG&amp;A expenses decreased to 24.7% for 2018 compared to 27.7% for 2017.</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Unallocated corporate expenses for 2018 were $20.2 million compared to $17.2 million for 2017. The increase in the 2018 period was attributable to an increase in professional fees, share based compensation expense and insurance expense partially offset by a decrease in short term incentive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2018, the U.S. segment recorded $2.3 million of restructuring expense, primarily for severance, related to the Company’s Filament integration.</w:t>
      </w: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2018 and 2017, the Company recorded $0.2 million and $1.0 million, respectively, of international restructuring expense, primarily for severance, related to the integration of operations in Europe.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expense for 2018 was $18.0 million compared to $4.3 million for 2017. The increase in expense was attributable to the financing obtained in connection with the acquisition of Filament.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financing obtained for the acquisition of Filament, the Company wrote-off $0.1 million of the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income tax provision was $2.9 million in 2018 and $9.0 million in 2017. The Company’s effective tax rate for 2018 was 567.6%, compared to 83.8% for 2017. The effective tax rate in 2018 was driven by nondeductible expenses related to the Filament acquisition, impairment of goodwill in the foreign jurisdictions, the increase in liability related to uncertain tax positions, and state taxes. The effective tax rate in 2017 was driven by the reduced deferred tax assets resulting from the application of a lower corporate tax rate under the Tax Act, enacted in December 2017, and the estimated transition tax.</w:t>
      </w:r>
    </w:p>
    <w:tbl>
      <w:tblPr>
        <w:tblLayout w:type="fixed"/>
        <w:tblInd w:w="0" w:type="dxa"/>
        <w:tblCellMar>
          <w:top w:w="0" w:type="dxa"/>
          <w:left w:w="0" w:type="dxa"/>
          <w:bottom w:w="0" w:type="dxa"/>
          <w:right w:w="0" w:type="dxa"/>
        </w:tblCellMar>
      </w:tblPr>
      <w:tr>
        <w:trPr>
          <w:trHeight w:val="151"/>
        </w:trPr>
        <w:tc>
          <w:tcPr>
            <w:tcW w:w="9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7"/>
              <w:spacing w:after="0" w:line="151" w:lineRule="exact"/>
              <w:rPr>
                <w:sz w:val="20"/>
                <w:szCs w:val="20"/>
                <w:color w:val="auto"/>
              </w:rPr>
            </w:pPr>
            <w:r>
              <w:rPr>
                <w:rFonts w:ascii="Arial" w:cs="Arial" w:eastAsia="Arial" w:hAnsi="Arial"/>
                <w:sz w:val="14"/>
                <w:szCs w:val="14"/>
                <w:b w:val="1"/>
                <w:bCs w:val="1"/>
                <w:color w:val="auto"/>
                <w:w w:val="93"/>
              </w:rPr>
              <w:t>Year Ended</w:t>
            </w:r>
          </w:p>
        </w:tc>
      </w:tr>
      <w:tr>
        <w:trPr>
          <w:trHeight w:val="192"/>
        </w:trPr>
        <w:tc>
          <w:tcPr>
            <w:tcW w:w="988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December 31, 2017</w:t>
            </w:r>
          </w:p>
        </w:tc>
      </w:tr>
      <w:tr>
        <w:trPr>
          <w:trHeight w:val="196"/>
        </w:trPr>
        <w:tc>
          <w:tcPr>
            <w:tcW w:w="9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97"/>
              <w:spacing w:after="0"/>
              <w:rPr>
                <w:sz w:val="20"/>
                <w:szCs w:val="20"/>
                <w:color w:val="auto"/>
              </w:rPr>
            </w:pPr>
            <w:r>
              <w:rPr>
                <w:rFonts w:ascii="Arial" w:cs="Arial" w:eastAsia="Arial" w:hAnsi="Arial"/>
                <w:sz w:val="14"/>
                <w:szCs w:val="14"/>
                <w:color w:val="auto"/>
                <w:w w:val="92"/>
              </w:rPr>
              <w:t>(in thousands)</w:t>
            </w:r>
          </w:p>
        </w:tc>
      </w:tr>
      <w:tr>
        <w:trPr>
          <w:trHeight w:val="256"/>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Transition tax on non-U.S. subsidiaries’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Re-measurement of U.S. deferred tax assets and liabilities</w:t>
            </w:r>
          </w:p>
        </w:tc>
        <w:tc>
          <w:tcPr>
            <w:tcW w:w="200" w:type="dxa"/>
            <w:vAlign w:val="bottom"/>
          </w:tcPr>
          <w:p>
            <w:pPr>
              <w:spacing w:after="0"/>
              <w:rPr>
                <w:sz w:val="21"/>
                <w:szCs w:val="21"/>
                <w:color w:val="auto"/>
              </w:rPr>
            </w:pPr>
          </w:p>
        </w:tc>
        <w:tc>
          <w:tcPr>
            <w:tcW w:w="1160" w:type="dxa"/>
            <w:vAlign w:val="bottom"/>
          </w:tcPr>
          <w:p>
            <w:pPr>
              <w:jc w:val="right"/>
              <w:ind w:right="77"/>
              <w:spacing w:after="0"/>
              <w:rPr>
                <w:sz w:val="20"/>
                <w:szCs w:val="20"/>
                <w:color w:val="auto"/>
              </w:rPr>
            </w:pPr>
            <w:r>
              <w:rPr>
                <w:rFonts w:ascii="Arial" w:cs="Arial" w:eastAsia="Arial" w:hAnsi="Arial"/>
                <w:sz w:val="18"/>
                <w:szCs w:val="18"/>
                <w:color w:val="auto"/>
              </w:rPr>
              <w:t>2,981</w:t>
            </w:r>
          </w:p>
        </w:tc>
      </w:tr>
      <w:tr>
        <w:trPr>
          <w:trHeight w:val="27"/>
        </w:trPr>
        <w:tc>
          <w:tcPr>
            <w:tcW w:w="9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impact of the Tax Act on the provision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3,319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Due to the complexities involved in accounting for the Tax Act, the Company was required to include in its 2017 financial statements the reasonable estimate of the impact of the Tax Act on its earnings to the extent such reasonable estimate had been determined.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Accordingly, the U.S. provision for income tax for 2017 is based on the reasonable estimate guidance. The Company continued to assess the impact from the Tax Act in 2018 and recorded an adjustment of approximately $0.7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(losses), net of tax, for 2018 and 2017 are as follows:</w:t>
      </w:r>
    </w:p>
    <w:p>
      <w:pPr>
        <w:spacing w:after="0" w:line="5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 w:lineRule="exact"/>
        <w:rPr>
          <w:sz w:val="20"/>
          <w:szCs w:val="20"/>
          <w:color w:val="auto"/>
        </w:rPr>
      </w:pPr>
    </w:p>
    <w:p>
      <w:pPr>
        <w:ind w:left="8960"/>
        <w:spacing w:after="0"/>
        <w:tabs>
          <w:tab w:leader="none" w:pos="104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 w:lineRule="exact"/>
        <w:rPr>
          <w:sz w:val="20"/>
          <w:szCs w:val="20"/>
          <w:color w:val="auto"/>
        </w:rPr>
      </w:pPr>
    </w:p>
    <w:p>
      <w:pPr>
        <w:ind w:left="9420"/>
        <w:spacing w:after="0"/>
        <w:rPr>
          <w:sz w:val="20"/>
          <w:szCs w:val="20"/>
          <w:color w:val="auto"/>
        </w:rPr>
      </w:pPr>
      <w:r>
        <w:rPr>
          <w:rFonts w:ascii="Arial" w:cs="Arial" w:eastAsia="Arial" w:hAnsi="Arial"/>
          <w:sz w:val="14"/>
          <w:szCs w:val="14"/>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net of tax</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r>
      <w:tr>
        <w:trPr>
          <w:trHeight w:val="229"/>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benefit recorded in equity in earnings </w:t>
            </w:r>
            <w:r>
              <w:rPr>
                <w:rFonts w:ascii="Arial" w:cs="Arial" w:eastAsia="Arial" w:hAnsi="Arial"/>
                <w:sz w:val="21"/>
                <w:szCs w:val="21"/>
                <w:color w:val="auto"/>
                <w:vertAlign w:val="superscript"/>
              </w:rPr>
              <w:t>(1)</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act transition adjustments</w:t>
            </w: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Equity in earnings</w:t>
            </w: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415</w:t>
            </w:r>
          </w:p>
        </w:tc>
      </w:tr>
      <w:tr>
        <w:trPr>
          <w:trHeight w:val="27"/>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Grand Venture</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44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407</w:t>
            </w:r>
          </w:p>
        </w:tc>
      </w:tr>
      <w:tr>
        <w:trPr>
          <w:trHeight w:val="27"/>
        </w:trPr>
        <w:tc>
          <w:tcPr>
            <w:tcW w:w="84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Income tax provision related to the valuation allowance for deferred taxes associated with the cumulative foreign currency translation adjustment.</w:t>
      </w:r>
    </w:p>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Equity in earnings, net of taxes, was $0.9 million in 2018, as compared to $0.4 million in 2017. Vasconia reported income from operations for 2018 of $11.4 million, as compared to $10.5 million for 2017, and reported net income of $2.9 million in 2018, compared to $1.2 million in 2017.</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Due to the operating losses in the Company’s investment in Grand Venture, the Company evaluated the carrying value of its investment for other-than temporary impairment under the equity method of accounting, and recorded an impairment charge of approximately $0.2 million during the year ended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discusses the Company’s consolidated financial statements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health insurance reserves, impairment of goodwill, tangible and intangible assets, stock compensation expense, accruals related to the Company’s tax positions and tax valuation allowances. Actual results may differ from these estimates using different assumptions and under different conditions. The Company’s significant accounting policies are more fully described in Note A- Significant Accounting Policies in the Notes to the consolidated financial statements included in Item 15. 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also maintains an allowance for anticipated customer deductions. The allowances for deductions are primarily based on contracts with customers.</w:t>
      </w:r>
    </w:p>
    <w:p>
      <w:pPr>
        <w:spacing w:after="0" w:line="1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 (the “Receivables”) to HSBC Bank USA, which may accept such offer, and purchase the offered Receivables. Under the Receivables Purchase Agreement, following each purchase of Receivables, the outstanding aggregate purchased Receivables shall not exceed $25.0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shall automatically be extended for annual successive terms unless terminated. Either party may terminate the agreement at any time upon 60 days prior written notice to the other party. Pursuant to this agreement, the Company sold $115.4 million and $86.0 million of Receivables during the years ended December 31, 2019 and 2018, respectively. At December 31, 2019 and 2018, $20.9 million and $18.0 million, respectively, of receivables sold are outstanding and are due to HSBC Bank USA from customers. A charge of $0.6 million and $0.5 million related to the sale of the Receivables is included in SG&amp;A expenses in the consolidated statement of operations for the years ended December 31, 2019 and 2018,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not material to the Company’s consolidated balance sheets.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Accounting Standards Update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1st or when events or changes in circumstances indicate the carrying value of these assets might exceed their current fair values. Impairment testing is based upon the best information available including estimates of fair value which incorporate assumptions marketplace</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Prior to January 1, 2019, depreciation associated with certain tooling used to produce products was classified as selling, general and administrative expenses. The amount recorded in cost of sales for the year ended December 31, 2019 was $1.4 million. The impact on the comparative periods presented is immaterial and therefore, the comparative periods have not been adjusted to reflect this change in accounting policy.</w:t>
      </w:r>
    </w:p>
    <w:p>
      <w:pPr>
        <w:spacing w:after="0" w:line="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stock keeping unit rationalization (“SKU Rationalization”) initiative to identify inventory to discontinue from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active status, consistent with the objectives of these programs. During the year ended December 31, 2019, the Company recorded an $8.5 million charge to cost of sales associated with the SKU Rationalization initiative. The inventory charge represented approximately 8% of the Company's consolidated inventory as of June 30, 2019, the period in which the charge was taken.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 common stock and the risk-free interest rate. Changes in these subjective input assumptions can materially affect the fair value estimate of the Company’s stock options on the date of the option grant.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of the Board of Directors.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 bases the estimated fair value of Stock Compensation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years ended December 31, 2019 and 2018, the Company's U.S. segment incurred $0.7 million and $2.1 million, respectively, of restructuring expense related to the Filament integration, of which $0.1 million and $1.4 million was accrued at December 31, 2019 and 2018, respectively.</w:t>
      </w:r>
    </w:p>
    <w:p>
      <w:pPr>
        <w:spacing w:after="0" w:line="15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During the years ended December 31, 2019, and December 31, 2018 the Company's international segment incurred $0.7 million and $0.2 million, respectively, of restructuring expense primarily related to the integration of its legal entities operating in Europe of which $0.2 million was accrued at December 31, 2018. The Company had no international restructuring accrual as of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International segment expects to incur restructuring charges of $0.5 million in 2020 to complete its warehouse integration efforts.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applies the required provisions for financial statement recognition, measurement and disclosure of uncertain tax positions recognized in the Company’s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Tax positions must meet a more-likely-than-not recognition threshold and measurement attribute for financial statement recognition and measurement of a tax position taken. The valuation allowance is also calculated, established or maintained when it is “more likely than not” that all or a portion of deferred tax assets will not be realized.</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December 22, 2017, the Tax Act was enacted. The Tax Act is one of the most comprehensive changes in the U.S. corporate tax law and policy since 1986 and certain provisions are extremely complex in their application. The Tax Act revises the U.S. corporate income tax by, among other things, lowering the corporate income tax rate from 35% to 21%, adopting a quasi-territorial income tax</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system and imposing a one-time transition tax on foreign unremitted earnings, and setting limitations on the deductibility of certain costs (e.g., interest expense).</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lower U.S. corporate income tax rate is effective January 1, 2018, however the Company’s U.S. deferred tax assets and liabilities were adjusted in 2017 when the new tax law was enacted. Additionally, in 2017, as part of the transition to the new quasi-territorial tax system, the Tax Act imposes a one-time tax on deemed repatriation of foreign subsidiaries’ earnings. The U.S. provision for income tax for 2017 was based on the reasonable estimate guidance provided by SAB 118. The Company is continuing to assess the impact from the Tax Act. Changes in interpretations of the Tax Act, future legislative action to address questions that arise because of the Tax Act, changes in accounting standards for income taxes or related interpretations in response to the Tax Act, or any updates or changes to estimates the Company has utilized to calculate the impact of the Tax Act could result in material changes to the Company’s future income tax provision.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 Realized and unrealized gains and losses from non-designated foreign currency hedges are recognized in selling, general and administrative expenses in the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The Company’s primary uses of funds consist of working capital requirements, capital expenditures, acquisitions and investments and payments of principal and interest on its debt.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and 2018, the Company had cash and cash equivalents of $11.4 million and $7.6 million, respectively, and working capital of</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$221.8 million at December 31, 2019 compared to $233.9 million at December 31, 2018. The current ratio (current assets to current liabilities) was 3.1 to 1.0 at December 31, 2019 compared to 3.8 to 1.0 at December 31, 2018. The decrease in the current ratio was driven by the adoption of the new lease accounting standard and the excess cash flow principal payment related to the debt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2019, borrowings under the Company’s ABL Agreement were $32.8 million and $270.2 million was outstanding under the Term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borrowings under the Company’s ABL Agreement were $42.1 million and $272.9 million was outstanding under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borrowings in 2019 and 2018 were primarily attributable to the financing of the acquisition of Filament.</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affected by changes in the future.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2019 inventory turnover was 2.9 times, or 128 days, as compared to 3.0 times, or 121 days, for the three months ended December 31,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amount is recorded in the current maturity of term loan on the consolidated balance sheets.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 total availability under the ABL Agreement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150,000</w:t>
            </w:r>
          </w:p>
        </w:tc>
      </w:tr>
      <w:tr>
        <w:trPr>
          <w:trHeight w:val="243"/>
        </w:trPr>
        <w:tc>
          <w:tcPr>
            <w:tcW w:w="7400" w:type="dxa"/>
            <w:vAlign w:val="bottom"/>
          </w:tcPr>
          <w:p>
            <w:pPr>
              <w:ind w:left="120"/>
              <w:spacing w:after="0"/>
              <w:rPr>
                <w:sz w:val="20"/>
                <w:szCs w:val="20"/>
                <w:color w:val="auto"/>
              </w:rPr>
            </w:pPr>
            <w:r>
              <w:rPr>
                <w:rFonts w:ascii="Arial" w:cs="Arial" w:eastAsia="Arial" w:hAnsi="Arial"/>
                <w:sz w:val="16"/>
                <w:szCs w:val="16"/>
                <w:color w:val="auto"/>
              </w:rPr>
              <w:t>Outstanding borrowings under the ABL Agreement</w:t>
            </w: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(32,822)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(42,080)</w:t>
            </w:r>
          </w:p>
        </w:tc>
      </w:tr>
      <w:tr>
        <w:trPr>
          <w:trHeight w:val="27"/>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Open letters of credit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(3,392)</w:t>
            </w:r>
          </w:p>
        </w:tc>
      </w:tr>
      <w:tr>
        <w:trPr>
          <w:trHeight w:val="236"/>
        </w:trPr>
        <w:tc>
          <w:tcPr>
            <w:tcW w:w="7400" w:type="dxa"/>
            <w:vAlign w:val="bottom"/>
          </w:tcPr>
          <w:p>
            <w:pPr>
              <w:ind w:left="20"/>
              <w:spacing w:after="0"/>
              <w:rPr>
                <w:sz w:val="20"/>
                <w:szCs w:val="20"/>
                <w:color w:val="auto"/>
              </w:rPr>
            </w:pPr>
            <w:r>
              <w:rPr>
                <w:rFonts w:ascii="Arial" w:cs="Arial" w:eastAsia="Arial" w:hAnsi="Arial"/>
                <w:sz w:val="16"/>
                <w:szCs w:val="16"/>
                <w:color w:val="auto"/>
              </w:rPr>
              <w:t>Total availability under the credit agreement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114,890</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104,528</w:t>
            </w:r>
          </w:p>
        </w:tc>
      </w:tr>
      <w:tr>
        <w:trPr>
          <w:trHeight w:val="27"/>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w:t>
      </w:r>
    </w:p>
    <w:p>
      <w:pPr>
        <w:sectPr>
          <w:pgSz w:w="11900" w:h="16838" w:orient="portrait"/>
          <w:cols w:equalWidth="0" w:num="1">
            <w:col w:w="11220"/>
          </w:cols>
          <w:pgMar w:left="320" w:top="125"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receivable and inventory that fluctuate regularly. Consequently, the $150.0 million commitment thereunder may not represent actual borrowing capacity.</w:t>
      </w:r>
    </w:p>
    <w:p>
      <w:pPr>
        <w:spacing w:after="0" w:line="200" w:lineRule="exact"/>
        <w:rPr>
          <w:sz w:val="20"/>
          <w:szCs w:val="20"/>
          <w:color w:val="auto"/>
        </w:rPr>
      </w:pPr>
    </w:p>
    <w:p>
      <w:pPr>
        <w:spacing w:after="0" w:line="2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current and non current portions of the Company’s Term Loan facility included in the consolidated balance sheets are presented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120"/>
              <w:spacing w:after="0"/>
              <w:rPr>
                <w:sz w:val="20"/>
                <w:szCs w:val="20"/>
                <w:color w:val="auto"/>
              </w:rPr>
            </w:pPr>
            <w:r>
              <w:rPr>
                <w:rFonts w:ascii="Arial" w:cs="Arial" w:eastAsia="Arial" w:hAnsi="Arial"/>
                <w:sz w:val="16"/>
                <w:szCs w:val="16"/>
                <w:color w:val="auto"/>
              </w:rPr>
              <w:t>Term Loan facility annual principal payment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2,750</w:t>
            </w: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Excess Cash Flow principal payment</w:t>
            </w:r>
          </w:p>
        </w:tc>
        <w:tc>
          <w:tcPr>
            <w:tcW w:w="3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6420" w:type="dxa"/>
            <w:vAlign w:val="bottom"/>
          </w:tcPr>
          <w:p>
            <w:pPr>
              <w:ind w:left="120"/>
              <w:spacing w:after="0"/>
              <w:rPr>
                <w:sz w:val="20"/>
                <w:szCs w:val="20"/>
                <w:color w:val="auto"/>
              </w:rPr>
            </w:pPr>
            <w:r>
              <w:rPr>
                <w:rFonts w:ascii="Arial" w:cs="Arial" w:eastAsia="Arial" w:hAnsi="Arial"/>
                <w:sz w:val="16"/>
                <w:szCs w:val="16"/>
                <w:color w:val="auto"/>
              </w:rPr>
              <w:t>Unamortized debt issuance costs</w:t>
            </w:r>
          </w:p>
        </w:tc>
        <w:tc>
          <w:tcPr>
            <w:tcW w:w="30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(1,482)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(1,497)</w:t>
            </w: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8,413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portion of Term Loan facility:</w:t>
            </w:r>
          </w:p>
        </w:tc>
        <w:tc>
          <w:tcPr>
            <w:tcW w:w="3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4"/>
        </w:trPr>
        <w:tc>
          <w:tcPr>
            <w:tcW w:w="6420" w:type="dxa"/>
            <w:vAlign w:val="bottom"/>
          </w:tcPr>
          <w:p>
            <w:pPr>
              <w:ind w:left="120"/>
              <w:spacing w:after="0"/>
              <w:rPr>
                <w:sz w:val="20"/>
                <w:szCs w:val="20"/>
                <w:color w:val="auto"/>
              </w:rPr>
            </w:pPr>
            <w:r>
              <w:rPr>
                <w:rFonts w:ascii="Arial" w:cs="Arial" w:eastAsia="Arial" w:hAnsi="Arial"/>
                <w:sz w:val="16"/>
                <w:szCs w:val="16"/>
                <w:color w:val="auto"/>
              </w:rPr>
              <w:t>Term Loan facility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260,293</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270,188</w:t>
            </w: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(7,494)</w:t>
            </w:r>
          </w:p>
        </w:tc>
      </w:tr>
      <w:tr>
        <w:trPr>
          <w:trHeight w:val="217"/>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 Non Current portion of Term Loan facility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254,281</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262,694</w:t>
            </w:r>
          </w:p>
        </w:tc>
      </w:tr>
      <w:tr>
        <w:trPr>
          <w:trHeight w:val="33"/>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December 31, 2019 ranged from 2.44% to 2.63%. In addition, the Company paid a commitment fee that ranged from 0.250% to 0.375% on the unused portion of the ABL Agreement during the year ended December 31, 2019.</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2019 was 5.3%.</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was in compliance with the covenants of the Debt Agreements at December 31, 2019. The Company expects that it will continue to borrow and repay funds, subject to availability, under the ABL Agreement based on working capital and other corporate needs.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57"/>
        </w:trPr>
        <w:tc>
          <w:tcPr>
            <w:tcW w:w="932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Consolidated adjusted EBITDA for the four quarters ended</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932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December 31, 2019</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320" w:type="dxa"/>
            <w:vAlign w:val="bottom"/>
          </w:tcPr>
          <w:p>
            <w:pPr>
              <w:jc w:val="center"/>
              <w:ind w:left="1850"/>
              <w:spacing w:after="0"/>
              <w:rPr>
                <w:sz w:val="20"/>
                <w:szCs w:val="20"/>
                <w:color w:val="auto"/>
              </w:rPr>
            </w:pPr>
            <w:r>
              <w:rPr>
                <w:rFonts w:ascii="Arial" w:cs="Arial" w:eastAsia="Arial" w:hAnsi="Arial"/>
                <w:sz w:val="18"/>
                <w:szCs w:val="18"/>
                <w:color w:val="auto"/>
                <w:w w:val="89"/>
              </w:rPr>
              <w:t>(in thousands)</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9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2019</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27,873</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7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25,758</w:t>
            </w:r>
          </w:p>
        </w:tc>
      </w:tr>
      <w:tr>
        <w:trPr>
          <w:trHeight w:val="27"/>
        </w:trPr>
        <w:tc>
          <w:tcPr>
            <w:tcW w:w="9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2019</w:t>
            </w:r>
          </w:p>
        </w:tc>
        <w:tc>
          <w:tcPr>
            <w:tcW w:w="7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4,306</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Three months ended March 31, 2019</w:t>
            </w:r>
          </w:p>
        </w:tc>
        <w:tc>
          <w:tcPr>
            <w:tcW w:w="7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6,127</w:t>
            </w:r>
          </w:p>
        </w:tc>
      </w:tr>
      <w:tr>
        <w:trPr>
          <w:trHeight w:val="27"/>
        </w:trPr>
        <w:tc>
          <w:tcPr>
            <w:tcW w:w="9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7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64,064</w:t>
            </w:r>
          </w:p>
        </w:tc>
      </w:tr>
      <w:tr>
        <w:trPr>
          <w:trHeight w:val="243"/>
        </w:trPr>
        <w:tc>
          <w:tcPr>
            <w:tcW w:w="9320" w:type="dxa"/>
            <w:vAlign w:val="bottom"/>
          </w:tcPr>
          <w:p>
            <w:pPr>
              <w:ind w:left="220"/>
              <w:spacing w:after="0"/>
              <w:rPr>
                <w:sz w:val="20"/>
                <w:szCs w:val="20"/>
                <w:color w:val="auto"/>
              </w:rPr>
            </w:pPr>
            <w:r>
              <w:rPr>
                <w:rFonts w:ascii="Arial" w:cs="Arial" w:eastAsia="Arial" w:hAnsi="Arial"/>
                <w:sz w:val="18"/>
                <w:szCs w:val="18"/>
                <w:color w:val="auto"/>
              </w:rPr>
              <w:t>Permitted non-recurring charge limitation</w:t>
            </w:r>
          </w:p>
        </w:tc>
        <w:tc>
          <w:tcPr>
            <w:tcW w:w="7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(8,929)</w:t>
            </w:r>
          </w:p>
        </w:tc>
      </w:tr>
      <w:tr>
        <w:trPr>
          <w:trHeight w:val="27"/>
        </w:trPr>
        <w:tc>
          <w:tcPr>
            <w:tcW w:w="9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w:t>
            </w: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55,135</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following is a reconciliation of net loss as reported to consolidated adjusted EBITDA for the years ended December 31, 2019 and 2018 and each fiscal quarter of 2019 and 2018:</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458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0"/>
              </w:rPr>
              <w:t>December 31, 2019</w:t>
            </w:r>
          </w:p>
        </w:tc>
        <w:tc>
          <w:tcPr>
            <w:tcW w:w="12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(11,513)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(44,415)</w:t>
            </w: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Subtract out:</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Undistributed equity losses (earnings), net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43"/>
        </w:trPr>
        <w:tc>
          <w:tcPr>
            <w:tcW w:w="4580" w:type="dxa"/>
            <w:vAlign w:val="bottom"/>
          </w:tcPr>
          <w:p>
            <w:pPr>
              <w:ind w:left="34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1,109</w:t>
            </w:r>
          </w:p>
        </w:tc>
      </w:tr>
      <w:tr>
        <w:trPr>
          <w:trHeight w:val="243"/>
        </w:trPr>
        <w:tc>
          <w:tcPr>
            <w:tcW w:w="4580" w:type="dxa"/>
            <w:vAlign w:val="bottom"/>
          </w:tcPr>
          <w:p>
            <w:pPr>
              <w:ind w:left="6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20,378</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25,115</w:t>
            </w:r>
          </w:p>
        </w:tc>
      </w:tr>
      <w:tr>
        <w:trPr>
          <w:trHeight w:val="243"/>
        </w:trPr>
        <w:tc>
          <w:tcPr>
            <w:tcW w:w="4580" w:type="dxa"/>
            <w:vAlign w:val="bottom"/>
          </w:tcPr>
          <w:p>
            <w:pPr>
              <w:ind w:left="660"/>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9,748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33,242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42,990</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5,041</w:t>
            </w:r>
          </w:p>
        </w:tc>
      </w:tr>
      <w:tr>
        <w:trPr>
          <w:trHeight w:val="270"/>
        </w:trPr>
        <w:tc>
          <w:tcPr>
            <w:tcW w:w="4580" w:type="dxa"/>
            <w:vAlign w:val="bottom"/>
          </w:tcPr>
          <w:p>
            <w:pPr>
              <w:ind w:left="680"/>
              <w:spacing w:after="0"/>
              <w:rPr>
                <w:sz w:val="20"/>
                <w:szCs w:val="20"/>
                <w:color w:val="auto"/>
              </w:rPr>
            </w:pPr>
            <w:r>
              <w:rPr>
                <w:rFonts w:ascii="Arial" w:cs="Arial" w:eastAsia="Arial" w:hAnsi="Arial"/>
                <w:sz w:val="18"/>
                <w:szCs w:val="18"/>
                <w:color w:val="auto"/>
              </w:rPr>
              <w:t xml:space="preserve">SKU Rationalization </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8,500</w:t>
            </w:r>
          </w:p>
        </w:tc>
      </w:tr>
      <w:tr>
        <w:trPr>
          <w:trHeight w:val="250"/>
        </w:trPr>
        <w:tc>
          <w:tcPr>
            <w:tcW w:w="4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Acquisition and divestment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w:t>
            </w:r>
          </w:p>
        </w:tc>
      </w:tr>
      <w:tr>
        <w:trPr>
          <w:trHeight w:val="270"/>
        </w:trPr>
        <w:tc>
          <w:tcPr>
            <w:tcW w:w="4580" w:type="dxa"/>
            <w:vAlign w:val="bottom"/>
          </w:tcPr>
          <w:p>
            <w:pPr>
              <w:ind w:left="68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1,435</w:t>
            </w:r>
          </w:p>
        </w:tc>
      </w:tr>
      <w:tr>
        <w:trPr>
          <w:trHeight w:val="270"/>
        </w:trPr>
        <w:tc>
          <w:tcPr>
            <w:tcW w:w="45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Integration charges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1,263</w:t>
            </w:r>
          </w:p>
        </w:tc>
      </w:tr>
      <w:tr>
        <w:trPr>
          <w:trHeight w:val="270"/>
        </w:trPr>
        <w:tc>
          <w:tcPr>
            <w:tcW w:w="4580" w:type="dxa"/>
            <w:vAlign w:val="bottom"/>
          </w:tcPr>
          <w:p>
            <w:pPr>
              <w:ind w:left="680"/>
              <w:spacing w:after="0"/>
              <w:rPr>
                <w:sz w:val="20"/>
                <w:szCs w:val="20"/>
                <w:color w:val="auto"/>
              </w:rPr>
            </w:pPr>
            <w:r>
              <w:rPr>
                <w:rFonts w:ascii="Arial" w:cs="Arial" w:eastAsia="Arial" w:hAnsi="Arial"/>
                <w:sz w:val="18"/>
                <w:szCs w:val="18"/>
                <w:color w:val="auto"/>
              </w:rPr>
              <w:t xml:space="preserve">Warehouse relocation </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2,785</w:t>
            </w:r>
          </w:p>
        </w:tc>
      </w:tr>
      <w:tr>
        <w:trPr>
          <w:trHeight w:val="28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25,758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27,873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64,064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580" w:type="dxa"/>
            <w:vAlign w:val="bottom"/>
            <w:tcBorders>
              <w:bottom w:val="single" w:sz="8" w:color="CCEEFF"/>
            </w:tcBorders>
          </w:tcPr>
          <w:p>
            <w:pPr>
              <w:ind w:left="360"/>
              <w:spacing w:after="0" w:line="244" w:lineRule="exact"/>
              <w:rPr>
                <w:sz w:val="20"/>
                <w:szCs w:val="20"/>
                <w:color w:val="auto"/>
              </w:rPr>
            </w:pPr>
            <w:r>
              <w:rPr>
                <w:rFonts w:ascii="Arial" w:cs="Arial" w:eastAsia="Arial" w:hAnsi="Arial"/>
                <w:sz w:val="18"/>
                <w:szCs w:val="18"/>
                <w:color w:val="auto"/>
              </w:rPr>
              <w:t xml:space="preserve">Permitted non-recurring charge limitation </w:t>
            </w:r>
            <w:r>
              <w:rPr>
                <w:rFonts w:ascii="Arial" w:cs="Arial" w:eastAsia="Arial" w:hAnsi="Arial"/>
                <w:sz w:val="23"/>
                <w:szCs w:val="23"/>
                <w:color w:val="auto"/>
                <w:vertAlign w:val="superscript"/>
              </w:rPr>
              <w:t>(1)</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(8,929)</w:t>
            </w: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adjusted EBITDA</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55,135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 w:hanging="328"/>
        <w:spacing w:after="0" w:line="267" w:lineRule="auto"/>
        <w:tabs>
          <w:tab w:leader="none" w:pos="64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Permitted non-recurring charges include restructuring expenses, integration charges, warehouse relocation costs, and SKU Rationalization. These are permitted exclusions from the Company’s consolidated adjusted EBITDA, subject to limitations, pursuant to the Company’s Debt Agreements.</w:t>
      </w:r>
    </w:p>
    <w:p>
      <w:pPr>
        <w:spacing w:after="0" w:line="20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Consolidated adjusted EBITDA is a non-GAAP financial measure which is defined in the Company’s debt agreements. Consolidated adjusted EBITDA is defined as net income (loss), adjusted to exclude undistributed equity in (earnings) losses, income tax (benefit) provision, interest, depreciation and amortization, stock compensation expense, and other items detailed in the table above that are consistent with exclusions permitted by our debt agreements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444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1240" w:type="dxa"/>
            <w:vAlign w:val="bottom"/>
          </w:tcPr>
          <w:p>
            <w:pPr>
              <w:ind w:left="120"/>
              <w:spacing w:after="0"/>
              <w:rPr>
                <w:sz w:val="20"/>
                <w:szCs w:val="20"/>
                <w:color w:val="auto"/>
              </w:rPr>
            </w:pPr>
            <w:r>
              <w:rPr>
                <w:rFonts w:ascii="Arial" w:cs="Arial" w:eastAsia="Arial" w:hAnsi="Arial"/>
                <w:sz w:val="14"/>
                <w:szCs w:val="14"/>
                <w:b w:val="1"/>
                <w:bCs w:val="1"/>
                <w:color w:val="auto"/>
              </w:rPr>
              <w:t>March 31, 2018</w:t>
            </w: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1905</wp:posOffset>
            </wp:positionV>
            <wp:extent cx="42691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(in thousands)</w:t>
      </w:r>
    </w:p>
    <w:p>
      <w:pPr>
        <w:sectPr>
          <w:pgSz w:w="11900" w:h="16838" w:orient="portrait"/>
          <w:cols w:equalWidth="0" w:num="1">
            <w:col w:w="11180"/>
          </w:cols>
          <w:pgMar w:left="320" w:top="125" w:right="399" w:bottom="1440" w:gutter="0" w:footer="0" w:header="0"/>
        </w:sectPr>
      </w:pPr>
    </w:p>
    <w:p>
      <w:pPr>
        <w:spacing w:after="0" w:line="32"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8"/>
          <w:szCs w:val="18"/>
          <w:color w:val="auto"/>
        </w:rPr>
        <w:t>Net (loss) income as reported</w:t>
      </w:r>
      <w:r>
        <w:rPr>
          <w:sz w:val="20"/>
          <w:szCs w:val="20"/>
          <w:color w:val="auto"/>
        </w:rPr>
        <w:tab/>
      </w:r>
      <w:r>
        <w:rPr>
          <w:rFonts w:ascii="Arial" w:cs="Arial" w:eastAsia="Arial" w:hAnsi="Arial"/>
          <w:sz w:val="13"/>
          <w:szCs w:val="13"/>
          <w:color w:val="auto"/>
        </w:rPr>
        <w: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Subtract out:</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Undistributed equity (earnings), net</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 back:</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Income tax (benefit) provision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on early retirement of debt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net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of goodwill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compensation expense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Contingent consideration fair value adjustment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loss (gain) on foreign currency contracts</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Other permitted non-cash charges </w:t>
      </w:r>
      <w:r>
        <w:rPr>
          <w:rFonts w:ascii="Arial" w:cs="Arial" w:eastAsia="Arial" w:hAnsi="Arial"/>
          <w:sz w:val="23"/>
          <w:szCs w:val="23"/>
          <w:color w:val="auto"/>
          <w:vertAlign w:val="superscript"/>
        </w:rPr>
        <w:t>(1)</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 related expenses</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Restructuring expenses </w:t>
      </w:r>
      <w:r>
        <w:rPr>
          <w:rFonts w:ascii="Arial" w:cs="Arial" w:eastAsia="Arial" w:hAnsi="Arial"/>
          <w:sz w:val="23"/>
          <w:szCs w:val="23"/>
          <w:color w:val="auto"/>
          <w:vertAlign w:val="superscript"/>
        </w:rPr>
        <w:t>(2)</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Integration charges </w:t>
      </w:r>
      <w:r>
        <w:rPr>
          <w:rFonts w:ascii="Arial" w:cs="Arial" w:eastAsia="Arial" w:hAnsi="Arial"/>
          <w:sz w:val="23"/>
          <w:szCs w:val="23"/>
          <w:color w:val="auto"/>
          <w:vertAlign w:val="superscript"/>
        </w:rPr>
        <w:t>(2)</w:t>
      </w:r>
    </w:p>
    <w:p>
      <w:pPr>
        <w:ind w:left="680"/>
        <w:spacing w:after="0" w:line="213" w:lineRule="auto"/>
        <w:rPr>
          <w:sz w:val="20"/>
          <w:szCs w:val="20"/>
          <w:color w:val="auto"/>
        </w:rPr>
      </w:pPr>
      <w:r>
        <w:rPr>
          <w:rFonts w:ascii="Arial" w:cs="Arial" w:eastAsia="Arial" w:hAnsi="Arial"/>
          <w:sz w:val="18"/>
          <w:szCs w:val="18"/>
          <w:color w:val="auto"/>
        </w:rPr>
        <w:t xml:space="preserve">Warehouse relocation </w:t>
      </w:r>
      <w:r>
        <w:rPr>
          <w:rFonts w:ascii="Arial" w:cs="Arial" w:eastAsia="Arial" w:hAnsi="Arial"/>
          <w:sz w:val="23"/>
          <w:szCs w:val="23"/>
          <w:color w:val="auto"/>
          <w:vertAlign w:val="superscript"/>
        </w:rPr>
        <w:t>(2)</w:t>
      </w:r>
    </w:p>
    <w:p>
      <w:pPr>
        <w:ind w:left="680"/>
        <w:spacing w:after="0"/>
        <w:rPr>
          <w:sz w:val="20"/>
          <w:szCs w:val="20"/>
          <w:color w:val="auto"/>
        </w:rPr>
      </w:pPr>
      <w:r>
        <w:rPr>
          <w:rFonts w:ascii="Arial" w:cs="Arial" w:eastAsia="Arial" w:hAnsi="Arial"/>
          <w:sz w:val="18"/>
          <w:szCs w:val="18"/>
          <w:color w:val="auto"/>
        </w:rPr>
        <w:t xml:space="preserve">Pro forma Filament adjustment </w:t>
      </w:r>
      <w:r>
        <w:rPr>
          <w:rFonts w:ascii="Arial" w:cs="Arial" w:eastAsia="Arial" w:hAnsi="Arial"/>
          <w:sz w:val="23"/>
          <w:szCs w:val="23"/>
          <w:color w:val="auto"/>
          <w:vertAlign w:val="superscript"/>
        </w:rPr>
        <w:t>(3)</w:t>
      </w:r>
    </w:p>
    <w:p>
      <w:pPr>
        <w:ind w:left="680"/>
        <w:spacing w:after="0" w:line="236" w:lineRule="auto"/>
        <w:rPr>
          <w:sz w:val="20"/>
          <w:szCs w:val="20"/>
          <w:color w:val="auto"/>
        </w:rPr>
      </w:pPr>
      <w:r>
        <w:rPr>
          <w:rFonts w:ascii="Arial" w:cs="Arial" w:eastAsia="Arial" w:hAnsi="Arial"/>
          <w:sz w:val="18"/>
          <w:szCs w:val="18"/>
          <w:color w:val="auto"/>
        </w:rPr>
        <w:t xml:space="preserve">Projected synergies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30"/>
              <w:spacing w:after="0"/>
              <w:rPr>
                <w:sz w:val="20"/>
                <w:szCs w:val="20"/>
                <w:color w:val="auto"/>
              </w:rPr>
            </w:pPr>
            <w:r>
              <w:rPr>
                <w:rFonts w:ascii="Arial" w:cs="Arial" w:eastAsia="Arial" w:hAnsi="Arial"/>
                <w:sz w:val="18"/>
                <w:szCs w:val="18"/>
                <w:color w:val="auto"/>
                <w:w w:val="89"/>
              </w:rPr>
              <w:t>(11,598)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(6,057)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5,948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9,987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54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540"/>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(3,810)</w:t>
            </w:r>
          </w:p>
        </w:tc>
        <w:tc>
          <w:tcPr>
            <w:tcW w:w="34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(1,765)</w:t>
            </w:r>
          </w:p>
        </w:tc>
        <w:tc>
          <w:tcPr>
            <w:tcW w:w="5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906</w:t>
            </w:r>
          </w:p>
        </w:tc>
        <w:tc>
          <w:tcPr>
            <w:tcW w:w="5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7,558</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2,889</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2,103</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4,676</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5,634</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5,591</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18,004</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4,309</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6,422</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6,076</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6,522</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23,329</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2,205</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2,205</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838</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921</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1,268</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1,108</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4,135</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(1,774)</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5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5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(1,942)</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916</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307</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391</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523</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395</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552</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971</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433</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2,384</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3,326</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3,326</w:t>
            </w:r>
          </w:p>
        </w:tc>
      </w:tr>
      <w:tr>
        <w:trPr>
          <w:trHeight w:val="27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-3239770</wp:posOffset>
            </wp:positionV>
            <wp:extent cx="70808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-2896870</wp:posOffset>
            </wp:positionV>
            <wp:extent cx="708088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-2553970</wp:posOffset>
            </wp:positionV>
            <wp:extent cx="70808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-2211070</wp:posOffset>
            </wp:positionV>
            <wp:extent cx="708088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-1868170</wp:posOffset>
            </wp:positionV>
            <wp:extent cx="708088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-1525270</wp:posOffset>
            </wp:positionV>
            <wp:extent cx="708088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-1182370</wp:posOffset>
            </wp:positionV>
            <wp:extent cx="70808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-839470</wp:posOffset>
            </wp:positionV>
            <wp:extent cx="70808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-496570</wp:posOffset>
            </wp:positionV>
            <wp:extent cx="70808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0885" cy="17145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-153670</wp:posOffset>
            </wp:positionV>
            <wp:extent cx="70808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540" w:space="360"/>
            <w:col w:w="6280"/>
          </w:cols>
          <w:pgMar w:left="320" w:top="125" w:right="39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22,722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30,876</w:t>
            </w:r>
          </w:p>
        </w:tc>
        <w:tc>
          <w:tcPr>
            <w:tcW w:w="12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65,525</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37"/>
        </w:trPr>
        <w:tc>
          <w:tcPr>
            <w:tcW w:w="444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Permitted non-recurring charge limitation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Consolidated adjusted EBITDA</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64,920</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80" w:hanging="492"/>
        <w:spacing w:after="0" w:line="238" w:lineRule="auto"/>
        <w:tabs>
          <w:tab w:leader="none" w:pos="48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Other permitted non-cash charges include a non-cash purchase accounting adjustment to step-up the fair value of acquired inventory, a permitted exclusion from the Company’s consolidated adjusted EBITDA, pursuant to the Company’s Debt Agreements.</w:t>
      </w:r>
    </w:p>
    <w:p>
      <w:pPr>
        <w:spacing w:after="0" w:line="1" w:lineRule="exact"/>
        <w:rPr>
          <w:rFonts w:ascii="Arial" w:cs="Arial" w:eastAsia="Arial" w:hAnsi="Arial"/>
          <w:sz w:val="22"/>
          <w:szCs w:val="22"/>
          <w:color w:val="auto"/>
          <w:vertAlign w:val="superscript"/>
        </w:rPr>
      </w:pPr>
    </w:p>
    <w:p>
      <w:pPr>
        <w:ind w:left="500" w:right="120" w:hanging="492"/>
        <w:spacing w:after="0" w:line="229" w:lineRule="auto"/>
        <w:tabs>
          <w:tab w:leader="none" w:pos="48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Permitted non-recurring charges include restructuring expenses, integration charges, warehouse relocation costs, transition expenses and severance expense. These are permitted exclusions from the Company’s consolidated adjusted EBITDA, subject to limitations, pursuant to the Company’s Debt Agreements.</w:t>
      </w:r>
    </w:p>
    <w:p>
      <w:pPr>
        <w:ind w:left="500" w:right="140" w:hanging="492"/>
        <w:spacing w:after="0" w:line="219" w:lineRule="auto"/>
        <w:tabs>
          <w:tab w:leader="none" w:pos="48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Pro forma Filament adjustment represents a permitted adjustment to the Company’s consolidated adjusted EBITDA for the acquisition of Filament on March 2, 2018 pursuant to the Company’s Debt Agreements.</w:t>
      </w:r>
    </w:p>
    <w:p>
      <w:pPr>
        <w:spacing w:after="0" w:line="1" w:lineRule="exact"/>
        <w:rPr>
          <w:rFonts w:ascii="Arial" w:cs="Arial" w:eastAsia="Arial" w:hAnsi="Arial"/>
          <w:sz w:val="23"/>
          <w:szCs w:val="23"/>
          <w:color w:val="auto"/>
          <w:vertAlign w:val="superscript"/>
        </w:rPr>
      </w:pPr>
    </w:p>
    <w:p>
      <w:pPr>
        <w:ind w:left="500" w:hanging="492"/>
        <w:spacing w:after="0" w:line="267" w:lineRule="auto"/>
        <w:tabs>
          <w:tab w:leader="none" w:pos="48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Pro forma projected synergies represents the amount of projected cost savings, operating expense reductions, restructuring charges and expenses and cost saving synergies projected by the Company as a result of actions taken through December 31, 2018 or expected to be taken as of December 31, 2018, net of the benefits realized during the twelve months ended December 31, 2018. Pro forma projected synergies is a permitted exclusion from the Company’s consolidated adjusted EBITDA, subject to limitations, pursuant to the Company’s Debt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Capital expenditures for the year ended December 31, 2019 were $9.2 million mainly attributable to the warehouse consolidation efforts related to the International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is a party to interest rate swap agreements, with an aggregate notional value of $100.0 million at December 31, 2019. The Company designated these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additional interest rate swap agreements, with an aggregate notional value of $25.0 million at December 31, 2019. These non-designated interest rate swaps</w:t>
      </w:r>
    </w:p>
    <w:p>
      <w:pPr>
        <w:sectPr>
          <w:pgSz w:w="11900" w:h="16838" w:orient="portrait"/>
          <w:cols w:equalWidth="0" w:num="1">
            <w:col w:w="11180"/>
          </w:cols>
          <w:pgMar w:left="320" w:top="125" w:right="39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serve as cash flow hedges of the Company’s exposure to the variability of the payment of interest on a portion of its Term Loan borrowings and expire in February 2025. The Company's net total outstanding notional value of interest rate swaps was $125.0 million at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2019, the Company does not have any foreign currency forward contract derivatives that are not designated as hedges. These foreign exchange contracts have been designated as hedges in to order to apply hedge accounting. No contracts were outstanding at December 31, 2018.</w:t>
      </w:r>
    </w:p>
    <w:p>
      <w:pPr>
        <w:spacing w:after="0" w:line="1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2019 was $7.3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declared in 2019 and 2018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Dividend per share</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 of record</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Payment date</w:t>
            </w:r>
          </w:p>
        </w:tc>
      </w:tr>
      <w:tr>
        <w:trPr>
          <w:trHeight w:val="24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8, 2018</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15, 2018</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June 28, 2018</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1, 2018</w:t>
            </w:r>
          </w:p>
        </w:tc>
        <w:tc>
          <w:tcPr>
            <w:tcW w:w="2540" w:type="dxa"/>
            <w:vAlign w:val="bottom"/>
          </w:tcPr>
          <w:p>
            <w:pPr>
              <w:ind w:left="20"/>
              <w:spacing w:after="0"/>
              <w:rPr>
                <w:sz w:val="20"/>
                <w:szCs w:val="20"/>
                <w:color w:val="auto"/>
              </w:rPr>
            </w:pPr>
            <w:r>
              <w:rPr>
                <w:rFonts w:ascii="Arial" w:cs="Arial" w:eastAsia="Arial" w:hAnsi="Arial"/>
                <w:sz w:val="18"/>
                <w:szCs w:val="18"/>
                <w:color w:val="auto"/>
              </w:rPr>
              <w:t>August 15, 2018</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31, 2018</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2018</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2018</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November 7, 2018</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February 1, 2019</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15, 2019</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12, 2019</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2019</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15, 2019</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June 27, 2019</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c>
          <w:tcPr>
            <w:tcW w:w="2540" w:type="dxa"/>
            <w:vAlign w:val="bottom"/>
          </w:tcPr>
          <w:p>
            <w:pPr>
              <w:ind w:left="20"/>
              <w:spacing w:after="0"/>
              <w:rPr>
                <w:sz w:val="20"/>
                <w:szCs w:val="20"/>
                <w:color w:val="auto"/>
              </w:rPr>
            </w:pPr>
            <w:r>
              <w:rPr>
                <w:rFonts w:ascii="Arial" w:cs="Arial" w:eastAsia="Arial" w:hAnsi="Arial"/>
                <w:sz w:val="18"/>
                <w:szCs w:val="18"/>
                <w:color w:val="auto"/>
              </w:rPr>
              <w:t>August 15, 2019</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2019</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2019</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November 7, 2019</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January 31, 2020</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14, 2020</w:t>
            </w: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10, 2020, the Board of Directors declared a quarterly dividend of $0.0425 per share payable on May 15, 2020 to shareholders of record on May 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provided by operating activities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operating activities was $29.9 million in 2019 compared to $19.2 million in 2018 and $17.0 million in 2017. The change from 2019 compared to 2018 was primarily attributable to timing of collections related to the Company's accounts receivables. The increase in 2018 as compared to 2017, is attributable to a decrease in payments of accounts payable and accrued expenses and an increase in collection of receivables, partially offset by an increase in inventory purchases.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investing activities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was $9.2 million in 2019 compared to $224.2 million in 2018 and $15.4 million in 2017. The 2019 investing activity includes the capital expenditures incurred as a result of the warehouse integration efforts of the International business. The 2018 investing activity includes the cash consideration paid for the acquisition of Filament and capital expenditures related to the Company’s relocation of its west coast distribution facility.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provided by</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provided by financing activities was $(16.9) million in 2019 compared to $205.3 million in 2018 and $(2.3) million in 2017. In 2019, the Company utilized cash generated in the latter part of the year to repay a portion of its outstanding debt related to its Term Loan and credit facility. In 2018, the change in financing activities was attributable to the new Debt Agreements entered into in order to finance the acquisition of Filament in 2018.</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Company’s contractual obligations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Payment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17,876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72,912</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9,895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260,293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216,471</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Interest on debt</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92,612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16,387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29,377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royalty payments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Post retirement benefits</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559,616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53,340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92,565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104,485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309,226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Market risk represents the risk of loss that may impact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spacing w:after="0" w:line="1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functional currency is the U.S. dollar. The Company has foreign operations through its acquisitions, investments and strategic alliances in the U.K., Mexico, Canada, Hong Kong and China; therefore, the Company is subject to increases and decreases in its investments resulting from the impact of fluctuations in foreign currency exchange rates. Additional transactions exposing the Company to exchange rate risk include sales, certain inventory purchases and operating expenses. Through its subsidiaries, portions of the Company’s cash, trade accounts receivable and trade accounts payable are denominated in foreign currencies. For the year ended December 31, 2019, approximately 11% of the Company’s net sales revenue was in foreign currencies, compared to 12% for the year ended December 31, 2018. These sales were primarily denominated in U.K. pounds, Euros and Canadian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approximately $4.2 million increase in SG&amp;A expenses.</w:t>
      </w:r>
    </w:p>
    <w:p>
      <w:pPr>
        <w:spacing w:after="0" w:line="16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2019 was $7.3 million. These foreign exchange contracts have been designated as hedges in to order to apply hedge accounting. No contracts were outstanding at December 31, 2018.</w:t>
      </w:r>
    </w:p>
    <w:p>
      <w:pPr>
        <w:spacing w:after="0" w:line="30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ABL Agreement and Term Loan bear interest at variable rates. The Credit Agreement provides for interest rates linked to one of the LIBOR, the Prime Rate or the Federal Funds Rate; therefore, the Company is subject to increases and decreases in interest expense resulting from fluctuations in interest rates. The Company entered into interest rate swap agreement in April 2018 to manage interest rate exposure in connection with its variable interest rate borrowings with an aggregate notional value of $100.0 million at December 31, 2019. In June 2019, the Company entered into additional interest rate swap agreements, with an aggregate notional value of $25.0 million at December 31, 2019. As of December 31, 2019, approximately $178.0 million of the Company’s debt carries a variable rate of interest, as compared to $190.0 million at December 31, 2018. The remainder of the debt at December 31, 2019 (approximately $125.0 million) carries a fixed rate of interest through the use of interest rate swaps. A hypothetical and instantaneous 100 basis point increase in the Company’s variable interest rates would increase interest expense by approximately $3.0 million over a twelve month period. The sensitivity analysis above assumes interest rate changes are instantaneous and parallel shifts in the yield curve.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enter into derivative financial instruments for trading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consolidated financial statements as of and for the year ended December 31, 2019 in Item 15 commencing on page F-1 are incorporated herein by reference.</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tables set forth certain unaudited consolidated quarterly statement of operations data for the eight quarters ended December 31, 2019. This information is unaudited, but in the opinion of management, it has been prepared substantially on the same basis as the audited consolidated financial statements appearing elsewhere in this Annual Report on Form 10-K and all necessary adjustments, consisting only of normal recurring adjustments, have been included in the amounts stated below to present fairly the unaudited consolidated quarterly results of operations. The consolidated quarterly data should be read in conjunction with the Company’s audited consolidated financial statements and the Notes to such statements appearing elsewhere in this Annual Report. The results of operations for any quarter are not necessarily indicative of the results of operations for any future period: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15"/>
              <w:spacing w:after="0"/>
              <w:rPr>
                <w:sz w:val="20"/>
                <w:szCs w:val="20"/>
                <w:color w:val="auto"/>
              </w:rPr>
            </w:pPr>
            <w:r>
              <w:rPr>
                <w:rFonts w:ascii="Arial" w:cs="Arial" w:eastAsia="Arial" w:hAnsi="Arial"/>
                <w:sz w:val="14"/>
                <w:szCs w:val="14"/>
                <w:b w:val="1"/>
                <w:bCs w:val="1"/>
                <w:color w:val="auto"/>
                <w:w w:val="92"/>
              </w:rPr>
              <w:t>Year ended December 31, 2019</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First</w:t>
            </w:r>
          </w:p>
        </w:tc>
        <w:tc>
          <w:tcPr>
            <w:tcW w:w="280" w:type="dxa"/>
            <w:vAlign w:val="bottom"/>
          </w:tcPr>
          <w:p>
            <w:pPr>
              <w:spacing w:after="0"/>
              <w:rPr>
                <w:sz w:val="13"/>
                <w:szCs w:val="13"/>
                <w:color w:val="auto"/>
              </w:rPr>
            </w:pPr>
          </w:p>
        </w:tc>
        <w:tc>
          <w:tcPr>
            <w:tcW w:w="106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3"/>
                <w:szCs w:val="13"/>
                <w:color w:val="auto"/>
              </w:rPr>
            </w:pPr>
          </w:p>
        </w:tc>
        <w:tc>
          <w:tcPr>
            <w:tcW w:w="100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3"/>
                <w:szCs w:val="13"/>
                <w:color w:val="auto"/>
              </w:rPr>
            </w:pPr>
          </w:p>
        </w:tc>
        <w:tc>
          <w:tcPr>
            <w:tcW w:w="100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Fourth</w:t>
            </w:r>
          </w:p>
        </w:tc>
      </w:tr>
      <w:tr>
        <w:trPr>
          <w:trHeight w:val="192"/>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quarter</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9"/>
              </w:rPr>
              <w:t>quarter</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center"/>
              <w:ind w:right="115"/>
              <w:spacing w:after="0"/>
              <w:rPr>
                <w:sz w:val="20"/>
                <w:szCs w:val="20"/>
                <w:color w:val="auto"/>
              </w:rPr>
            </w:pPr>
            <w:r>
              <w:rPr>
                <w:rFonts w:ascii="Arial" w:cs="Arial" w:eastAsia="Arial" w:hAnsi="Arial"/>
                <w:sz w:val="14"/>
                <w:szCs w:val="14"/>
                <w:color w:val="auto"/>
                <w:w w:val="90"/>
              </w:rPr>
              <w:t>(in thousands, except per share data)</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149,926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142,536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215,502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226,938</w:t>
            </w: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54,321</w:t>
            </w:r>
          </w:p>
        </w:tc>
        <w:tc>
          <w:tcPr>
            <w:tcW w:w="28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44,019</w:t>
            </w:r>
          </w:p>
        </w:tc>
        <w:tc>
          <w:tcPr>
            <w:tcW w:w="3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72,941</w:t>
            </w:r>
          </w:p>
        </w:tc>
        <w:tc>
          <w:tcPr>
            <w:tcW w:w="3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83,910</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(2,287)</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(12,545)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6,929</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(15,492)</w:t>
            </w: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(11,513)</w:t>
            </w: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(13,519)</w:t>
            </w:r>
          </w:p>
        </w:tc>
        <w:tc>
          <w:tcPr>
            <w:tcW w:w="3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(14,516)</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(0.24)</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(0.70)</w:t>
            </w:r>
          </w:p>
        </w:tc>
      </w:tr>
      <w:tr>
        <w:trPr>
          <w:trHeight w:val="243"/>
        </w:trPr>
        <w:tc>
          <w:tcPr>
            <w:tcW w:w="20" w:type="dxa"/>
            <w:vAlign w:val="bottom"/>
          </w:tcPr>
          <w:p>
            <w:pPr>
              <w:spacing w:after="0"/>
              <w:rPr>
                <w:sz w:val="21"/>
                <w:szCs w:val="21"/>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(0.56)</w:t>
            </w: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(0.66)</w:t>
            </w:r>
          </w:p>
        </w:tc>
        <w:tc>
          <w:tcPr>
            <w:tcW w:w="3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(0.70)</w:t>
            </w:r>
          </w:p>
        </w:tc>
      </w:tr>
      <w:tr>
        <w:trPr>
          <w:trHeight w:val="601"/>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14"/>
                <w:szCs w:val="14"/>
                <w:b w:val="1"/>
                <w:bCs w:val="1"/>
                <w:color w:val="auto"/>
                <w:w w:val="91"/>
              </w:rPr>
              <w:t>Year ended December 31, 2018</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3"/>
                <w:szCs w:val="13"/>
                <w:color w:val="auto"/>
              </w:rPr>
            </w:pPr>
          </w:p>
        </w:tc>
        <w:tc>
          <w:tcPr>
            <w:tcW w:w="106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3"/>
                <w:szCs w:val="13"/>
                <w:color w:val="auto"/>
              </w:rPr>
            </w:pPr>
          </w:p>
        </w:tc>
        <w:tc>
          <w:tcPr>
            <w:tcW w:w="10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3"/>
                <w:szCs w:val="13"/>
                <w:color w:val="auto"/>
              </w:rPr>
            </w:pPr>
          </w:p>
        </w:tc>
        <w:tc>
          <w:tcPr>
            <w:tcW w:w="100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Fourth</w:t>
            </w:r>
          </w:p>
        </w:tc>
      </w:tr>
      <w:tr>
        <w:trPr>
          <w:trHeight w:val="192"/>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quarter</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quarter</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center"/>
              <w:ind w:right="75"/>
              <w:spacing w:after="0"/>
              <w:rPr>
                <w:sz w:val="20"/>
                <w:szCs w:val="20"/>
                <w:color w:val="auto"/>
              </w:rPr>
            </w:pPr>
            <w:r>
              <w:rPr>
                <w:rFonts w:ascii="Arial" w:cs="Arial" w:eastAsia="Arial" w:hAnsi="Arial"/>
                <w:sz w:val="14"/>
                <w:szCs w:val="14"/>
                <w:color w:val="auto"/>
                <w:w w:val="90"/>
              </w:rPr>
              <w:t>(in thousands, except per share data)</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118,169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148,651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209,448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228,274</w:t>
            </w:r>
          </w:p>
        </w:tc>
      </w:tr>
      <w:tr>
        <w:trPr>
          <w:trHeight w:val="243"/>
        </w:trPr>
        <w:tc>
          <w:tcPr>
            <w:tcW w:w="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45,087</w:t>
            </w:r>
          </w:p>
        </w:tc>
        <w:tc>
          <w:tcPr>
            <w:tcW w:w="28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52,078</w:t>
            </w:r>
          </w:p>
        </w:tc>
        <w:tc>
          <w:tcPr>
            <w:tcW w:w="3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73,785</w:t>
            </w:r>
          </w:p>
        </w:tc>
        <w:tc>
          <w:tcPr>
            <w:tcW w:w="34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84,807</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(13,316)</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12,303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22,893</w:t>
            </w:r>
          </w:p>
        </w:tc>
      </w:tr>
      <w:tr>
        <w:trPr>
          <w:trHeight w:val="243"/>
        </w:trPr>
        <w:tc>
          <w:tcPr>
            <w:tcW w:w="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(11,598)</w:t>
            </w:r>
          </w:p>
        </w:tc>
        <w:tc>
          <w:tcPr>
            <w:tcW w:w="2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(6,057)</w:t>
            </w:r>
          </w:p>
        </w:tc>
        <w:tc>
          <w:tcPr>
            <w:tcW w:w="3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5,948</w:t>
            </w:r>
          </w:p>
        </w:tc>
        <w:tc>
          <w:tcPr>
            <w:tcW w:w="34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9,987</w:t>
            </w: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income per common share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(0.70)</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0.29</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0.49</w:t>
            </w:r>
          </w:p>
        </w:tc>
      </w:tr>
      <w:tr>
        <w:trPr>
          <w:trHeight w:val="243"/>
        </w:trPr>
        <w:tc>
          <w:tcPr>
            <w:tcW w:w="2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Diluted (loss) income per common share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(0.30)</w:t>
            </w:r>
          </w:p>
        </w:tc>
        <w:tc>
          <w:tcPr>
            <w:tcW w:w="3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The Chief Executive Officer and the Chief Financial Officer of the Company (its principal executive officer and principal financial officer, respectively) have concluded, based on their evaluation as of December 31, 2019,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such reports is accumulated and communicated to the Company’s management, including the Chief Executive Officer and Chief Financial Officer of the Company, as appropriate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Management of the Company is responsible for establishing and maintaining effective internal control over financial reporting and for performing an assessment of the effectiveness of internal control over financial reporting as of December 31, 2019.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includes those policies and procedures that:</w:t>
      </w:r>
    </w:p>
    <w:p>
      <w:pPr>
        <w:spacing w:after="0" w:line="239" w:lineRule="exact"/>
        <w:rPr>
          <w:sz w:val="20"/>
          <w:szCs w:val="20"/>
          <w:color w:val="auto"/>
        </w:rPr>
      </w:pPr>
    </w:p>
    <w:p>
      <w:pPr>
        <w:ind w:left="660" w:right="80" w:hanging="4"/>
        <w:spacing w:after="0" w:line="261" w:lineRule="auto"/>
        <w:tabs>
          <w:tab w:leader="none" w:pos="7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ind w:left="660" w:right="280" w:hanging="4"/>
        <w:spacing w:after="0" w:line="248" w:lineRule="auto"/>
        <w:tabs>
          <w:tab w:leader="none" w:pos="7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208" w:lineRule="exact"/>
        <w:rPr>
          <w:rFonts w:ascii="Arial" w:cs="Arial" w:eastAsia="Arial" w:hAnsi="Arial"/>
          <w:sz w:val="18"/>
          <w:szCs w:val="18"/>
          <w:color w:val="auto"/>
        </w:rPr>
      </w:pPr>
    </w:p>
    <w:p>
      <w:pPr>
        <w:ind w:left="660" w:right="160" w:hanging="4"/>
        <w:spacing w:after="0" w:line="261" w:lineRule="auto"/>
        <w:tabs>
          <w:tab w:leader="none" w:pos="7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spacing w:after="0" w:line="182"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Management performed an assessment of the effectiveness of the Company’s internal control over financial reporting as of December 31, 2019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2019 is effective.</w:t>
      </w:r>
    </w:p>
    <w:p>
      <w:pPr>
        <w:spacing w:after="0" w:line="21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Ernst &amp; Young LLP, an independent registered public accounting firm, as stated in their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We have audited Lifetime Brands, Inc.’s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Lifetime Brands, Inc. and subsidiaries (the Company) maintained, in all material respects, effective internal control over financial reporting as of December 31, 2019, based on the COSO criteria.</w:t>
      </w:r>
    </w:p>
    <w:p>
      <w:pPr>
        <w:spacing w:after="0" w:line="215" w:lineRule="exact"/>
        <w:rPr>
          <w:sz w:val="20"/>
          <w:szCs w:val="20"/>
          <w:color w:val="auto"/>
        </w:rPr>
      </w:pPr>
    </w:p>
    <w:p>
      <w:pPr>
        <w:ind w:right="780"/>
        <w:spacing w:after="0" w:line="29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2019 consolidated financial statements of the Company and our report dated March 13, 2020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under these items is contained in the Company’s 2020 Proxy Statement, which will be filed with the SEC within 120 days after the close of the Company’s fiscal year covered by this Annual Report on Form 10-K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Financial Statements and Financial Statement Schedule on page F-1.</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b w:val="1"/>
                <w:bCs w:val="1"/>
                <w:color w:val="auto"/>
                <w:w w:val="88"/>
              </w:rPr>
              <w:t>No.</w:t>
            </w:r>
          </w:p>
        </w:tc>
        <w:tc>
          <w:tcPr>
            <w:tcW w:w="8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680" w:type="dxa"/>
            <w:vAlign w:val="bottom"/>
            <w:gridSpan w:val="5"/>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8"/>
                <w:szCs w:val="18"/>
                <w:color w:val="auto"/>
              </w:rPr>
              <w:t>2.1</w:t>
            </w:r>
          </w:p>
        </w:tc>
        <w:tc>
          <w:tcPr>
            <w:tcW w:w="9840" w:type="dxa"/>
            <w:vAlign w:val="bottom"/>
            <w:tcBorders>
              <w:bottom w:val="single" w:sz="8" w:color="0000FF"/>
            </w:tcBorders>
            <w:gridSpan w:val="5"/>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Agreement and Plan of Merger, dated as of December 22, 2017, by and among the Company, TPP Acquisition I Corp., TPP Acquisition</w:t>
              </w:r>
            </w:hyperlink>
          </w:p>
        </w:tc>
        <w:tc>
          <w:tcPr>
            <w:tcW w:w="20" w:type="dxa"/>
            <w:vAlign w:val="bottom"/>
          </w:tcPr>
          <w:p>
            <w:pPr>
              <w:spacing w:after="0"/>
              <w:rPr>
                <w:sz w:val="22"/>
                <w:szCs w:val="22"/>
                <w:color w:val="auto"/>
              </w:rPr>
            </w:pPr>
          </w:p>
        </w:tc>
      </w:tr>
      <w:tr>
        <w:trPr>
          <w:trHeight w:val="156"/>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40" w:type="dxa"/>
            <w:vAlign w:val="bottom"/>
            <w:gridSpan w:val="5"/>
          </w:tcPr>
          <w:p>
            <w:pPr>
              <w:spacing w:after="0" w:line="15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II LLC, Taylor Parent, LLC, Taylor Holdco, LLC, and CP Taylor GP, LLC. (incorporated by reference to Exhibit 2.1 to the Company’s</w:t>
              </w:r>
            </w:hyperlink>
          </w:p>
        </w:tc>
        <w:tc>
          <w:tcPr>
            <w:tcW w:w="20" w:type="dxa"/>
            <w:vAlign w:val="bottom"/>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7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Current Report on Form 8-K filed on December 29, 2017)</w:t>
              </w:r>
            </w:hyperlink>
          </w:p>
        </w:tc>
        <w:tc>
          <w:tcPr>
            <w:tcW w:w="140" w:type="dxa"/>
            <w:vAlign w:val="bottom"/>
            <w:gridSpan w:val="2"/>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020"/>
          </w:cols>
          <w:pgMar w:left="320" w:top="125" w:right="55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br w:type="column"/>
      </w:r>
    </w:p>
    <w:p>
      <w:pPr>
        <w:ind w:right="120"/>
        <w:spacing w:after="0" w:line="235"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Second Restated Certificate of Incorporation of the Company (incorporated by reference to Exhibit 3.2 to the Company’s Annual Report</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on Form 10-K for the year ended December 31, 2005)</w:t>
        </w:r>
      </w:hyperlink>
    </w:p>
    <w:p>
      <w:pPr>
        <w:spacing w:after="0" w:line="54" w:lineRule="exact"/>
        <w:rPr>
          <w:sz w:val="20"/>
          <w:szCs w:val="20"/>
          <w:color w:val="auto"/>
        </w:rPr>
      </w:pPr>
    </w:p>
    <w:p>
      <w:pPr>
        <w:ind w:right="100"/>
        <w:spacing w:after="0" w:line="219"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Certificate of Amendment to Second Restated Certificate of Incorporation of Lifetime Certificate of Amendment to Second Restated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Certificate of Incorporation of Lifetime Brands, Inc. (incorporated by reference to Exhibit 3.1 to the Company’s Current Report on Form</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8-K filed June 10, 2016), Inc. (incorporated by reference to Exhibit 3.1 to the Company’s Current Report on Form 8-K filed June 10,</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2016)</w:t>
        </w:r>
      </w:hyperlink>
    </w:p>
    <w:p>
      <w:pPr>
        <w:spacing w:after="0" w:line="55" w:lineRule="exact"/>
        <w:rPr>
          <w:rFonts w:ascii="Arial" w:cs="Arial" w:eastAsia="Arial" w:hAnsi="Arial"/>
          <w:sz w:val="18"/>
          <w:szCs w:val="18"/>
          <w:u w:val="single" w:color="auto"/>
          <w:color w:val="0000FF"/>
        </w:rPr>
      </w:pPr>
    </w:p>
    <w:p>
      <w:pPr>
        <w:ind w:right="80"/>
        <w:spacing w:after="0" w:line="235"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Amended and Restated By-Laws of the Company (incorporated by reference to Exhibit 3.1 to the Company’s Current Report on Form 8-</w:t>
        </w:r>
      </w:hyperlink>
      <w:hyperlink r:id="rId85">
        <w:r>
          <w:rPr>
            <w:rFonts w:ascii="Arial" w:cs="Arial" w:eastAsia="Arial" w:hAnsi="Arial"/>
            <w:sz w:val="18"/>
            <w:szCs w:val="18"/>
            <w:u w:val="single" w:color="auto"/>
            <w:color w:val="0000FF"/>
          </w:rPr>
          <w:t>K filed on December 8, 2016)</w:t>
        </w:r>
      </w:hyperlink>
    </w:p>
    <w:p>
      <w:pPr>
        <w:spacing w:after="0" w:line="17" w:lineRule="exact"/>
        <w:rPr>
          <w:sz w:val="20"/>
          <w:szCs w:val="20"/>
          <w:color w:val="auto"/>
        </w:rPr>
      </w:pPr>
    </w:p>
    <w:p>
      <w:pPr>
        <w:sectPr>
          <w:pgSz w:w="11900" w:h="16838" w:orient="portrait"/>
          <w:cols w:equalWidth="0" w:num="2">
            <w:col w:w="360" w:space="720"/>
            <w:col w:w="9940"/>
          </w:cols>
          <w:pgMar w:left="320" w:top="125" w:right="5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87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Description of the Company’s securities registered under Section 12 of the Securities Exchange Act of 1934, as amended</w:t>
              </w:r>
            </w:hyperlink>
          </w:p>
        </w:tc>
        <w:tc>
          <w:tcPr>
            <w:tcW w:w="1140" w:type="dxa"/>
            <w:vAlign w:val="bottom"/>
            <w:gridSpan w:val="8"/>
          </w:tcPr>
          <w:p>
            <w:pPr>
              <w:spacing w:after="0"/>
              <w:rPr>
                <w:sz w:val="19"/>
                <w:szCs w:val="19"/>
                <w:color w:val="auto"/>
              </w:rPr>
            </w:pPr>
          </w:p>
        </w:tc>
      </w:tr>
      <w:tr>
        <w:trPr>
          <w:trHeight w:val="384"/>
        </w:trPr>
        <w:tc>
          <w:tcPr>
            <w:tcW w:w="106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gridSpan w:val="10"/>
          </w:tcPr>
          <w:p>
            <w:pPr>
              <w:spacing w:after="0"/>
              <w:rPr>
                <w:sz w:val="20"/>
                <w:szCs w:val="20"/>
                <w:color w:val="auto"/>
              </w:rPr>
            </w:pPr>
            <w:r>
              <w:rPr>
                <w:rFonts w:ascii="Arial" w:cs="Arial" w:eastAsia="Arial" w:hAnsi="Arial"/>
                <w:sz w:val="18"/>
                <w:szCs w:val="18"/>
                <w:color w:val="auto"/>
                <w:w w:val="90"/>
              </w:rPr>
              <w:t>License Agreement dated December 14, 1989 between the Company and Farberware, Inc. (incorporated by reference to the Company’s</w:t>
            </w:r>
          </w:p>
        </w:tc>
      </w:tr>
      <w:tr>
        <w:trPr>
          <w:trHeight w:val="230"/>
        </w:trPr>
        <w:tc>
          <w:tcPr>
            <w:tcW w:w="1060" w:type="dxa"/>
            <w:vAlign w:val="bottom"/>
          </w:tcPr>
          <w:p>
            <w:pPr>
              <w:spacing w:after="0"/>
              <w:rPr>
                <w:sz w:val="20"/>
                <w:szCs w:val="20"/>
                <w:color w:val="auto"/>
              </w:rPr>
            </w:pPr>
          </w:p>
        </w:tc>
        <w:tc>
          <w:tcPr>
            <w:tcW w:w="9860" w:type="dxa"/>
            <w:vAlign w:val="bottom"/>
            <w:gridSpan w:val="10"/>
          </w:tcPr>
          <w:p>
            <w:pPr>
              <w:spacing w:after="0"/>
              <w:rPr>
                <w:sz w:val="20"/>
                <w:szCs w:val="20"/>
                <w:color w:val="auto"/>
              </w:rPr>
            </w:pPr>
            <w:r>
              <w:rPr>
                <w:rFonts w:ascii="Arial" w:cs="Arial" w:eastAsia="Arial" w:hAnsi="Arial"/>
                <w:sz w:val="18"/>
                <w:szCs w:val="18"/>
                <w:color w:val="auto"/>
              </w:rPr>
              <w:t>registration statement No. 33-40154 on Form S-1)(P)</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10.2</w:t>
            </w:r>
          </w:p>
        </w:tc>
        <w:tc>
          <w:tcPr>
            <w:tcW w:w="9760" w:type="dxa"/>
            <w:vAlign w:val="bottom"/>
            <w:tcBorders>
              <w:bottom w:val="single" w:sz="8" w:color="0000FF"/>
            </w:tcBorders>
            <w:gridSpan w:val="7"/>
          </w:tcPr>
          <w:p>
            <w:pPr>
              <w:spacing w:after="0"/>
              <w:rPr>
                <w:rFonts w:ascii="Arial" w:cs="Arial" w:eastAsia="Arial" w:hAnsi="Arial"/>
                <w:sz w:val="18"/>
                <w:szCs w:val="18"/>
                <w:color w:val="0000FF"/>
                <w:w w:val="89"/>
              </w:rPr>
            </w:pPr>
            <w:hyperlink r:id="rId86">
              <w:r>
                <w:rPr>
                  <w:rFonts w:ascii="Arial" w:cs="Arial" w:eastAsia="Arial" w:hAnsi="Arial"/>
                  <w:sz w:val="18"/>
                  <w:szCs w:val="18"/>
                  <w:color w:val="0000FF"/>
                  <w:w w:val="89"/>
                </w:rPr>
                <w:t>Fourth Amended and Restated Employment Agreement, dated as of June 27, 2019, between the Company and Jeffrey Fourth Amended</w:t>
              </w:r>
            </w:hyperlink>
          </w:p>
        </w:tc>
        <w:tc>
          <w:tcPr>
            <w:tcW w:w="100" w:type="dxa"/>
            <w:vAlign w:val="bottom"/>
            <w:gridSpan w:val="3"/>
          </w:tcPr>
          <w:p>
            <w:pPr>
              <w:spacing w:after="0"/>
              <w:rPr>
                <w:sz w:val="23"/>
                <w:szCs w:val="23"/>
                <w:color w:val="auto"/>
              </w:rPr>
            </w:pPr>
          </w:p>
        </w:tc>
      </w:tr>
      <w:tr>
        <w:trPr>
          <w:trHeight w:val="155"/>
        </w:trPr>
        <w:tc>
          <w:tcPr>
            <w:tcW w:w="1060" w:type="dxa"/>
            <w:vAlign w:val="bottom"/>
          </w:tcPr>
          <w:p>
            <w:pPr>
              <w:spacing w:after="0"/>
              <w:rPr>
                <w:sz w:val="13"/>
                <w:szCs w:val="13"/>
                <w:color w:val="auto"/>
              </w:rPr>
            </w:pPr>
          </w:p>
        </w:tc>
        <w:tc>
          <w:tcPr>
            <w:tcW w:w="9860" w:type="dxa"/>
            <w:vAlign w:val="bottom"/>
            <w:gridSpan w:val="10"/>
          </w:tcPr>
          <w:p>
            <w:pPr>
              <w:spacing w:after="0" w:line="15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and Restated Employment Agreement, dated as of June 27, 2019, between the Company and Jeffrey Siegel (incorporated by reference to</w:t>
              </w:r>
            </w:hyperlink>
          </w:p>
        </w:tc>
      </w:tr>
      <w:tr>
        <w:trPr>
          <w:trHeight w:val="155"/>
        </w:trPr>
        <w:tc>
          <w:tcPr>
            <w:tcW w:w="106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Exhibit 10.1 to the Company’s Current Report on Form 8-K filed June 28, 2019)* (incorporated by reference to Exhibit 10.1 to the</w:t>
              </w:r>
            </w:hyperlink>
          </w:p>
        </w:tc>
        <w:tc>
          <w:tcPr>
            <w:tcW w:w="20" w:type="dxa"/>
            <w:vAlign w:val="bottom"/>
          </w:tcPr>
          <w:p>
            <w:pPr>
              <w:spacing w:after="0"/>
              <w:rPr>
                <w:sz w:val="13"/>
                <w:szCs w:val="13"/>
                <w:color w:val="auto"/>
              </w:rPr>
            </w:pPr>
          </w:p>
        </w:tc>
      </w:tr>
      <w:tr>
        <w:trPr>
          <w:trHeight w:val="155"/>
        </w:trPr>
        <w:tc>
          <w:tcPr>
            <w:tcW w:w="1060" w:type="dxa"/>
            <w:vAlign w:val="bottom"/>
          </w:tcPr>
          <w:p>
            <w:pPr>
              <w:spacing w:after="0"/>
              <w:rPr>
                <w:sz w:val="13"/>
                <w:szCs w:val="13"/>
                <w:color w:val="auto"/>
              </w:rPr>
            </w:pPr>
          </w:p>
        </w:tc>
        <w:tc>
          <w:tcPr>
            <w:tcW w:w="94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Company’s Current Report on Form 8-K filed June 28, 2019)*</w:t>
              </w:r>
            </w:hyperlink>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gridSpan w:val="10"/>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First Amendment to the Fourth Amended and Restated Employment Agreement, dated as of October 11, 2019, between the Company</w:t>
              </w:r>
            </w:hyperlink>
          </w:p>
        </w:tc>
      </w:tr>
      <w:tr>
        <w:trPr>
          <w:trHeight w:val="183"/>
        </w:trPr>
        <w:tc>
          <w:tcPr>
            <w:tcW w:w="1060" w:type="dxa"/>
            <w:vAlign w:val="bottom"/>
          </w:tcPr>
          <w:p>
            <w:pPr>
              <w:spacing w:after="0"/>
              <w:rPr>
                <w:sz w:val="15"/>
                <w:szCs w:val="15"/>
                <w:color w:val="auto"/>
              </w:rPr>
            </w:pPr>
          </w:p>
        </w:tc>
        <w:tc>
          <w:tcPr>
            <w:tcW w:w="93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and Jeffrey Siegel (First Amendment to the Fourth Amended and Restated Employment Agreement, dated as of October 11, 2019,</w:t>
              </w:r>
            </w:hyperlink>
          </w:p>
        </w:tc>
        <w:tc>
          <w:tcPr>
            <w:tcW w:w="260" w:type="dxa"/>
            <w:vAlign w:val="bottom"/>
            <w:tcBorders>
              <w:top w:val="single" w:sz="8" w:color="0000FF"/>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9860" w:type="dxa"/>
            <w:vAlign w:val="bottom"/>
            <w:gridSpan w:val="10"/>
          </w:tcPr>
          <w:p>
            <w:pPr>
              <w:spacing w:after="0" w:line="182"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between the Company and Jeffrey Siegel (incorporated by reference to Exhibit 10.6 to the Company’s Current Report on Form 8-K filed</w:t>
              </w:r>
            </w:hyperlink>
          </w:p>
        </w:tc>
      </w:tr>
      <w:tr>
        <w:trPr>
          <w:trHeight w:val="183"/>
        </w:trPr>
        <w:tc>
          <w:tcPr>
            <w:tcW w:w="106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October 15, 2019)* by reference to Exhibit 10.6 to the Company’s Current Report on Form 8-K filed October 15, 2019)*</w:t>
              </w:r>
            </w:hyperlink>
          </w:p>
        </w:tc>
        <w:tc>
          <w:tcPr>
            <w:tcW w:w="110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90"/>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0"/>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Lease Agreement, dated as of May 10, 2006, between AG Metropolitan Endo, L.L.C and the Company for the property located at 1000</w:t>
              </w:r>
            </w:hyperlink>
          </w:p>
        </w:tc>
      </w:tr>
      <w:tr>
        <w:trPr>
          <w:trHeight w:val="183"/>
        </w:trPr>
        <w:tc>
          <w:tcPr>
            <w:tcW w:w="106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Stewart Lease Agreement, dated as of May 10, 2006, between AG Metropolitan Endo, L.L.C and the Company for the property located</w:t>
              </w:r>
            </w:hyperlink>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9760" w:type="dxa"/>
            <w:vAlign w:val="bottom"/>
            <w:tcBorders>
              <w:bottom w:val="single" w:sz="8" w:color="0000FF"/>
            </w:tcBorders>
            <w:gridSpan w:val="7"/>
          </w:tcPr>
          <w:p>
            <w:pPr>
              <w:spacing w:after="0" w:line="182"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at 1000 Stewart Avenue in Garden City, New York (incorporated by reference to Exhibit 99.1 to the Company’s Current Report on Form</w:t>
              </w:r>
            </w:hyperlink>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bl>
    <w:p>
      <w:pPr>
        <w:ind w:left="1080"/>
        <w:spacing w:after="0"/>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8-K filed May 15, 2006) in Garden City, New York (incorporated by reference to Exhibit 99.1 to the Company’s Current Report on Form</w:t>
        </w:r>
      </w:hyperlink>
    </w:p>
    <w:p>
      <w:pPr>
        <w:spacing w:after="0" w:line="34" w:lineRule="exact"/>
        <w:rPr>
          <w:sz w:val="20"/>
          <w:szCs w:val="20"/>
          <w:color w:val="auto"/>
        </w:rPr>
      </w:pPr>
    </w:p>
    <w:p>
      <w:pPr>
        <w:ind w:left="1080"/>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8-K filed May 15, 2006)</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tcPr>
          <w:p>
            <w:pPr>
              <w:spacing w:after="0"/>
              <w:rPr>
                <w:sz w:val="20"/>
                <w:szCs w:val="20"/>
                <w:color w:val="auto"/>
              </w:rPr>
            </w:pPr>
            <w:r>
              <w:rPr>
                <w:rFonts w:ascii="Arial" w:cs="Arial" w:eastAsia="Arial" w:hAnsi="Arial"/>
                <w:sz w:val="18"/>
                <w:szCs w:val="18"/>
                <w:color w:val="auto"/>
              </w:rPr>
              <w:t>10.5</w:t>
            </w:r>
          </w:p>
        </w:tc>
        <w:tc>
          <w:tcPr>
            <w:tcW w:w="9980" w:type="dxa"/>
            <w:vAlign w:val="bottom"/>
            <w:gridSpan w:val="39"/>
          </w:tcPr>
          <w:p>
            <w:pPr>
              <w:spacing w:after="0"/>
              <w:rPr>
                <w:rFonts w:ascii="Arial" w:cs="Arial" w:eastAsia="Arial" w:hAnsi="Arial"/>
                <w:sz w:val="18"/>
                <w:szCs w:val="18"/>
                <w:color w:val="0000FF"/>
                <w:w w:val="93"/>
              </w:rPr>
            </w:pPr>
            <w:hyperlink r:id="rId89">
              <w:r>
                <w:rPr>
                  <w:rFonts w:ascii="Arial" w:cs="Arial" w:eastAsia="Arial" w:hAnsi="Arial"/>
                  <w:sz w:val="18"/>
                  <w:szCs w:val="18"/>
                  <w:color w:val="0000FF"/>
                  <w:w w:val="93"/>
                </w:rPr>
                <w:t>First Amendment to the Lease Agreement, dated as of September 26, 2006, between AG Metropolitan Endo, L.L.C and the Company</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for the property located at 1000 Stewart Avenue in Garden City, New York (incorporated by reference to Exhibit 10.1 to the Company’s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5400" w:type="dxa"/>
            <w:vAlign w:val="bottom"/>
            <w:tcBorders>
              <w:bottom w:val="single" w:sz="8" w:color="0000FF"/>
            </w:tcBorders>
            <w:gridSpan w:val="8"/>
          </w:tcPr>
          <w:p>
            <w:pPr>
              <w:spacing w:after="0" w:line="15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Quarterly Report on Form 10-Q for the quarter ended September 30, 2006)</w:t>
              </w:r>
            </w:hyperlink>
          </w:p>
        </w:tc>
        <w:tc>
          <w:tcPr>
            <w:tcW w:w="44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8"/>
                <w:szCs w:val="18"/>
                <w:color w:val="auto"/>
              </w:rPr>
              <w:t>10.6</w:t>
            </w:r>
          </w:p>
        </w:tc>
        <w:tc>
          <w:tcPr>
            <w:tcW w:w="9980" w:type="dxa"/>
            <w:vAlign w:val="bottom"/>
            <w:gridSpan w:val="39"/>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Amended and Restated 2000 Long-Term Incentive Plan, dated June 28, 2018 (incorporated by reference to Exhibit 10.1 to the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Company’s Current Report on Form 8-K filed June 29, 2018)*</w:t>
              </w:r>
            </w:hyperlink>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8"/>
                <w:szCs w:val="18"/>
                <w:color w:val="auto"/>
              </w:rPr>
              <w:t>10.7</w:t>
            </w:r>
          </w:p>
        </w:tc>
        <w:tc>
          <w:tcPr>
            <w:tcW w:w="9940" w:type="dxa"/>
            <w:vAlign w:val="bottom"/>
            <w:tcBorders>
              <w:bottom w:val="single" w:sz="8" w:color="0000FF"/>
            </w:tcBorders>
            <w:gridSpan w:val="37"/>
          </w:tcPr>
          <w:p>
            <w:pPr>
              <w:spacing w:after="0"/>
              <w:rPr>
                <w:rFonts w:ascii="Arial" w:cs="Arial" w:eastAsia="Arial" w:hAnsi="Arial"/>
                <w:sz w:val="18"/>
                <w:szCs w:val="18"/>
                <w:color w:val="0000FF"/>
                <w:w w:val="91"/>
              </w:rPr>
            </w:pPr>
            <w:hyperlink r:id="rId91">
              <w:r>
                <w:rPr>
                  <w:rFonts w:ascii="Arial" w:cs="Arial" w:eastAsia="Arial" w:hAnsi="Arial"/>
                  <w:sz w:val="18"/>
                  <w:szCs w:val="18"/>
                  <w:color w:val="0000FF"/>
                  <w:w w:val="91"/>
                </w:rPr>
                <w:t>Form of Restricted Stock Award Agreement under the Amended and Restated 2000 Long-term Incentive Plan (incorporated by reference</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40" w:type="dxa"/>
            <w:vAlign w:val="bottom"/>
            <w:gridSpan w:val="37"/>
          </w:tcPr>
          <w:p>
            <w:pPr>
              <w:spacing w:after="0" w:line="169"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Form of Restricted Stock Award Agreement under the Amended and Restated 2000 Long-term Incentive Plan (incorporated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20" w:type="dxa"/>
            <w:vAlign w:val="bottom"/>
            <w:tcBorders>
              <w:top w:val="single" w:sz="8" w:color="0000FF"/>
            </w:tcBorders>
            <w:gridSpan w:val="36"/>
          </w:tcPr>
          <w:p>
            <w:pPr>
              <w:spacing w:after="0" w:line="169" w:lineRule="exact"/>
              <w:rPr>
                <w:rFonts w:ascii="Arial" w:cs="Arial" w:eastAsia="Arial" w:hAnsi="Arial"/>
                <w:sz w:val="18"/>
                <w:szCs w:val="18"/>
                <w:color w:val="0000FF"/>
                <w:w w:val="94"/>
              </w:rPr>
            </w:pPr>
            <w:hyperlink r:id="rId91">
              <w:r>
                <w:rPr>
                  <w:rFonts w:ascii="Arial" w:cs="Arial" w:eastAsia="Arial" w:hAnsi="Arial"/>
                  <w:sz w:val="18"/>
                  <w:szCs w:val="18"/>
                  <w:color w:val="0000FF"/>
                  <w:w w:val="94"/>
                </w:rPr>
                <w:t>to Exhibit 10.1 to the Company’s Quarterly Report on Form 10-Q filed August 10, 2015)* 10.1 to the Company’s Quarterly Report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68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91">
              <w:r>
                <w:rPr>
                  <w:rFonts w:ascii="Arial" w:cs="Arial" w:eastAsia="Arial" w:hAnsi="Arial"/>
                  <w:sz w:val="18"/>
                  <w:szCs w:val="18"/>
                  <w:color w:val="0000FF"/>
                </w:rPr>
                <w:t>Form 10-Q filed August 10,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10.8</w:t>
            </w:r>
          </w:p>
        </w:tc>
        <w:tc>
          <w:tcPr>
            <w:tcW w:w="9980" w:type="dxa"/>
            <w:vAlign w:val="bottom"/>
            <w:gridSpan w:val="39"/>
          </w:tcPr>
          <w:p>
            <w:pPr>
              <w:spacing w:after="0"/>
              <w:rPr>
                <w:rFonts w:ascii="Arial" w:cs="Arial" w:eastAsia="Arial" w:hAnsi="Arial"/>
                <w:sz w:val="18"/>
                <w:szCs w:val="18"/>
                <w:color w:val="0000FF"/>
                <w:w w:val="92"/>
              </w:rPr>
            </w:pPr>
            <w:hyperlink r:id="rId92">
              <w:r>
                <w:rPr>
                  <w:rFonts w:ascii="Arial" w:cs="Arial" w:eastAsia="Arial" w:hAnsi="Arial"/>
                  <w:sz w:val="18"/>
                  <w:szCs w:val="18"/>
                  <w:color w:val="0000FF"/>
                  <w:w w:val="92"/>
                </w:rPr>
                <w:t>Form of Form of Deferred Stock (Performance-Vesting) Award Agreement under the Amended and Restated 2000 Long-term Incentive</w:t>
              </w:r>
            </w:hyperlink>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980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Plan (incorporated by reference to Exhibit 10.2 to the Company’s Quarterly Report on Form 10-Q filed August 10, 2015)* Stock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980" w:type="dxa"/>
            <w:vAlign w:val="bottom"/>
            <w:gridSpan w:val="39"/>
          </w:tcPr>
          <w:p>
            <w:pPr>
              <w:spacing w:after="0" w:line="15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(Performance-Vesting) Award Agreement under the Amended and Restated 2000 Long-term Incentive Plan (incorporated by reference to</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Exhibit 10.2 to the Company’s Quarterly Report on Form 10-Q filed August 10, 2015)*</w:t>
              </w:r>
            </w:hyperlink>
          </w:p>
        </w:tc>
        <w:tc>
          <w:tcPr>
            <w:tcW w:w="36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8"/>
                <w:szCs w:val="18"/>
                <w:color w:val="auto"/>
              </w:rPr>
              <w:t>10.9</w:t>
            </w:r>
          </w:p>
        </w:tc>
        <w:tc>
          <w:tcPr>
            <w:tcW w:w="9600" w:type="dxa"/>
            <w:vAlign w:val="bottom"/>
            <w:tcBorders>
              <w:bottom w:val="single" w:sz="8" w:color="0000FF"/>
            </w:tcBorders>
            <w:gridSpan w:val="20"/>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Amended and Restated 2000 Incentive Bonus Compensation Plan, effective as of June 22, 2017 (incorporated by reference to Exhibit</w:t>
              </w:r>
            </w:hyperlink>
          </w:p>
        </w:tc>
        <w:tc>
          <w:tcPr>
            <w:tcW w:w="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532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June 23, 2017)*</w:t>
              </w:r>
            </w:hyperlink>
          </w:p>
        </w:tc>
        <w:tc>
          <w:tcPr>
            <w:tcW w:w="4280" w:type="dxa"/>
            <w:vAlign w:val="bottom"/>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10.10</w:t>
            </w:r>
          </w:p>
        </w:tc>
        <w:tc>
          <w:tcPr>
            <w:tcW w:w="9980" w:type="dxa"/>
            <w:vAlign w:val="bottom"/>
            <w:gridSpan w:val="39"/>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Amended and Restated Employment Agreement, dated September 10, 2015, between the Company and Laurence Winoker (Amended</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660" w:type="dxa"/>
            <w:vAlign w:val="bottom"/>
            <w:tcBorders>
              <w:top w:val="single" w:sz="8" w:color="0000FF"/>
            </w:tcBorders>
            <w:gridSpan w:val="23"/>
          </w:tcPr>
          <w:p>
            <w:pPr>
              <w:spacing w:after="0" w:line="169"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and Restated Employment Agreement, dated September 10, 2015, between the Company and Laurence Winoker (incorporated by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340" w:type="dxa"/>
            <w:vAlign w:val="bottom"/>
            <w:tcBorders>
              <w:top w:val="single" w:sz="8" w:color="0000FF"/>
            </w:tcBorders>
            <w:gridSpan w:val="15"/>
          </w:tcPr>
          <w:p>
            <w:pPr>
              <w:spacing w:after="0" w:line="169"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reference to Exhibit 10.1 to the Company’s Current Report on Form 8-K filed September 16, 2015)* by reference to Exhibit 10.1</w:t>
              </w:r>
            </w:hyperlink>
          </w:p>
        </w:tc>
        <w:tc>
          <w:tcPr>
            <w:tcW w:w="640" w:type="dxa"/>
            <w:vAlign w:val="bottom"/>
            <w:gridSpan w:val="24"/>
          </w:tcPr>
          <w:p>
            <w:pPr>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to the</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6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Company’s Current Report on Form 8-K filed September 16, 2015)*</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80" w:type="dxa"/>
            <w:vAlign w:val="bottom"/>
            <w:gridSpan w:val="3"/>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10.11</w:t>
            </w:r>
          </w:p>
        </w:tc>
        <w:tc>
          <w:tcPr>
            <w:tcW w:w="9480" w:type="dxa"/>
            <w:vAlign w:val="bottom"/>
            <w:tcBorders>
              <w:bottom w:val="single" w:sz="8" w:color="0000FF"/>
            </w:tcBorders>
            <w:gridSpan w:val="17"/>
          </w:tcPr>
          <w:p>
            <w:pPr>
              <w:spacing w:after="0"/>
              <w:rPr>
                <w:rFonts w:ascii="Arial" w:cs="Arial" w:eastAsia="Arial" w:hAnsi="Arial"/>
                <w:sz w:val="18"/>
                <w:szCs w:val="18"/>
                <w:color w:val="0000FF"/>
                <w:w w:val="89"/>
              </w:rPr>
            </w:pPr>
            <w:hyperlink r:id="rId95">
              <w:r>
                <w:rPr>
                  <w:rFonts w:ascii="Arial" w:cs="Arial" w:eastAsia="Arial" w:hAnsi="Arial"/>
                  <w:sz w:val="18"/>
                  <w:szCs w:val="18"/>
                  <w:color w:val="0000FF"/>
                  <w:w w:val="89"/>
                </w:rPr>
                <w:t>Amendment to the Amended and Restated Employment Agreement, dated November 8, 2017, between the Company and Laurence</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80" w:type="dxa"/>
            <w:vAlign w:val="bottom"/>
            <w:gridSpan w:val="39"/>
          </w:tcPr>
          <w:p>
            <w:pPr>
              <w:spacing w:after="0" w:line="169" w:lineRule="exact"/>
              <w:rPr>
                <w:rFonts w:ascii="Arial" w:cs="Arial" w:eastAsia="Arial" w:hAnsi="Arial"/>
                <w:sz w:val="18"/>
                <w:szCs w:val="18"/>
                <w:color w:val="0000FF"/>
                <w:w w:val="93"/>
              </w:rPr>
            </w:pPr>
            <w:hyperlink r:id="rId95">
              <w:r>
                <w:rPr>
                  <w:rFonts w:ascii="Arial" w:cs="Arial" w:eastAsia="Arial" w:hAnsi="Arial"/>
                  <w:sz w:val="18"/>
                  <w:szCs w:val="18"/>
                  <w:color w:val="0000FF"/>
                  <w:w w:val="93"/>
                </w:rPr>
                <w:t>Winoker (incorporated by reference to Exhibit 10.3 to the Company’s Quarterly Report on Form 10-Q for the quarter ended September</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7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30, 2017)*</w:t>
              </w:r>
            </w:hyperlink>
          </w:p>
        </w:tc>
        <w:tc>
          <w:tcPr>
            <w:tcW w:w="28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1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FF"/>
            </w:tcBorders>
            <w:gridSpan w:val="33"/>
          </w:tcPr>
          <w:p>
            <w:pPr>
              <w:spacing w:after="0"/>
              <w:rPr>
                <w:rFonts w:ascii="Arial" w:cs="Arial" w:eastAsia="Arial" w:hAnsi="Arial"/>
                <w:sz w:val="18"/>
                <w:szCs w:val="18"/>
                <w:color w:val="0000FF"/>
                <w:w w:val="89"/>
              </w:rPr>
            </w:pPr>
            <w:hyperlink r:id="rId96">
              <w:r>
                <w:rPr>
                  <w:rFonts w:ascii="Arial" w:cs="Arial" w:eastAsia="Arial" w:hAnsi="Arial"/>
                  <w:sz w:val="18"/>
                  <w:szCs w:val="18"/>
                  <w:color w:val="0000FF"/>
                  <w:w w:val="89"/>
                </w:rPr>
                <w:t>Second Amendment Second Amendment to the Amended and Restated Employment Agreement, dated as of October 11, 2019, between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860" w:type="dxa"/>
            <w:vAlign w:val="bottom"/>
            <w:gridSpan w:val="33"/>
          </w:tcPr>
          <w:p>
            <w:pPr>
              <w:spacing w:after="0" w:line="169"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the Company and Laurence Winoker (incorporated by reference to Exhibit 10.4 to the Company’s Current Report on Form 8-K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20" w:type="dxa"/>
            <w:vAlign w:val="bottom"/>
            <w:tcBorders>
              <w:top w:val="single" w:sz="8" w:color="0000FF"/>
            </w:tcBorders>
            <w:gridSpan w:val="18"/>
          </w:tcPr>
          <w:p>
            <w:pPr>
              <w:spacing w:after="0" w:line="169"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October 15, 2019)* the Amended and Restated Employment Agreement, dated as of October 11, 2019, between the Company and</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74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700" w:type="dxa"/>
            <w:vAlign w:val="bottom"/>
            <w:tcBorders>
              <w:bottom w:val="single" w:sz="8" w:color="0000FF"/>
            </w:tcBorders>
            <w:gridSpan w:val="25"/>
          </w:tcPr>
          <w:p>
            <w:pPr>
              <w:spacing w:after="0" w:line="169"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Laurence Winoker (incorporated by reference to Exhibit 10.4 to the Company’s Current Report on Form 8-K filed October 15, 2019)*</w:t>
              </w:r>
            </w:hyperlink>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9980" w:type="dxa"/>
            <w:vAlign w:val="bottom"/>
            <w:gridSpan w:val="39"/>
          </w:tcPr>
          <w:p>
            <w:pPr>
              <w:spacing w:after="0"/>
              <w:rPr>
                <w:rFonts w:ascii="Arial" w:cs="Arial" w:eastAsia="Arial" w:hAnsi="Arial"/>
                <w:sz w:val="18"/>
                <w:szCs w:val="18"/>
                <w:color w:val="0000FF"/>
                <w:w w:val="92"/>
              </w:rPr>
            </w:pPr>
            <w:hyperlink r:id="rId97">
              <w:r>
                <w:rPr>
                  <w:rFonts w:ascii="Arial" w:cs="Arial" w:eastAsia="Arial" w:hAnsi="Arial"/>
                  <w:sz w:val="18"/>
                  <w:szCs w:val="18"/>
                  <w:color w:val="0000FF"/>
                  <w:w w:val="92"/>
                </w:rPr>
                <w:t>Shares Subscription Agreement by and among the Company, Ekco, S.A.B. and Mr. José Ramón Elizondo Anaya and Mr. Miguel Ángel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80" w:type="dxa"/>
            <w:vAlign w:val="bottom"/>
            <w:tcBorders>
              <w:top w:val="single" w:sz="8" w:color="0000FF"/>
            </w:tcBorders>
            <w:gridSpan w:val="29"/>
          </w:tcPr>
          <w:p>
            <w:pPr>
              <w:spacing w:after="0" w:line="169"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Huerta Pando, dated as of June 8, 2007 (incorporated by reference to Exhibit 99.1 to the Company’s Current Report on Form 8-K filed</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June 11, 2007)</w:t>
              </w:r>
            </w:hyperlink>
          </w:p>
        </w:tc>
        <w:tc>
          <w:tcPr>
            <w:tcW w:w="864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9040" w:type="dxa"/>
            <w:vAlign w:val="bottom"/>
            <w:tcBorders>
              <w:bottom w:val="single" w:sz="8" w:color="0000FF"/>
            </w:tcBorders>
            <w:gridSpan w:val="11"/>
          </w:tcPr>
          <w:p>
            <w:pPr>
              <w:spacing w:after="0"/>
              <w:rPr>
                <w:rFonts w:ascii="Arial" w:cs="Arial" w:eastAsia="Arial" w:hAnsi="Arial"/>
                <w:sz w:val="18"/>
                <w:szCs w:val="18"/>
                <w:color w:val="0000FF"/>
                <w:w w:val="89"/>
              </w:rPr>
            </w:pPr>
            <w:hyperlink r:id="rId98">
              <w:r>
                <w:rPr>
                  <w:rFonts w:ascii="Arial" w:cs="Arial" w:eastAsia="Arial" w:hAnsi="Arial"/>
                  <w:sz w:val="18"/>
                  <w:szCs w:val="18"/>
                  <w:color w:val="0000FF"/>
                  <w:w w:val="89"/>
                </w:rPr>
                <w:t>Amendment No. 1 dated September 5, 2007 to the Shares Subscription Agreement by and among the Company, Ekco, S.A.B.</w:t>
              </w:r>
            </w:hyperlink>
          </w:p>
        </w:tc>
        <w:tc>
          <w:tcPr>
            <w:tcW w:w="940" w:type="dxa"/>
            <w:vAlign w:val="bottom"/>
            <w:gridSpan w:val="28"/>
            <w:vMerge w:val="restart"/>
          </w:tcPr>
          <w:p>
            <w:pPr>
              <w:ind w:left="40"/>
              <w:spacing w:after="0"/>
              <w:rPr>
                <w:rFonts w:ascii="Arial" w:cs="Arial" w:eastAsia="Arial" w:hAnsi="Arial"/>
                <w:sz w:val="18"/>
                <w:szCs w:val="18"/>
                <w:color w:val="0000FF"/>
              </w:rPr>
            </w:pPr>
            <w:hyperlink r:id="rId98">
              <w:r>
                <w:rPr>
                  <w:rFonts w:ascii="Arial" w:cs="Arial" w:eastAsia="Arial" w:hAnsi="Arial"/>
                  <w:sz w:val="18"/>
                  <w:szCs w:val="18"/>
                  <w:color w:val="0000FF"/>
                </w:rPr>
                <w:t>and Mr.</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040" w:type="dxa"/>
            <w:vAlign w:val="bottom"/>
            <w:gridSpan w:val="11"/>
          </w:tcPr>
          <w:p>
            <w:pPr>
              <w:spacing w:after="0" w:line="169"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Amendment No. 1 dated September 5, 2007 to the Shares Subscription Agreement by and among the Company, Ekco, S.A.B.</w:t>
              </w:r>
            </w:hyperlink>
          </w:p>
        </w:tc>
        <w:tc>
          <w:tcPr>
            <w:tcW w:w="940" w:type="dxa"/>
            <w:vAlign w:val="bottom"/>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9980" w:type="dxa"/>
            <w:vAlign w:val="bottom"/>
            <w:gridSpan w:val="39"/>
          </w:tcPr>
          <w:p>
            <w:pPr>
              <w:spacing w:after="0" w:line="169"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José Ramón Elizondo Anaya and Mr. Miguel Ángel Huerta Pando (incorporated by reference to Exhibit 10.17 to the Company’s Annual</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00" w:type="dxa"/>
            <w:vAlign w:val="bottom"/>
            <w:tcBorders>
              <w:top w:val="single" w:sz="8" w:color="0000FF"/>
            </w:tcBorders>
            <w:gridSpan w:val="35"/>
          </w:tcPr>
          <w:p>
            <w:pPr>
              <w:spacing w:after="0" w:line="169" w:lineRule="exact"/>
              <w:rPr>
                <w:rFonts w:ascii="Arial" w:cs="Arial" w:eastAsia="Arial" w:hAnsi="Arial"/>
                <w:sz w:val="18"/>
                <w:szCs w:val="18"/>
                <w:color w:val="0000FF"/>
                <w:w w:val="94"/>
              </w:rPr>
            </w:pPr>
            <w:hyperlink r:id="rId98">
              <w:r>
                <w:rPr>
                  <w:rFonts w:ascii="Arial" w:cs="Arial" w:eastAsia="Arial" w:hAnsi="Arial"/>
                  <w:sz w:val="18"/>
                  <w:szCs w:val="18"/>
                  <w:color w:val="0000FF"/>
                  <w:w w:val="94"/>
                </w:rPr>
                <w:t>Report on Form 10-K for the year ended December 31, 2008) Mr. José Ramón Elizondo Anaya and Mr. Miguel Ángel Huerta Pando</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540" w:type="dxa"/>
            <w:vAlign w:val="bottom"/>
            <w:tcBorders>
              <w:top w:val="single" w:sz="8" w:color="0000FF"/>
            </w:tcBorders>
            <w:gridSpan w:val="19"/>
          </w:tcPr>
          <w:p>
            <w:pPr>
              <w:spacing w:after="0" w:line="169"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(incorporated by reference to Exhibit 10.17 to the Company’s Annual Report on Form 10-K for the year ended December 31, 2008)</w:t>
              </w:r>
            </w:hyperlink>
          </w:p>
        </w:tc>
        <w:tc>
          <w:tcPr>
            <w:tcW w:w="10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9980" w:type="dxa"/>
            <w:vAlign w:val="bottom"/>
            <w:gridSpan w:val="39"/>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Amendment No. 2 dated September 25, 2008 to the Amendment No. 2 dated September 25, 2008 to the Shares Subscription Agreement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840" w:type="dxa"/>
            <w:vAlign w:val="bottom"/>
            <w:tcBorders>
              <w:top w:val="single" w:sz="8" w:color="0000FF"/>
            </w:tcBorders>
            <w:gridSpan w:val="32"/>
          </w:tcPr>
          <w:p>
            <w:pPr>
              <w:spacing w:after="0" w:line="169"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by and among the Company, Ekco, S.A.B. and Mr. José Ramón Elizondo Anaya and Mr. Miguel Ángel Huerta Pando (incorporated by</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26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reference to Exhibit 10.21 to the Company’s Annual Report on Form 10-K for the year ended December 31, 2008) Subscription</w:t>
              </w:r>
            </w:hyperlink>
          </w:p>
        </w:tc>
        <w:tc>
          <w:tcPr>
            <w:tcW w:w="4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320" w:type="dxa"/>
            <w:vAlign w:val="bottom"/>
            <w:tcBorders>
              <w:bottom w:val="single" w:sz="8" w:color="0000FF"/>
            </w:tcBorders>
            <w:gridSpan w:val="14"/>
          </w:tcPr>
          <w:p>
            <w:pPr>
              <w:spacing w:after="0" w:line="169"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Agreement by and among the Company, Ekco, S.A.B. and Mr. José Ramón Elizondo Anaya and Mr. Miguel Ángel Huerta Pando</w:t>
              </w:r>
            </w:hyperlink>
          </w:p>
        </w:tc>
        <w:tc>
          <w:tcPr>
            <w:tcW w:w="66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980" w:type="dxa"/>
            <w:vAlign w:val="bottom"/>
            <w:gridSpan w:val="39"/>
          </w:tcPr>
          <w:p>
            <w:pPr>
              <w:spacing w:after="0" w:line="169"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(incorporated by reference to Exhibit 10.21 to the Company’s Annual Report on Form 10-K for the year ended December 31, 2008)</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68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tcBorders>
              <w:bottom w:val="single" w:sz="8" w:color="0000FF"/>
            </w:tcBorders>
            <w:gridSpan w:val="34"/>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Asset Asset Purchase Agreement between Mikasa, Inc. and the Company, dated as of June 6, 2008 (incorporated by reference to Exhibit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880" w:type="dxa"/>
            <w:vAlign w:val="bottom"/>
            <w:gridSpan w:val="34"/>
          </w:tcPr>
          <w:p>
            <w:pPr>
              <w:spacing w:after="0" w:line="169" w:lineRule="exact"/>
              <w:rPr>
                <w:rFonts w:ascii="Arial" w:cs="Arial" w:eastAsia="Arial" w:hAnsi="Arial"/>
                <w:sz w:val="18"/>
                <w:szCs w:val="18"/>
                <w:color w:val="0000FF"/>
                <w:w w:val="90"/>
              </w:rPr>
            </w:pPr>
            <w:hyperlink r:id="rId100">
              <w:r>
                <w:rPr>
                  <w:rFonts w:ascii="Arial" w:cs="Arial" w:eastAsia="Arial" w:hAnsi="Arial"/>
                  <w:sz w:val="18"/>
                  <w:szCs w:val="18"/>
                  <w:color w:val="0000FF"/>
                  <w:w w:val="90"/>
                </w:rPr>
                <w:t>99.</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Company’s Form 10-Q for the quarter ended June 30, 2008) Agreement between Mikasa, Inc. and the Company, dated as of</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740" w:type="dxa"/>
            <w:vAlign w:val="bottom"/>
            <w:tcBorders>
              <w:top w:val="single" w:sz="8" w:color="0000FF"/>
            </w:tcBorders>
            <w:gridSpan w:val="27"/>
          </w:tcPr>
          <w:p>
            <w:pPr>
              <w:spacing w:after="0" w:line="169"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June 6, 2008 (incorporated by reference to Exhibit 99.1 to the Company’s Form 10-Q for the quarter ended June 30, 2008)</w:t>
              </w:r>
            </w:hyperlink>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380" w:type="dxa"/>
            <w:vAlign w:val="bottom"/>
            <w:gridSpan w:val="9"/>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9480" w:type="dxa"/>
            <w:vAlign w:val="bottom"/>
            <w:tcBorders>
              <w:bottom w:val="single" w:sz="8" w:color="0000FF"/>
            </w:tcBorders>
            <w:gridSpan w:val="17"/>
          </w:tcPr>
          <w:p>
            <w:pPr>
              <w:spacing w:after="0"/>
              <w:rPr>
                <w:rFonts w:ascii="Arial" w:cs="Arial" w:eastAsia="Arial" w:hAnsi="Arial"/>
                <w:sz w:val="18"/>
                <w:szCs w:val="18"/>
                <w:color w:val="0000FF"/>
                <w:w w:val="89"/>
              </w:rPr>
            </w:pPr>
            <w:hyperlink r:id="rId101">
              <w:r>
                <w:rPr>
                  <w:rFonts w:ascii="Arial" w:cs="Arial" w:eastAsia="Arial" w:hAnsi="Arial"/>
                  <w:sz w:val="18"/>
                  <w:szCs w:val="18"/>
                  <w:color w:val="0000FF"/>
                  <w:w w:val="89"/>
                </w:rPr>
                <w:t>Share Purchase Agreement, dated November 4, 2011, by and among the Company and Creative Tops Holding Limited and Creative</w:t>
              </w:r>
            </w:hyperlink>
          </w:p>
        </w:tc>
        <w:tc>
          <w:tcPr>
            <w:tcW w:w="160" w:type="dxa"/>
            <w:vAlign w:val="bottom"/>
            <w:gridSpan w:val="5"/>
          </w:tcPr>
          <w:p>
            <w:pPr>
              <w:spacing w:after="0"/>
              <w:rPr>
                <w:sz w:val="24"/>
                <w:szCs w:val="24"/>
                <w:color w:val="auto"/>
              </w:rPr>
            </w:pPr>
          </w:p>
        </w:tc>
        <w:tc>
          <w:tcPr>
            <w:tcW w:w="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9480" w:type="dxa"/>
            <w:vAlign w:val="bottom"/>
            <w:gridSpan w:val="17"/>
          </w:tcPr>
          <w:p>
            <w:pPr>
              <w:spacing w:after="0" w:line="169"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Tops Far East Limited (incorporated by reference to Exhibit 99.2 to the Company’s Current Report on Form 8-K filed November 8,</w:t>
              </w:r>
            </w:hyperlink>
          </w:p>
        </w:tc>
        <w:tc>
          <w:tcPr>
            <w:tcW w:w="160" w:type="dxa"/>
            <w:vAlign w:val="bottom"/>
            <w:gridSpan w:val="5"/>
          </w:tcPr>
          <w:p>
            <w:pPr>
              <w:spacing w:after="0"/>
              <w:rPr>
                <w:sz w:val="14"/>
                <w:szCs w:val="14"/>
                <w:color w:val="auto"/>
              </w:rPr>
            </w:pPr>
          </w:p>
        </w:tc>
        <w:tc>
          <w:tcPr>
            <w:tcW w:w="3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101">
              <w:r>
                <w:rPr>
                  <w:rFonts w:ascii="Arial" w:cs="Arial" w:eastAsia="Arial" w:hAnsi="Arial"/>
                  <w:sz w:val="18"/>
                  <w:szCs w:val="18"/>
                  <w:color w:val="0000FF"/>
                  <w:w w:val="86"/>
                </w:rPr>
                <w:t>2011)</w:t>
              </w:r>
            </w:hyperlink>
          </w:p>
        </w:tc>
        <w:tc>
          <w:tcPr>
            <w:tcW w:w="3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19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4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9640" w:type="dxa"/>
            <w:vAlign w:val="bottom"/>
            <w:tcBorders>
              <w:bottom w:val="single" w:sz="8" w:color="0000FF"/>
            </w:tcBorders>
            <w:gridSpan w:val="22"/>
          </w:tcPr>
          <w:p>
            <w:pPr>
              <w:spacing w:after="0"/>
              <w:rPr>
                <w:rFonts w:ascii="Arial" w:cs="Arial" w:eastAsia="Arial" w:hAnsi="Arial"/>
                <w:sz w:val="18"/>
                <w:szCs w:val="18"/>
                <w:color w:val="0000FF"/>
                <w:w w:val="89"/>
              </w:rPr>
            </w:pPr>
            <w:hyperlink r:id="rId102">
              <w:r>
                <w:rPr>
                  <w:rFonts w:ascii="Arial" w:cs="Arial" w:eastAsia="Arial" w:hAnsi="Arial"/>
                  <w:sz w:val="18"/>
                  <w:szCs w:val="18"/>
                  <w:color w:val="0000FF"/>
                  <w:w w:val="89"/>
                </w:rPr>
                <w:t>Senior Secured Credit Agreement, dated as of July 27, 2012, by and among the Company, the Subsidiary Guarantors, the Lenders and</w:t>
              </w:r>
            </w:hyperlink>
          </w:p>
        </w:tc>
        <w:tc>
          <w:tcPr>
            <w:tcW w:w="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ind w:left="1080"/>
        <w:spacing w:after="0" w:line="234"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JPMorgan Chase Bank, N.A., as Administrative Agent and Collateral Agent (incorporated by reference to Exhibit 10.6 to the Company’s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Quarterly Report on Form 10-Q for the quarter ended September 30, 2013)</w:t>
        </w:r>
      </w:hyperlink>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10.19</w:t>
            </w:r>
          </w:p>
        </w:tc>
        <w:tc>
          <w:tcPr>
            <w:tcW w:w="9900" w:type="dxa"/>
            <w:vAlign w:val="bottom"/>
            <w:tcBorders>
              <w:bottom w:val="single" w:sz="8" w:color="0000FF"/>
            </w:tcBorders>
            <w:gridSpan w:val="37"/>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Amendment No. 1 to the Senior Secured Credit Agreement, dated as of November 13, 2012, by and among the Company, the Subsidiary</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9"/>
        </w:trPr>
        <w:tc>
          <w:tcPr>
            <w:tcW w:w="1060" w:type="dxa"/>
            <w:vAlign w:val="bottom"/>
          </w:tcPr>
          <w:p>
            <w:pPr>
              <w:spacing w:after="0"/>
              <w:rPr>
                <w:sz w:val="14"/>
                <w:szCs w:val="14"/>
                <w:color w:val="auto"/>
              </w:rPr>
            </w:pPr>
          </w:p>
        </w:tc>
        <w:tc>
          <w:tcPr>
            <w:tcW w:w="9900" w:type="dxa"/>
            <w:vAlign w:val="bottom"/>
            <w:gridSpan w:val="37"/>
          </w:tcPr>
          <w:p>
            <w:pPr>
              <w:spacing w:after="0" w:line="169" w:lineRule="exact"/>
              <w:rPr>
                <w:rFonts w:ascii="Arial" w:cs="Arial" w:eastAsia="Arial" w:hAnsi="Arial"/>
                <w:sz w:val="18"/>
                <w:szCs w:val="18"/>
                <w:color w:val="0000FF"/>
                <w:w w:val="97"/>
              </w:rPr>
            </w:pPr>
            <w:hyperlink r:id="rId104">
              <w:r>
                <w:rPr>
                  <w:rFonts w:ascii="Arial" w:cs="Arial" w:eastAsia="Arial" w:hAnsi="Arial"/>
                  <w:sz w:val="18"/>
                  <w:szCs w:val="18"/>
                  <w:color w:val="0000FF"/>
                  <w:w w:val="97"/>
                </w:rPr>
                <w:t>Guarantors party thereto, the Swap Agreement Counterparty, the financial institutions party thereto and JPMorgan Chase Bank,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9160" w:type="dxa"/>
            <w:vAlign w:val="bottom"/>
            <w:tcBorders>
              <w:top w:val="single" w:sz="8" w:color="0000FF"/>
            </w:tcBorders>
            <w:gridSpan w:val="12"/>
          </w:tcPr>
          <w:p>
            <w:pPr>
              <w:spacing w:after="0" w:line="169"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Amendment No. 1 to the Senior Secured Credit Agreement, dated as of November 13, 2012, by and among the Company, the</w:t>
              </w:r>
            </w:hyperlink>
          </w:p>
        </w:tc>
        <w:tc>
          <w:tcPr>
            <w:tcW w:w="780" w:type="dxa"/>
            <w:vAlign w:val="bottom"/>
            <w:gridSpan w:val="27"/>
          </w:tcPr>
          <w:p>
            <w:pPr>
              <w:spacing w:after="0" w:line="169"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Subsidiary</w:t>
              </w:r>
            </w:hyperlink>
          </w:p>
        </w:tc>
      </w:tr>
      <w:tr>
        <w:trPr>
          <w:trHeight w:val="169"/>
        </w:trPr>
        <w:tc>
          <w:tcPr>
            <w:tcW w:w="1060" w:type="dxa"/>
            <w:vAlign w:val="bottom"/>
          </w:tcPr>
          <w:p>
            <w:pPr>
              <w:spacing w:after="0"/>
              <w:rPr>
                <w:sz w:val="14"/>
                <w:szCs w:val="14"/>
                <w:color w:val="auto"/>
              </w:rPr>
            </w:pPr>
          </w:p>
        </w:tc>
        <w:tc>
          <w:tcPr>
            <w:tcW w:w="9900" w:type="dxa"/>
            <w:vAlign w:val="bottom"/>
            <w:tcBorders>
              <w:top w:val="single" w:sz="8" w:color="0000FF"/>
            </w:tcBorders>
            <w:gridSpan w:val="37"/>
          </w:tcPr>
          <w:p>
            <w:pPr>
              <w:spacing w:after="0" w:line="169"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Guarantors party thereto, the Swap Agreement Counterparty, the financial institutions party thereto and JPMorgan Chase Bank, N.A.,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33"/>
          </w:tcPr>
          <w:p>
            <w:pPr>
              <w:spacing w:after="0" w:line="169"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Administrative Agent (incorporated by reference to Exhibit 99.3 to the Company’s Current Report on Form 8-K filed June 27, 2013).A.,</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9840" w:type="dxa"/>
            <w:vAlign w:val="bottom"/>
            <w:gridSpan w:val="34"/>
          </w:tcPr>
          <w:p>
            <w:pPr>
              <w:spacing w:after="0" w:line="169"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as Administrative Agent (incorporated by reference to Exhibit 99.3 to the Company’s Current Report on Form 8-K filed June 27,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10.20</w:t>
            </w:r>
          </w:p>
        </w:tc>
        <w:tc>
          <w:tcPr>
            <w:tcW w:w="942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89"/>
              </w:rPr>
            </w:pPr>
            <w:hyperlink r:id="rId105">
              <w:r>
                <w:rPr>
                  <w:rFonts w:ascii="Arial" w:cs="Arial" w:eastAsia="Arial" w:hAnsi="Arial"/>
                  <w:sz w:val="18"/>
                  <w:szCs w:val="18"/>
                  <w:color w:val="0000FF"/>
                  <w:w w:val="89"/>
                </w:rPr>
                <w:t>Amendment No. 2 to the Senior Secured Credit Agreement, dated as of June 21, 2013, by and among the Company, the Subsidiary</w:t>
              </w:r>
            </w:hyperlink>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940" w:type="dxa"/>
            <w:vAlign w:val="bottom"/>
            <w:gridSpan w:val="39"/>
          </w:tcPr>
          <w:p>
            <w:pPr>
              <w:spacing w:after="0" w:line="169"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Guarantors party thereto, the financial institutions party thereto and JPMorgan Chase Bank, N.A., as Administrative Agent (incorporated</w:t>
              </w:r>
            </w:hyperlink>
          </w:p>
        </w:tc>
      </w:tr>
      <w:tr>
        <w:trPr>
          <w:trHeight w:val="169"/>
        </w:trPr>
        <w:tc>
          <w:tcPr>
            <w:tcW w:w="1060" w:type="dxa"/>
            <w:vAlign w:val="bottom"/>
          </w:tcPr>
          <w:p>
            <w:pPr>
              <w:spacing w:after="0"/>
              <w:rPr>
                <w:sz w:val="14"/>
                <w:szCs w:val="14"/>
                <w:color w:val="auto"/>
              </w:rPr>
            </w:pPr>
          </w:p>
        </w:tc>
        <w:tc>
          <w:tcPr>
            <w:tcW w:w="992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105">
              <w:r>
                <w:rPr>
                  <w:rFonts w:ascii="Arial" w:cs="Arial" w:eastAsia="Arial" w:hAnsi="Arial"/>
                  <w:sz w:val="18"/>
                  <w:szCs w:val="18"/>
                  <w:color w:val="0000FF"/>
                </w:rPr>
                <w:t>by reference to Exhibit 99.1 to the Company’s Current Report on Form 8-K filed June 27, 2013)</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10.21</w:t>
            </w:r>
          </w:p>
        </w:tc>
        <w:tc>
          <w:tcPr>
            <w:tcW w:w="9640" w:type="dxa"/>
            <w:vAlign w:val="bottom"/>
            <w:tcBorders>
              <w:bottom w:val="single" w:sz="8" w:color="0000FF"/>
            </w:tcBorders>
            <w:gridSpan w:val="25"/>
          </w:tcPr>
          <w:p>
            <w:pPr>
              <w:spacing w:after="0"/>
              <w:rPr>
                <w:rFonts w:ascii="Arial" w:cs="Arial" w:eastAsia="Arial" w:hAnsi="Arial"/>
                <w:sz w:val="18"/>
                <w:szCs w:val="18"/>
                <w:color w:val="0000FF"/>
                <w:w w:val="90"/>
              </w:rPr>
            </w:pPr>
            <w:hyperlink r:id="rId106">
              <w:r>
                <w:rPr>
                  <w:rFonts w:ascii="Arial" w:cs="Arial" w:eastAsia="Arial" w:hAnsi="Arial"/>
                  <w:sz w:val="18"/>
                  <w:szCs w:val="18"/>
                  <w:color w:val="0000FF"/>
                  <w:w w:val="90"/>
                </w:rPr>
                <w:t>Share Purchase Agreement relating to Thomas Plant (Birmingham) Limited, dated January 15, 2014, by and among the Company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640" w:type="dxa"/>
            <w:vAlign w:val="bottom"/>
            <w:gridSpan w:val="25"/>
          </w:tcPr>
          <w:p>
            <w:pPr>
              <w:spacing w:after="0" w:line="169" w:lineRule="exact"/>
              <w:rPr>
                <w:rFonts w:ascii="Arial" w:cs="Arial" w:eastAsia="Arial" w:hAnsi="Arial"/>
                <w:sz w:val="18"/>
                <w:szCs w:val="18"/>
                <w:color w:val="0000FF"/>
                <w:w w:val="93"/>
              </w:rPr>
            </w:pPr>
            <w:hyperlink r:id="rId106">
              <w:r>
                <w:rPr>
                  <w:rFonts w:ascii="Arial" w:cs="Arial" w:eastAsia="Arial" w:hAnsi="Arial"/>
                  <w:sz w:val="18"/>
                  <w:szCs w:val="18"/>
                  <w:color w:val="0000FF"/>
                  <w:w w:val="93"/>
                </w:rPr>
                <w:t>Andrew Plant, Richard Plant, Peter Bushell, and Sally Wright (incorporated by reference to Exhibit 99.2 to the Company’s Current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94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06">
              <w:r>
                <w:rPr>
                  <w:rFonts w:ascii="Arial" w:cs="Arial" w:eastAsia="Arial" w:hAnsi="Arial"/>
                  <w:sz w:val="18"/>
                  <w:szCs w:val="18"/>
                  <w:color w:val="0000FF"/>
                </w:rPr>
                <w:t>Report on Form 8-K filed January 17, 2014)</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10.22</w:t>
            </w:r>
          </w:p>
        </w:tc>
        <w:tc>
          <w:tcPr>
            <w:tcW w:w="9860" w:type="dxa"/>
            <w:vAlign w:val="bottom"/>
            <w:tcBorders>
              <w:bottom w:val="single" w:sz="8" w:color="0000FF"/>
            </w:tcBorders>
            <w:gridSpan w:val="35"/>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Deed of Variation and Settlement, dated April 1, 2015, by and among the Company and Andrew Plant, Richard Plant, Peter Bushell, and</w:t>
              </w:r>
            </w:hyperlink>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860" w:type="dxa"/>
            <w:vAlign w:val="bottom"/>
            <w:gridSpan w:val="35"/>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Sally Wright (incorporated by reference to Exhibit 10.1 to the Company’s Quarterly Report on Form 10-Q filed May 8, 2015)</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10.23</w:t>
            </w:r>
          </w:p>
        </w:tc>
        <w:tc>
          <w:tcPr>
            <w:tcW w:w="9940" w:type="dxa"/>
            <w:vAlign w:val="bottom"/>
            <w:gridSpan w:val="39"/>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Employment Agreement, dated as of November 8, 2017, between the Company and Daniel Siegel (incorporated by reference to Exhibit</w:t>
              </w:r>
            </w:hyperlink>
          </w:p>
        </w:tc>
      </w:tr>
      <w:tr>
        <w:trPr>
          <w:trHeight w:val="169"/>
        </w:trPr>
        <w:tc>
          <w:tcPr>
            <w:tcW w:w="106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w:t>
              </w:r>
              <w:r>
                <w:rPr>
                  <w:rFonts w:ascii="Arial" w:cs="Arial" w:eastAsia="Arial" w:hAnsi="Arial"/>
                  <w:sz w:val="18"/>
                  <w:szCs w:val="18"/>
                  <w:color w:val="0000FF"/>
                  <w:w w:val="90"/>
                </w:rPr>
                <w:t xml:space="preserve"> to the Company’s Quarterly Report on Form 10-Q for the quarter ended September 30, 2017)*</w:t>
              </w:r>
            </w:hyperlink>
          </w:p>
        </w:tc>
        <w:tc>
          <w:tcPr>
            <w:tcW w:w="262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10.24</w:t>
            </w:r>
          </w:p>
        </w:tc>
        <w:tc>
          <w:tcPr>
            <w:tcW w:w="9580" w:type="dxa"/>
            <w:vAlign w:val="bottom"/>
            <w:tcBorders>
              <w:bottom w:val="single" w:sz="8" w:color="0000FF"/>
            </w:tcBorders>
            <w:gridSpan w:val="23"/>
          </w:tcPr>
          <w:p>
            <w:pPr>
              <w:spacing w:after="0"/>
              <w:rPr>
                <w:rFonts w:ascii="Arial" w:cs="Arial" w:eastAsia="Arial" w:hAnsi="Arial"/>
                <w:sz w:val="18"/>
                <w:szCs w:val="18"/>
                <w:color w:val="0000FF"/>
                <w:w w:val="90"/>
              </w:rPr>
            </w:pPr>
            <w:hyperlink r:id="rId109">
              <w:r>
                <w:rPr>
                  <w:rFonts w:ascii="Arial" w:cs="Arial" w:eastAsia="Arial" w:hAnsi="Arial"/>
                  <w:sz w:val="18"/>
                  <w:szCs w:val="18"/>
                  <w:color w:val="0000FF"/>
                  <w:w w:val="90"/>
                </w:rPr>
                <w:t>Amendment to the Employment Agreement, dated as of October 11, 2019, between the Company and Daniel Siegel (incorporated by</w:t>
              </w:r>
            </w:hyperlink>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gridSpan w:val="4"/>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9580" w:type="dxa"/>
            <w:vAlign w:val="bottom"/>
            <w:tcBorders>
              <w:bottom w:val="single" w:sz="8" w:color="0000FF"/>
            </w:tcBorders>
            <w:gridSpan w:val="23"/>
          </w:tcPr>
          <w:p>
            <w:pPr>
              <w:spacing w:after="0" w:line="156"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reference to Exhibit 10.5 to the Amendment to the Employment Agreement, dated as of October 11, 2019, between the Company and</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600" w:type="dxa"/>
            <w:vAlign w:val="bottom"/>
            <w:gridSpan w:val="24"/>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Daniel Siegel (incorporated by reference to Exhibit 10.5 to the Company’s Current Report on Form 8-K filed October 15, 2019)*’s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Current Report on Form 8-K filed October 15, 2019)*</w:t>
              </w:r>
            </w:hyperlink>
          </w:p>
        </w:tc>
        <w:tc>
          <w:tcPr>
            <w:tcW w:w="55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10.25</w:t>
            </w:r>
          </w:p>
        </w:tc>
        <w:tc>
          <w:tcPr>
            <w:tcW w:w="9520" w:type="dxa"/>
            <w:vAlign w:val="bottom"/>
            <w:tcBorders>
              <w:bottom w:val="single" w:sz="8" w:color="0000FF"/>
            </w:tcBorders>
            <w:gridSpan w:val="21"/>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Form of Amended and Restated Director’s and Form of Amended and Restated Director’s and Officer’s Indemnification Agreement</w:t>
              </w:r>
            </w:hyperlink>
          </w:p>
        </w:tc>
        <w:tc>
          <w:tcPr>
            <w:tcW w:w="20" w:type="dxa"/>
            <w:vAlign w:val="bottom"/>
          </w:tcPr>
          <w:p>
            <w:pPr>
              <w:spacing w:after="0"/>
              <w:rPr>
                <w:sz w:val="22"/>
                <w:szCs w:val="22"/>
                <w:color w:val="auto"/>
              </w:rPr>
            </w:pPr>
          </w:p>
        </w:tc>
        <w:tc>
          <w:tcPr>
            <w:tcW w:w="12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c>
          <w:tcPr>
            <w:tcW w:w="80" w:type="dxa"/>
            <w:vAlign w:val="bottom"/>
            <w:gridSpan w:val="4"/>
          </w:tcPr>
          <w:p>
            <w:pPr>
              <w:spacing w:after="0"/>
              <w:rPr>
                <w:sz w:val="22"/>
                <w:szCs w:val="22"/>
                <w:color w:val="auto"/>
              </w:rPr>
            </w:pPr>
          </w:p>
        </w:tc>
        <w:tc>
          <w:tcPr>
            <w:tcW w:w="60" w:type="dxa"/>
            <w:vAlign w:val="bottom"/>
            <w:gridSpan w:val="3"/>
          </w:tcPr>
          <w:p>
            <w:pPr>
              <w:spacing w:after="0"/>
              <w:rPr>
                <w:sz w:val="22"/>
                <w:szCs w:val="22"/>
                <w:color w:val="auto"/>
              </w:rPr>
            </w:pPr>
          </w:p>
        </w:tc>
      </w:tr>
      <w:tr>
        <w:trPr>
          <w:trHeight w:val="156"/>
        </w:trPr>
        <w:tc>
          <w:tcPr>
            <w:tcW w:w="1060" w:type="dxa"/>
            <w:vAlign w:val="bottom"/>
          </w:tcPr>
          <w:p>
            <w:pPr>
              <w:spacing w:after="0"/>
              <w:rPr>
                <w:sz w:val="13"/>
                <w:szCs w:val="13"/>
                <w:color w:val="auto"/>
              </w:rPr>
            </w:pPr>
          </w:p>
        </w:tc>
        <w:tc>
          <w:tcPr>
            <w:tcW w:w="9520" w:type="dxa"/>
            <w:vAlign w:val="bottom"/>
            <w:gridSpan w:val="21"/>
          </w:tcPr>
          <w:p>
            <w:pPr>
              <w:spacing w:after="0" w:line="15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(incorporated by reference to Exhibit 10.1 to the Company’s Current Report on Form 8-K filed January 28, 2016)’s Indemnification</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Agreement (incorporated by reference to Exhibit 10.1 to the Company’s Current Report on Form 8-K filed January 28, 2016)</w:t>
              </w:r>
            </w:hyperlink>
          </w:p>
        </w:tc>
        <w:tc>
          <w:tcPr>
            <w:tcW w:w="440" w:type="dxa"/>
            <w:vAlign w:val="bottom"/>
            <w:tcBorders>
              <w:top w:val="single" w:sz="8" w:color="0000FF"/>
            </w:tcBorders>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10.26</w:t>
            </w:r>
          </w:p>
        </w:tc>
        <w:tc>
          <w:tcPr>
            <w:tcW w:w="9540" w:type="dxa"/>
            <w:vAlign w:val="bottom"/>
            <w:tcBorders>
              <w:bottom w:val="single" w:sz="8" w:color="0000FF"/>
            </w:tcBorders>
            <w:gridSpan w:val="22"/>
          </w:tcPr>
          <w:p>
            <w:pPr>
              <w:spacing w:after="0"/>
              <w:rPr>
                <w:rFonts w:ascii="Arial" w:cs="Arial" w:eastAsia="Arial" w:hAnsi="Arial"/>
                <w:sz w:val="18"/>
                <w:szCs w:val="18"/>
                <w:color w:val="0000FF"/>
                <w:w w:val="88"/>
              </w:rPr>
            </w:pPr>
            <w:hyperlink r:id="rId111">
              <w:r>
                <w:rPr>
                  <w:rFonts w:ascii="Arial" w:cs="Arial" w:eastAsia="Arial" w:hAnsi="Arial"/>
                  <w:sz w:val="18"/>
                  <w:szCs w:val="18"/>
                  <w:color w:val="0000FF"/>
                  <w:w w:val="88"/>
                </w:rPr>
                <w:t>Receivables Purchase Agreement, dated as of September 30, 2016 by and among the Company, as a Seller and as a Seller Agent and</w:t>
              </w:r>
            </w:hyperlink>
          </w:p>
        </w:tc>
        <w:tc>
          <w:tcPr>
            <w:tcW w:w="12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c>
          <w:tcPr>
            <w:tcW w:w="80" w:type="dxa"/>
            <w:vAlign w:val="bottom"/>
            <w:gridSpan w:val="4"/>
          </w:tcPr>
          <w:p>
            <w:pPr>
              <w:spacing w:after="0"/>
              <w:rPr>
                <w:sz w:val="22"/>
                <w:szCs w:val="22"/>
                <w:color w:val="auto"/>
              </w:rPr>
            </w:pPr>
          </w:p>
        </w:tc>
        <w:tc>
          <w:tcPr>
            <w:tcW w:w="60" w:type="dxa"/>
            <w:vAlign w:val="bottom"/>
            <w:gridSpan w:val="3"/>
          </w:tcPr>
          <w:p>
            <w:pPr>
              <w:spacing w:after="0"/>
              <w:rPr>
                <w:sz w:val="22"/>
                <w:szCs w:val="22"/>
                <w:color w:val="auto"/>
              </w:rPr>
            </w:pPr>
          </w:p>
        </w:tc>
      </w:tr>
      <w:tr>
        <w:trPr>
          <w:trHeight w:val="169"/>
        </w:trPr>
        <w:tc>
          <w:tcPr>
            <w:tcW w:w="1060" w:type="dxa"/>
            <w:vAlign w:val="bottom"/>
          </w:tcPr>
          <w:p>
            <w:pPr>
              <w:spacing w:after="0"/>
              <w:rPr>
                <w:sz w:val="14"/>
                <w:szCs w:val="14"/>
                <w:color w:val="auto"/>
              </w:rPr>
            </w:pPr>
          </w:p>
        </w:tc>
        <w:tc>
          <w:tcPr>
            <w:tcW w:w="9540" w:type="dxa"/>
            <w:vAlign w:val="bottom"/>
            <w:gridSpan w:val="22"/>
          </w:tcPr>
          <w:p>
            <w:pPr>
              <w:spacing w:after="0" w:line="169"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initial Servicer, for itself and each of its subsidiaries thereto as a Seller, and HSBC Bank USA, National Association, as Purchaser</w:t>
              </w:r>
            </w:hyperlink>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810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(incorporated by reference to Exhibit 10.1 to the Company’s Current Report on Form 8-K filed October 4, 2016)</w:t>
              </w:r>
            </w:hyperlink>
          </w:p>
        </w:tc>
        <w:tc>
          <w:tcPr>
            <w:tcW w:w="128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10.27</w:t>
            </w:r>
          </w:p>
        </w:tc>
        <w:tc>
          <w:tcPr>
            <w:tcW w:w="9940" w:type="dxa"/>
            <w:vAlign w:val="bottom"/>
            <w:gridSpan w:val="39"/>
          </w:tcPr>
          <w:p>
            <w:pPr>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Lease Agreement (Single Tenant Facility), dated as of February 14, 2017 between Baseline Opportunity LLC and Lifetime Brands Inc.</w:t>
              </w:r>
            </w:hyperlink>
          </w:p>
        </w:tc>
      </w:tr>
      <w:tr>
        <w:trPr>
          <w:trHeight w:val="169"/>
        </w:trPr>
        <w:tc>
          <w:tcPr>
            <w:tcW w:w="1060" w:type="dxa"/>
            <w:vAlign w:val="bottom"/>
          </w:tcPr>
          <w:p>
            <w:pPr>
              <w:spacing w:after="0"/>
              <w:rPr>
                <w:sz w:val="14"/>
                <w:szCs w:val="14"/>
                <w:color w:val="auto"/>
              </w:rPr>
            </w:pPr>
          </w:p>
        </w:tc>
        <w:tc>
          <w:tcPr>
            <w:tcW w:w="9720" w:type="dxa"/>
            <w:vAlign w:val="bottom"/>
            <w:tcBorders>
              <w:top w:val="single" w:sz="8" w:color="0000FF"/>
            </w:tcBorders>
            <w:gridSpan w:val="28"/>
          </w:tcPr>
          <w:p>
            <w:pPr>
              <w:spacing w:after="0" w:line="169" w:lineRule="exact"/>
              <w:rPr>
                <w:rFonts w:ascii="Arial" w:cs="Arial" w:eastAsia="Arial" w:hAnsi="Arial"/>
                <w:sz w:val="18"/>
                <w:szCs w:val="18"/>
                <w:color w:val="0000FF"/>
                <w:w w:val="96"/>
              </w:rPr>
            </w:pPr>
            <w:hyperlink r:id="rId112">
              <w:r>
                <w:rPr>
                  <w:rFonts w:ascii="Arial" w:cs="Arial" w:eastAsia="Arial" w:hAnsi="Arial"/>
                  <w:sz w:val="18"/>
                  <w:szCs w:val="18"/>
                  <w:color w:val="0000FF"/>
                  <w:w w:val="96"/>
                </w:rPr>
                <w:t>for property located at 1221 North Alder Avenue, Rialto, California (incorporated by reference to Exhibit 10.1 to the Company’s</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Quarterly Report on Form 10-Q for the quarter ended March 31, 2017)</w:t>
              </w:r>
            </w:hyperlink>
          </w:p>
        </w:tc>
        <w:tc>
          <w:tcPr>
            <w:tcW w:w="4160" w:type="dxa"/>
            <w:vAlign w:val="bottom"/>
            <w:tcBorders>
              <w:top w:val="single" w:sz="8" w:color="0000FF"/>
            </w:tcBorders>
            <w:gridSpan w:val="1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10.28</w:t>
            </w:r>
          </w:p>
        </w:tc>
        <w:tc>
          <w:tcPr>
            <w:tcW w:w="9940" w:type="dxa"/>
            <w:vAlign w:val="bottom"/>
            <w:gridSpan w:val="39"/>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Voting Agreement, dated as of December 22, 2017, by and among Taylor Parent, LLC, and Jeffrey Siegel, Ronald Shiftan, Daniel Siegel</w:t>
              </w:r>
            </w:hyperlink>
          </w:p>
        </w:tc>
      </w:tr>
      <w:tr>
        <w:trPr>
          <w:trHeight w:val="169"/>
        </w:trPr>
        <w:tc>
          <w:tcPr>
            <w:tcW w:w="106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32"/>
          </w:tcPr>
          <w:p>
            <w:pPr>
              <w:spacing w:after="0" w:line="169"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and Clifford Siegel (incorporated by reference to Exhibit 10.1 to the Company’s Current Report on Form 8-K filed December 29, 2017)</w:t>
              </w:r>
            </w:hyperlink>
          </w:p>
        </w:tc>
        <w:tc>
          <w:tcPr>
            <w:tcW w:w="8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10.29</w:t>
            </w:r>
          </w:p>
        </w:tc>
        <w:tc>
          <w:tcPr>
            <w:tcW w:w="9940" w:type="dxa"/>
            <w:vAlign w:val="bottom"/>
            <w:gridSpan w:val="39"/>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Employment Agreement, dated as of December 22, 2017, between the Company and Robert B. Kay (incorporated by reference to</w:t>
              </w:r>
            </w:hyperlink>
          </w:p>
        </w:tc>
      </w:tr>
      <w:tr>
        <w:trPr>
          <w:trHeight w:val="169"/>
        </w:trPr>
        <w:tc>
          <w:tcPr>
            <w:tcW w:w="1060" w:type="dxa"/>
            <w:vAlign w:val="bottom"/>
          </w:tcPr>
          <w:p>
            <w:pPr>
              <w:spacing w:after="0"/>
              <w:rPr>
                <w:sz w:val="14"/>
                <w:szCs w:val="14"/>
                <w:color w:val="auto"/>
              </w:rPr>
            </w:pPr>
          </w:p>
        </w:tc>
        <w:tc>
          <w:tcPr>
            <w:tcW w:w="93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Exhibit 10.2 to the Company’s Current Report on Form 8-K filed December 29, 2017)*</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58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10.30</w:t>
            </w:r>
          </w:p>
        </w:tc>
        <w:tc>
          <w:tcPr>
            <w:tcW w:w="9940" w:type="dxa"/>
            <w:vAlign w:val="bottom"/>
            <w:gridSpan w:val="39"/>
          </w:tcPr>
          <w:p>
            <w:pPr>
              <w:spacing w:after="0"/>
              <w:rPr>
                <w:rFonts w:ascii="Arial" w:cs="Arial" w:eastAsia="Arial" w:hAnsi="Arial"/>
                <w:sz w:val="18"/>
                <w:szCs w:val="18"/>
                <w:color w:val="0000FF"/>
                <w:w w:val="93"/>
              </w:rPr>
            </w:pPr>
            <w:hyperlink r:id="rId115">
              <w:r>
                <w:rPr>
                  <w:rFonts w:ascii="Arial" w:cs="Arial" w:eastAsia="Arial" w:hAnsi="Arial"/>
                  <w:sz w:val="18"/>
                  <w:szCs w:val="18"/>
                  <w:color w:val="0000FF"/>
                  <w:w w:val="93"/>
                </w:rPr>
                <w:t>Amendment to the Employment Agreement, dated as of October 11, 2019, between the Company and Robert B. Kay (incorporated by</w:t>
              </w:r>
            </w:hyperlink>
          </w:p>
        </w:tc>
      </w:tr>
      <w:tr>
        <w:trPr>
          <w:trHeight w:val="169"/>
        </w:trPr>
        <w:tc>
          <w:tcPr>
            <w:tcW w:w="1060" w:type="dxa"/>
            <w:vAlign w:val="bottom"/>
          </w:tcPr>
          <w:p>
            <w:pPr>
              <w:spacing w:after="0"/>
              <w:rPr>
                <w:sz w:val="14"/>
                <w:szCs w:val="14"/>
                <w:color w:val="auto"/>
              </w:rPr>
            </w:pPr>
          </w:p>
        </w:tc>
        <w:tc>
          <w:tcPr>
            <w:tcW w:w="70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reference to Exhibit 10.2 to the Company’s Current Report on Form 8-K filed October 15, 2019)*</w:t>
              </w:r>
            </w:hyperlink>
          </w:p>
        </w:tc>
        <w:tc>
          <w:tcPr>
            <w:tcW w:w="2640" w:type="dxa"/>
            <w:vAlign w:val="bottom"/>
            <w:tcBorders>
              <w:top w:val="single" w:sz="8" w:color="0000FF"/>
            </w:tcBorders>
            <w:gridSpan w:val="19"/>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10.31</w:t>
            </w:r>
          </w:p>
        </w:tc>
        <w:tc>
          <w:tcPr>
            <w:tcW w:w="9360" w:type="dxa"/>
            <w:vAlign w:val="bottom"/>
            <w:tcBorders>
              <w:bottom w:val="single" w:sz="8" w:color="0000FF"/>
            </w:tcBorders>
            <w:gridSpan w:val="15"/>
          </w:tcPr>
          <w:p>
            <w:pPr>
              <w:spacing w:after="0"/>
              <w:rPr>
                <w:rFonts w:ascii="Arial" w:cs="Arial" w:eastAsia="Arial" w:hAnsi="Arial"/>
                <w:sz w:val="18"/>
                <w:szCs w:val="18"/>
                <w:color w:val="0000FF"/>
                <w:w w:val="90"/>
              </w:rPr>
            </w:pPr>
            <w:hyperlink r:id="rId116">
              <w:r>
                <w:rPr>
                  <w:rFonts w:ascii="Arial" w:cs="Arial" w:eastAsia="Arial" w:hAnsi="Arial"/>
                  <w:sz w:val="18"/>
                  <w:szCs w:val="18"/>
                  <w:color w:val="0000FF"/>
                  <w:w w:val="90"/>
                </w:rPr>
                <w:t>Stockholders Agreement, dated as of March 2, 2018, between the Company and Taylor Parent, LLC (incorporated by reference to</w:t>
              </w:r>
            </w:hyperlink>
          </w:p>
        </w:tc>
        <w:tc>
          <w:tcPr>
            <w:tcW w:w="40" w:type="dxa"/>
            <w:vAlign w:val="bottom"/>
            <w:gridSpan w:val="2"/>
          </w:tcPr>
          <w:p>
            <w:pPr>
              <w:spacing w:after="0"/>
              <w:rPr>
                <w:sz w:val="24"/>
                <w:szCs w:val="24"/>
                <w:color w:val="auto"/>
              </w:rPr>
            </w:pPr>
          </w:p>
        </w:tc>
        <w:tc>
          <w:tcPr>
            <w:tcW w:w="80" w:type="dxa"/>
            <w:vAlign w:val="bottom"/>
            <w:gridSpan w:val="3"/>
          </w:tcPr>
          <w:p>
            <w:pPr>
              <w:spacing w:after="0"/>
              <w:rPr>
                <w:sz w:val="24"/>
                <w:szCs w:val="24"/>
                <w:color w:val="auto"/>
              </w:rPr>
            </w:pPr>
          </w:p>
        </w:tc>
        <w:tc>
          <w:tcPr>
            <w:tcW w:w="180" w:type="dxa"/>
            <w:vAlign w:val="bottom"/>
            <w:gridSpan w:val="6"/>
          </w:tcPr>
          <w:p>
            <w:pPr>
              <w:spacing w:after="0"/>
              <w:rPr>
                <w:sz w:val="24"/>
                <w:szCs w:val="24"/>
                <w:color w:val="auto"/>
              </w:rPr>
            </w:pPr>
          </w:p>
        </w:tc>
        <w:tc>
          <w:tcPr>
            <w:tcW w:w="100" w:type="dxa"/>
            <w:vAlign w:val="bottom"/>
            <w:gridSpan w:val="4"/>
          </w:tcPr>
          <w:p>
            <w:pPr>
              <w:spacing w:after="0"/>
              <w:rPr>
                <w:sz w:val="24"/>
                <w:szCs w:val="24"/>
                <w:color w:val="auto"/>
              </w:rPr>
            </w:pPr>
          </w:p>
        </w:tc>
        <w:tc>
          <w:tcPr>
            <w:tcW w:w="180" w:type="dxa"/>
            <w:vAlign w:val="bottom"/>
            <w:gridSpan w:val="9"/>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5860" w:type="dxa"/>
            <w:vAlign w:val="bottom"/>
            <w:tcBorders>
              <w:bottom w:val="single" w:sz="8" w:color="0000FF"/>
            </w:tcBorders>
            <w:gridSpan w:val="4"/>
          </w:tcPr>
          <w:p>
            <w:pPr>
              <w:spacing w:after="0" w:line="169"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Exhibit 10.1 to the Company’s Current Report on Form 8-K filed March 6, 2018)</w:t>
              </w:r>
            </w:hyperlink>
          </w:p>
        </w:tc>
        <w:tc>
          <w:tcPr>
            <w:tcW w:w="350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80" w:type="dxa"/>
            <w:vAlign w:val="bottom"/>
            <w:gridSpan w:val="6"/>
          </w:tcPr>
          <w:p>
            <w:pPr>
              <w:spacing w:after="0"/>
              <w:rPr>
                <w:sz w:val="14"/>
                <w:szCs w:val="14"/>
                <w:color w:val="auto"/>
              </w:rPr>
            </w:pPr>
          </w:p>
        </w:tc>
        <w:tc>
          <w:tcPr>
            <w:tcW w:w="100" w:type="dxa"/>
            <w:vAlign w:val="bottom"/>
            <w:gridSpan w:val="4"/>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10.32</w:t>
            </w:r>
          </w:p>
        </w:tc>
        <w:tc>
          <w:tcPr>
            <w:tcW w:w="9940" w:type="dxa"/>
            <w:vAlign w:val="bottom"/>
            <w:gridSpan w:val="39"/>
          </w:tcPr>
          <w:p>
            <w:pP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Amendment to Stockholders Agreement, dated as of October 11, 2019, between the Company and Taylor Parent, LLC (incorporated by</w:t>
              </w:r>
            </w:hyperlink>
          </w:p>
        </w:tc>
      </w:tr>
      <w:tr>
        <w:trPr>
          <w:trHeight w:val="169"/>
        </w:trPr>
        <w:tc>
          <w:tcPr>
            <w:tcW w:w="1060" w:type="dxa"/>
            <w:vAlign w:val="bottom"/>
          </w:tcPr>
          <w:p>
            <w:pPr>
              <w:spacing w:after="0"/>
              <w:rPr>
                <w:sz w:val="14"/>
                <w:szCs w:val="14"/>
                <w:color w:val="auto"/>
              </w:rPr>
            </w:pPr>
          </w:p>
        </w:tc>
        <w:tc>
          <w:tcPr>
            <w:tcW w:w="976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reference to Exhibit 10.1 to the Company’s Current Report on Form 8-K filed October 15, 2019)</w:t>
              </w:r>
            </w:hyperlink>
          </w:p>
        </w:tc>
        <w:tc>
          <w:tcPr>
            <w:tcW w:w="180" w:type="dxa"/>
            <w:vAlign w:val="bottom"/>
            <w:gridSpan w:val="9"/>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6940" w:type="dxa"/>
            <w:vAlign w:val="bottom"/>
            <w:gridSpan w:val="7"/>
            <w:shd w:val="clear" w:color="auto" w:fill="0000FF"/>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13"/>
          </w:tcPr>
          <w:p>
            <w:pPr>
              <w:spacing w:after="0" w:line="20" w:lineRule="exact"/>
              <w:rPr>
                <w:sz w:val="1"/>
                <w:szCs w:val="1"/>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10.33</w:t>
            </w:r>
          </w:p>
        </w:tc>
        <w:tc>
          <w:tcPr>
            <w:tcW w:w="9400" w:type="dxa"/>
            <w:vAlign w:val="bottom"/>
            <w:tcBorders>
              <w:bottom w:val="single" w:sz="8" w:color="0000FF"/>
            </w:tcBorders>
            <w:gridSpan w:val="17"/>
          </w:tcPr>
          <w:p>
            <w:pPr>
              <w:spacing w:after="0"/>
              <w:rPr>
                <w:rFonts w:ascii="Arial" w:cs="Arial" w:eastAsia="Arial" w:hAnsi="Arial"/>
                <w:sz w:val="18"/>
                <w:szCs w:val="18"/>
                <w:color w:val="0000FF"/>
                <w:w w:val="89"/>
              </w:rPr>
            </w:pPr>
            <w:hyperlink r:id="rId118">
              <w:r>
                <w:rPr>
                  <w:rFonts w:ascii="Arial" w:cs="Arial" w:eastAsia="Arial" w:hAnsi="Arial"/>
                  <w:sz w:val="18"/>
                  <w:szCs w:val="18"/>
                  <w:color w:val="0000FF"/>
                  <w:w w:val="89"/>
                </w:rPr>
                <w:t>Letter Agreement and Joinder, dated as of November 9, 2018, by and among the Company, Taylor Parent, LLC and Centre Capital</w:t>
              </w:r>
            </w:hyperlink>
          </w:p>
        </w:tc>
        <w:tc>
          <w:tcPr>
            <w:tcW w:w="540" w:type="dxa"/>
            <w:vAlign w:val="bottom"/>
            <w:gridSpan w:val="22"/>
          </w:tcPr>
          <w:p>
            <w:pPr>
              <w:spacing w:after="0"/>
              <w:rPr>
                <w:sz w:val="24"/>
                <w:szCs w:val="24"/>
                <w:color w:val="auto"/>
              </w:rPr>
            </w:pPr>
          </w:p>
        </w:tc>
      </w:tr>
      <w:tr>
        <w:trPr>
          <w:trHeight w:val="169"/>
        </w:trPr>
        <w:tc>
          <w:tcPr>
            <w:tcW w:w="1060" w:type="dxa"/>
            <w:vAlign w:val="bottom"/>
          </w:tcPr>
          <w:p>
            <w:pPr>
              <w:spacing w:after="0"/>
              <w:rPr>
                <w:sz w:val="14"/>
                <w:szCs w:val="14"/>
                <w:color w:val="auto"/>
              </w:rPr>
            </w:pPr>
          </w:p>
        </w:tc>
        <w:tc>
          <w:tcPr>
            <w:tcW w:w="9660" w:type="dxa"/>
            <w:vAlign w:val="bottom"/>
            <w:tcBorders>
              <w:bottom w:val="single" w:sz="8" w:color="0000FF"/>
            </w:tcBorders>
            <w:gridSpan w:val="26"/>
          </w:tcPr>
          <w:p>
            <w:pPr>
              <w:spacing w:after="0" w:line="169"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Investors V, LP. (incorporated by reference to Exhibit 10.01 to the Company’s Current Report on Form 8-K filed November 15, 2018)</w:t>
              </w:r>
            </w:hyperlink>
          </w:p>
        </w:tc>
        <w:tc>
          <w:tcPr>
            <w:tcW w:w="280" w:type="dxa"/>
            <w:vAlign w:val="bottom"/>
            <w:gridSpan w:val="13"/>
          </w:tcPr>
          <w:p>
            <w:pPr>
              <w:spacing w:after="0"/>
              <w:rPr>
                <w:sz w:val="14"/>
                <w:szCs w:val="14"/>
                <w:color w:val="auto"/>
              </w:rPr>
            </w:pPr>
          </w:p>
        </w:tc>
      </w:tr>
      <w:tr>
        <w:trPr>
          <w:trHeight w:val="277"/>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10.34</w:t>
            </w:r>
          </w:p>
        </w:tc>
        <w:tc>
          <w:tcPr>
            <w:tcW w:w="9480" w:type="dxa"/>
            <w:vAlign w:val="bottom"/>
            <w:tcBorders>
              <w:bottom w:val="single" w:sz="8" w:color="0000FF"/>
            </w:tcBorders>
            <w:gridSpan w:val="20"/>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Credit Agreement, dated as of March 2, 2018, by and among the Company, the other Borrowers from time to time party thereto, the</w:t>
              </w:r>
            </w:hyperlink>
          </w:p>
        </w:tc>
        <w:tc>
          <w:tcPr>
            <w:tcW w:w="460" w:type="dxa"/>
            <w:vAlign w:val="bottom"/>
            <w:gridSpan w:val="19"/>
          </w:tcPr>
          <w:p>
            <w:pPr>
              <w:spacing w:after="0"/>
              <w:rPr>
                <w:sz w:val="24"/>
                <w:szCs w:val="24"/>
                <w:color w:val="auto"/>
              </w:rPr>
            </w:pPr>
          </w:p>
        </w:tc>
      </w:tr>
    </w:tbl>
    <w:p>
      <w:pPr>
        <w:ind w:left="1080" w:right="240"/>
        <w:spacing w:after="0" w:line="288" w:lineRule="auto"/>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other Loan Parties from time to time party thereto, the Lenders from time to time party thereto, and JPMorgan Chase Bank, N.A., as</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Administrative Agent (incorporated by reference to Exhibit 10.2 to the Company’s Current Report on Form 8-K filed March 6, 2018)</w:t>
        </w:r>
      </w:hyperlink>
    </w:p>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tcPr>
          <w:p>
            <w:pPr>
              <w:spacing w:after="0"/>
              <w:rPr>
                <w:sz w:val="20"/>
                <w:szCs w:val="20"/>
                <w:color w:val="auto"/>
              </w:rPr>
            </w:pPr>
            <w:r>
              <w:rPr>
                <w:rFonts w:ascii="Arial" w:cs="Arial" w:eastAsia="Arial" w:hAnsi="Arial"/>
                <w:sz w:val="18"/>
                <w:szCs w:val="18"/>
                <w:color w:val="auto"/>
              </w:rPr>
              <w:t>10.35</w:t>
            </w:r>
          </w:p>
        </w:tc>
        <w:tc>
          <w:tcPr>
            <w:tcW w:w="9880" w:type="dxa"/>
            <w:vAlign w:val="bottom"/>
            <w:gridSpan w:val="17"/>
          </w:tcPr>
          <w:p>
            <w:pPr>
              <w:spacing w:after="0"/>
              <w:rPr>
                <w:rFonts w:ascii="Arial" w:cs="Arial" w:eastAsia="Arial" w:hAnsi="Arial"/>
                <w:sz w:val="18"/>
                <w:szCs w:val="18"/>
                <w:color w:val="0000FF"/>
                <w:w w:val="93"/>
              </w:rPr>
            </w:pPr>
            <w:hyperlink r:id="rId121">
              <w:r>
                <w:rPr>
                  <w:rFonts w:ascii="Arial" w:cs="Arial" w:eastAsia="Arial" w:hAnsi="Arial"/>
                  <w:sz w:val="18"/>
                  <w:szCs w:val="18"/>
                  <w:color w:val="0000FF"/>
                  <w:w w:val="93"/>
                </w:rPr>
                <w:t>Loan Agreement, dated as of March 2, 2018, by and among the Company, the other Loan Parties from time to time party thereto, the</w:t>
              </w:r>
            </w:hyperlink>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60" w:type="dxa"/>
            <w:vAlign w:val="bottom"/>
          </w:tcPr>
          <w:p>
            <w:pPr>
              <w:spacing w:after="0"/>
              <w:rPr>
                <w:sz w:val="13"/>
                <w:szCs w:val="13"/>
                <w:color w:val="auto"/>
              </w:rPr>
            </w:pPr>
          </w:p>
        </w:tc>
        <w:tc>
          <w:tcPr>
            <w:tcW w:w="9880" w:type="dxa"/>
            <w:vAlign w:val="bottom"/>
            <w:gridSpan w:val="17"/>
          </w:tcPr>
          <w:p>
            <w:pPr>
              <w:spacing w:after="0" w:line="15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Lenders from time to time party thereto, JPMorgan Chase Bank, N.A., as Administrative Agent and Golub Capital LLC, as Syndication</w:t>
              </w:r>
            </w:hyperlink>
          </w:p>
        </w:tc>
      </w:tr>
      <w:tr>
        <w:trPr>
          <w:trHeight w:val="156"/>
        </w:trPr>
        <w:tc>
          <w:tcPr>
            <w:tcW w:w="106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Agent. (incorporated by reference to Exhibit 10.3 to the Company’s Current Report on Form 8-K filed March 6, 2018)</w:t>
              </w:r>
            </w:hyperlink>
          </w:p>
        </w:tc>
        <w:tc>
          <w:tcPr>
            <w:tcW w:w="12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6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880" w:type="dxa"/>
            <w:vAlign w:val="bottom"/>
            <w:gridSpan w:val="17"/>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Subsidiaries of the Company</w:t>
              </w:r>
            </w:hyperlink>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Consent of Ernst &amp; Young LLP</w:t>
              </w:r>
            </w:hyperlink>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23.2</w:t>
            </w:r>
          </w:p>
        </w:tc>
        <w:tc>
          <w:tcPr>
            <w:tcW w:w="9880" w:type="dxa"/>
            <w:vAlign w:val="bottom"/>
            <w:gridSpan w:val="1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Consent of Castillo Miranda Y Compania, S.C.</w:t>
              </w:r>
            </w:hyperlink>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23.3</w:t>
            </w:r>
          </w:p>
        </w:tc>
        <w:tc>
          <w:tcPr>
            <w:tcW w:w="9880" w:type="dxa"/>
            <w:vAlign w:val="bottom"/>
            <w:gridSpan w:val="1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Consent of KPMG Cardenas Dosal, S. C. (Mexico)</w:t>
              </w:r>
            </w:hyperlink>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Certification by Robert B. Kay, Chief Executive Officer and Director, pursuant to Rule 13a-14(a) or Rule 15d-14(a) of the Securities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678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w:anchor="page111">
              <w:r>
                <w:rPr>
                  <w:rFonts w:ascii="Arial" w:cs="Arial" w:eastAsia="Arial" w:hAnsi="Arial"/>
                  <w:sz w:val="18"/>
                  <w:szCs w:val="18"/>
                  <w:color w:val="0000FF"/>
                  <w:w w:val="90"/>
                </w:rPr>
                <w:t>Exchange Act of 1934, as adopted pursuant to Section 302 of the Sarbanes-Oxley Act of 2002</w:t>
              </w:r>
            </w:hyperlink>
          </w:p>
        </w:tc>
        <w:tc>
          <w:tcPr>
            <w:tcW w:w="30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17"/>
          </w:tcPr>
          <w:p>
            <w:pPr>
              <w:spacing w:after="0"/>
              <w:rPr>
                <w:rFonts w:ascii="Arial" w:cs="Arial" w:eastAsia="Arial" w:hAnsi="Arial"/>
                <w:sz w:val="18"/>
                <w:szCs w:val="18"/>
                <w:color w:val="0000FF"/>
                <w:w w:val="92"/>
              </w:rPr>
            </w:pPr>
            <w:hyperlink w:anchor="page112">
              <w:r>
                <w:rPr>
                  <w:rFonts w:ascii="Arial" w:cs="Arial" w:eastAsia="Arial" w:hAnsi="Arial"/>
                  <w:sz w:val="18"/>
                  <w:szCs w:val="18"/>
                  <w:color w:val="0000FF"/>
                  <w:w w:val="92"/>
                </w:rPr>
                <w:t>Certification by Laurence Winoker, Senior Vice President – Finance, Treasurer and Chief Financial Officer, pursuant to Rule 13a-14(a)</w:t>
              </w:r>
            </w:hyperlink>
          </w:p>
        </w:tc>
      </w:tr>
      <w:tr>
        <w:trPr>
          <w:trHeight w:val="155"/>
        </w:trPr>
        <w:tc>
          <w:tcPr>
            <w:tcW w:w="106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Arial" w:cs="Arial" w:eastAsia="Arial" w:hAnsi="Arial"/>
                <w:sz w:val="18"/>
                <w:szCs w:val="18"/>
                <w:color w:val="0000FF"/>
                <w:w w:val="91"/>
              </w:rPr>
            </w:pPr>
            <w:hyperlink w:anchor="page112">
              <w:r>
                <w:rPr>
                  <w:rFonts w:ascii="Arial" w:cs="Arial" w:eastAsia="Arial" w:hAnsi="Arial"/>
                  <w:sz w:val="18"/>
                  <w:szCs w:val="18"/>
                  <w:color w:val="0000FF"/>
                  <w:w w:val="91"/>
                </w:rPr>
                <w:t>or Rule 15d-14(a) of the Securities and Exchange Act of 1934, as adopted pursuant to Section 302 of the Sarbanes-Oxley Act of 2002</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80" w:type="dxa"/>
            <w:vAlign w:val="bottom"/>
            <w:gridSpan w:val="8"/>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Certification by Robert B. Kay, Chief Executive Officer and Director, and Laurence Winoker, Senior Vice President – Finance, Treasurer</w:t>
              </w:r>
            </w:hyperlink>
          </w:p>
        </w:tc>
        <w:tc>
          <w:tcPr>
            <w:tcW w:w="20" w:type="dxa"/>
            <w:vAlign w:val="bottom"/>
          </w:tcPr>
          <w:p>
            <w:pPr>
              <w:spacing w:after="0"/>
              <w:rPr>
                <w:sz w:val="22"/>
                <w:szCs w:val="22"/>
                <w:color w:val="auto"/>
              </w:rPr>
            </w:pPr>
          </w:p>
        </w:tc>
      </w:tr>
      <w:tr>
        <w:trPr>
          <w:trHeight w:val="156"/>
        </w:trPr>
        <w:tc>
          <w:tcPr>
            <w:tcW w:w="1060" w:type="dxa"/>
            <w:vAlign w:val="bottom"/>
          </w:tcPr>
          <w:p>
            <w:pPr>
              <w:spacing w:after="0"/>
              <w:rPr>
                <w:sz w:val="13"/>
                <w:szCs w:val="13"/>
                <w:color w:val="auto"/>
              </w:rPr>
            </w:pPr>
          </w:p>
        </w:tc>
        <w:tc>
          <w:tcPr>
            <w:tcW w:w="9860" w:type="dxa"/>
            <w:vAlign w:val="bottom"/>
            <w:gridSpan w:val="16"/>
          </w:tcPr>
          <w:p>
            <w:pPr>
              <w:spacing w:after="0" w:line="156"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and Chief Financial Officer, pursuant to 18 U.S.C. Section 1350, as adopted pursuant to Section 906 of the Sarbanes-Oxley Act of 2002</w:t>
              </w:r>
            </w:hyperlink>
          </w:p>
        </w:tc>
        <w:tc>
          <w:tcPr>
            <w:tcW w:w="2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w:t>
              </w:r>
            </w:hyperlink>
          </w:p>
        </w:tc>
        <w:tc>
          <w:tcPr>
            <w:tcW w:w="24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10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6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Report of Independent Registered Accounting Firm on the consolidated financial statements of Grupo Vasconia, S.A.B. (formerly Ekco,</w:t>
              </w:r>
            </w:hyperlink>
          </w:p>
        </w:tc>
        <w:tc>
          <w:tcPr>
            <w:tcW w:w="80" w:type="dxa"/>
            <w:vAlign w:val="bottom"/>
            <w:gridSpan w:val="4"/>
          </w:tcPr>
          <w:p>
            <w:pPr>
              <w:spacing w:after="0"/>
              <w:rPr>
                <w:sz w:val="22"/>
                <w:szCs w:val="22"/>
                <w:color w:val="auto"/>
              </w:rPr>
            </w:pPr>
          </w:p>
        </w:tc>
      </w:tr>
      <w:tr>
        <w:trPr>
          <w:trHeight w:val="156"/>
        </w:trPr>
        <w:tc>
          <w:tcPr>
            <w:tcW w:w="1060" w:type="dxa"/>
            <w:vAlign w:val="bottom"/>
          </w:tcPr>
          <w:p>
            <w:pPr>
              <w:spacing w:after="0"/>
              <w:rPr>
                <w:sz w:val="13"/>
                <w:szCs w:val="13"/>
                <w:color w:val="auto"/>
              </w:rPr>
            </w:pPr>
          </w:p>
        </w:tc>
        <w:tc>
          <w:tcPr>
            <w:tcW w:w="9800" w:type="dxa"/>
            <w:vAlign w:val="bottom"/>
            <w:gridSpan w:val="13"/>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S.A.B.)</w:t>
              </w:r>
            </w:hyperlink>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340" w:type="dxa"/>
            <w:vAlign w:val="bottom"/>
            <w:gridSpan w:val="15"/>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Arial" w:cs="Arial" w:eastAsia="Arial" w:hAnsi="Arial"/>
                <w:sz w:val="18"/>
                <w:szCs w:val="18"/>
                <w:color w:val="auto"/>
              </w:rPr>
              <w:t>99.2</w:t>
            </w:r>
          </w:p>
        </w:tc>
        <w:tc>
          <w:tcPr>
            <w:tcW w:w="9880" w:type="dxa"/>
            <w:vAlign w:val="bottom"/>
            <w:gridSpan w:val="17"/>
          </w:tcPr>
          <w:p>
            <w:pPr>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Report of Independent Registered Accounting Firm on the consolidated financial statements of Grupo Vasconia, S.A.B. (formerly Ekco,</w:t>
              </w:r>
            </w:hyperlink>
          </w:p>
        </w:tc>
      </w:tr>
      <w:tr>
        <w:trPr>
          <w:trHeight w:val="155"/>
        </w:trPr>
        <w:tc>
          <w:tcPr>
            <w:tcW w:w="1060" w:type="dxa"/>
            <w:vAlign w:val="bottom"/>
          </w:tcPr>
          <w:p>
            <w:pPr>
              <w:spacing w:after="0"/>
              <w:rPr>
                <w:sz w:val="13"/>
                <w:szCs w:val="13"/>
                <w:color w:val="auto"/>
              </w:rPr>
            </w:pPr>
          </w:p>
        </w:tc>
        <w:tc>
          <w:tcPr>
            <w:tcW w:w="98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15">
              <w:r>
                <w:rPr>
                  <w:rFonts w:ascii="Arial" w:cs="Arial" w:eastAsia="Arial" w:hAnsi="Arial"/>
                  <w:sz w:val="18"/>
                  <w:szCs w:val="18"/>
                  <w:color w:val="0000FF"/>
                </w:rPr>
                <w:t>S.A.B.)</w:t>
              </w:r>
            </w:hyperlink>
          </w:p>
        </w:tc>
        <w:tc>
          <w:tcPr>
            <w:tcW w:w="80" w:type="dxa"/>
            <w:vAlign w:val="bottom"/>
            <w:gridSpan w:val="4"/>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340" w:type="dxa"/>
            <w:vAlign w:val="bottom"/>
            <w:gridSpan w:val="15"/>
          </w:tcPr>
          <w:p>
            <w:pPr>
              <w:spacing w:after="0" w:line="20" w:lineRule="exact"/>
              <w:rPr>
                <w:sz w:val="1"/>
                <w:szCs w:val="1"/>
                <w:color w:val="auto"/>
              </w:rPr>
            </w:pPr>
          </w:p>
        </w:tc>
      </w:tr>
      <w:tr>
        <w:trPr>
          <w:trHeight w:val="303"/>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7"/>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060" w:type="dxa"/>
            <w:vAlign w:val="bottom"/>
          </w:tcPr>
          <w:p>
            <w:pPr>
              <w:spacing w:after="0"/>
              <w:rPr>
                <w:sz w:val="20"/>
                <w:szCs w:val="20"/>
                <w:color w:val="auto"/>
              </w:rPr>
            </w:pPr>
          </w:p>
        </w:tc>
        <w:tc>
          <w:tcPr>
            <w:tcW w:w="98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17"/>
          </w:tcPr>
          <w:p>
            <w:pPr>
              <w:spacing w:after="0"/>
              <w:rPr>
                <w:sz w:val="20"/>
                <w:szCs w:val="20"/>
                <w:color w:val="auto"/>
              </w:rPr>
            </w:pPr>
            <w:r>
              <w:rPr>
                <w:rFonts w:ascii="Arial" w:cs="Arial" w:eastAsia="Arial" w:hAnsi="Arial"/>
                <w:sz w:val="18"/>
                <w:szCs w:val="18"/>
                <w:color w:val="auto"/>
              </w:rPr>
              <w:t>The cover page from this Annual Report on Form 10-K, formatted in Inline XBRL</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exhibits:</w:t>
      </w:r>
    </w:p>
    <w:p>
      <w:pPr>
        <w:spacing w:after="0" w:line="117" w:lineRule="exact"/>
        <w:rPr>
          <w:sz w:val="20"/>
          <w:szCs w:val="20"/>
          <w:color w:val="auto"/>
        </w:rPr>
      </w:pPr>
    </w:p>
    <w:p>
      <w:pPr>
        <w:ind w:left="340" w:right="3580" w:hanging="8"/>
        <w:spacing w:after="0" w:line="402" w:lineRule="auto"/>
        <w:tabs>
          <w:tab w:leader="none" w:pos="5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Compensatory plans in which the directors and executive officers of the Company participate. (**) Furnished, not filed.</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Lifetime Brands, Inc.</w:t>
      </w:r>
    </w:p>
    <w:p>
      <w:pPr>
        <w:spacing w:after="0" w:line="33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31750</wp:posOffset>
            </wp:positionV>
            <wp:extent cx="2691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Robert B. Kay</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Date: March 13, 2020</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ind w:left="20"/>
              <w:spacing w:after="0"/>
              <w:rPr>
                <w:sz w:val="20"/>
                <w:szCs w:val="20"/>
                <w:color w:val="auto"/>
              </w:rPr>
            </w:pPr>
            <w:r>
              <w:rPr>
                <w:rFonts w:ascii="Arial" w:cs="Arial" w:eastAsia="Arial" w:hAnsi="Arial"/>
                <w:sz w:val="14"/>
                <w:szCs w:val="14"/>
                <w:color w:val="auto"/>
              </w:rPr>
              <w:t>Signature</w:t>
            </w:r>
          </w:p>
        </w:tc>
        <w:tc>
          <w:tcPr>
            <w:tcW w:w="4840" w:type="dxa"/>
            <w:vAlign w:val="bottom"/>
          </w:tcPr>
          <w:p>
            <w:pPr>
              <w:ind w:left="2780"/>
              <w:spacing w:after="0"/>
              <w:rPr>
                <w:sz w:val="20"/>
                <w:szCs w:val="20"/>
                <w:color w:val="auto"/>
              </w:rPr>
            </w:pPr>
            <w:r>
              <w:rPr>
                <w:rFonts w:ascii="Arial" w:cs="Arial" w:eastAsia="Arial" w:hAnsi="Arial"/>
                <w:sz w:val="14"/>
                <w:szCs w:val="14"/>
                <w:color w:val="auto"/>
              </w:rPr>
              <w:t>Title</w:t>
            </w:r>
          </w:p>
        </w:tc>
        <w:tc>
          <w:tcPr>
            <w:tcW w:w="2520" w:type="dxa"/>
            <w:vAlign w:val="bottom"/>
          </w:tcPr>
          <w:p>
            <w:pPr>
              <w:jc w:val="right"/>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309"/>
        </w:trPr>
        <w:tc>
          <w:tcPr>
            <w:tcW w:w="3860" w:type="dxa"/>
            <w:vAlign w:val="bottom"/>
          </w:tcPr>
          <w:p>
            <w:pPr>
              <w:ind w:left="20"/>
              <w:spacing w:after="0"/>
              <w:rPr>
                <w:sz w:val="20"/>
                <w:szCs w:val="20"/>
                <w:color w:val="auto"/>
              </w:rPr>
            </w:pPr>
            <w:r>
              <w:rPr>
                <w:rFonts w:ascii="Arial" w:cs="Arial" w:eastAsia="Arial" w:hAnsi="Arial"/>
                <w:sz w:val="18"/>
                <w:szCs w:val="18"/>
                <w:color w:val="auto"/>
              </w:rPr>
              <w:t>/s/ Robert B. Kay</w:t>
            </w:r>
          </w:p>
        </w:tc>
        <w:tc>
          <w:tcPr>
            <w:tcW w:w="48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484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Laurence Winoker</w:t>
            </w:r>
          </w:p>
        </w:tc>
        <w:tc>
          <w:tcPr>
            <w:tcW w:w="4840" w:type="dxa"/>
            <w:vAlign w:val="bottom"/>
          </w:tcPr>
          <w:p>
            <w:pPr>
              <w:ind w:left="140"/>
              <w:spacing w:after="0"/>
              <w:rPr>
                <w:sz w:val="20"/>
                <w:szCs w:val="20"/>
                <w:color w:val="auto"/>
              </w:rPr>
            </w:pPr>
            <w:r>
              <w:rPr>
                <w:rFonts w:ascii="Arial" w:cs="Arial" w:eastAsia="Arial" w:hAnsi="Arial"/>
                <w:sz w:val="18"/>
                <w:szCs w:val="18"/>
                <w:color w:val="auto"/>
              </w:rPr>
              <w:t>Senior Vice President – Finance,</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vMerge w:val="restart"/>
          </w:tcPr>
          <w:p>
            <w:pPr>
              <w:ind w:left="140"/>
              <w:spacing w:after="0"/>
              <w:rPr>
                <w:sz w:val="20"/>
                <w:szCs w:val="20"/>
                <w:color w:val="auto"/>
              </w:rPr>
            </w:pPr>
            <w:r>
              <w:rPr>
                <w:rFonts w:ascii="Arial" w:cs="Arial" w:eastAsia="Arial" w:hAnsi="Arial"/>
                <w:sz w:val="18"/>
                <w:szCs w:val="18"/>
                <w:color w:val="auto"/>
              </w:rPr>
              <w:t>Treasurer and Chief Financial Officer</w:t>
            </w: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484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Jeffrey Siegel</w:t>
            </w:r>
          </w:p>
        </w:tc>
        <w:tc>
          <w:tcPr>
            <w:tcW w:w="4840" w:type="dxa"/>
            <w:vAlign w:val="bottom"/>
          </w:tcPr>
          <w:p>
            <w:pPr>
              <w:ind w:left="140"/>
              <w:spacing w:after="0"/>
              <w:rPr>
                <w:sz w:val="20"/>
                <w:szCs w:val="20"/>
                <w:color w:val="auto"/>
              </w:rPr>
            </w:pPr>
            <w:r>
              <w:rPr>
                <w:rFonts w:ascii="Arial" w:cs="Arial" w:eastAsia="Arial" w:hAnsi="Arial"/>
                <w:sz w:val="18"/>
                <w:szCs w:val="18"/>
                <w:color w:val="auto"/>
              </w:rPr>
              <w:t>Executive Chairman of the Board of Directors</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Jeffrey Siegel</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Rachael Jarosh</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Rachael Jarosh</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John Koegel</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John Koegel</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Cherrie Nanninga</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Cherrie Nanninga</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Craig Phillips</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Craig Phillips</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Bruce Pollack</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Bruce Pollack</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Dennis E. Reaves</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Dennis E. Reaves</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Michael J. Regan</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Michael J. Regan</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60" w:type="dxa"/>
            <w:vAlign w:val="bottom"/>
          </w:tcPr>
          <w:p>
            <w:pPr>
              <w:ind w:left="20"/>
              <w:spacing w:after="0"/>
              <w:rPr>
                <w:sz w:val="20"/>
                <w:szCs w:val="20"/>
                <w:color w:val="auto"/>
              </w:rPr>
            </w:pPr>
            <w:r>
              <w:rPr>
                <w:rFonts w:ascii="Arial" w:cs="Arial" w:eastAsia="Arial" w:hAnsi="Arial"/>
                <w:sz w:val="18"/>
                <w:szCs w:val="18"/>
                <w:color w:val="auto"/>
              </w:rPr>
              <w:t>/s/ Michael Schnabel</w:t>
            </w:r>
          </w:p>
        </w:tc>
        <w:tc>
          <w:tcPr>
            <w:tcW w:w="4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jc w:val="right"/>
              <w:spacing w:after="0"/>
              <w:rPr>
                <w:sz w:val="20"/>
                <w:szCs w:val="20"/>
                <w:color w:val="auto"/>
              </w:rPr>
            </w:pPr>
            <w:r>
              <w:rPr>
                <w:rFonts w:ascii="Arial" w:cs="Arial" w:eastAsia="Arial" w:hAnsi="Arial"/>
                <w:sz w:val="18"/>
                <w:szCs w:val="18"/>
                <w:color w:val="auto"/>
              </w:rPr>
              <w:t>March 13, 2020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Michael Schnabel</w:t>
            </w:r>
          </w:p>
        </w:tc>
        <w:tc>
          <w:tcPr>
            <w:tcW w:w="48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FINANCIAL STATEMENTS AND FINANCIAL STATEMENT SCHEDULE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following consolidated financial statements of Lifetime Brands, Inc. are filed as part of this Annual Report under Item 8 – </w:t>
      </w:r>
      <w:r>
        <w:rPr>
          <w:rFonts w:ascii="Arial" w:cs="Arial" w:eastAsia="Arial" w:hAnsi="Arial"/>
          <w:sz w:val="18"/>
          <w:szCs w:val="18"/>
          <w:i w:val="1"/>
          <w:iCs w:val="1"/>
          <w:color w:val="auto"/>
        </w:rPr>
        <w:t>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36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Report of Independent Registered Public Accounting Firm</w:t>
              </w:r>
            </w:hyperlink>
          </w:p>
        </w:tc>
        <w:tc>
          <w:tcPr>
            <w:tcW w:w="840" w:type="dxa"/>
            <w:vAlign w:val="bottom"/>
          </w:tcPr>
          <w:p>
            <w:pPr>
              <w:ind w:left="600"/>
              <w:spacing w:after="0"/>
              <w:rPr>
                <w:rFonts w:ascii="Arial" w:cs="Arial" w:eastAsia="Arial" w:hAnsi="Arial"/>
                <w:sz w:val="18"/>
                <w:szCs w:val="18"/>
                <w:color w:val="0000FF"/>
                <w:w w:val="81"/>
              </w:rPr>
            </w:pPr>
            <w:hyperlink w:anchor="page63">
              <w:r>
                <w:rPr>
                  <w:rFonts w:ascii="Arial" w:cs="Arial" w:eastAsia="Arial" w:hAnsi="Arial"/>
                  <w:sz w:val="18"/>
                  <w:szCs w:val="18"/>
                  <w:color w:val="0000FF"/>
                  <w:w w:val="81"/>
                </w:rPr>
                <w:t>F-2</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9"/>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 xml:space="preserve">Consolidated Balance Sheets as of December 31, </w:t>
              </w:r>
            </w:hyperlink>
            <w:r>
              <w:rPr>
                <w:rFonts w:ascii="Arial" w:cs="Arial" w:eastAsia="Arial" w:hAnsi="Arial"/>
                <w:sz w:val="18"/>
                <w:szCs w:val="18"/>
                <w:color w:val="0E32E1"/>
              </w:rPr>
              <w:t>2019</w:t>
            </w:r>
            <w:r>
              <w:rPr>
                <w:rFonts w:ascii="Arial" w:cs="Arial" w:eastAsia="Arial" w:hAnsi="Arial"/>
                <w:sz w:val="18"/>
                <w:szCs w:val="18"/>
                <w:color w:val="0000FF"/>
              </w:rPr>
              <w:t xml:space="preserve"> </w:t>
            </w:r>
            <w:hyperlink w:anchor="page64">
              <w:r>
                <w:rPr>
                  <w:rFonts w:ascii="Arial" w:cs="Arial" w:eastAsia="Arial" w:hAnsi="Arial"/>
                  <w:sz w:val="18"/>
                  <w:szCs w:val="18"/>
                  <w:color w:val="0E32E1"/>
                </w:rPr>
                <w:t xml:space="preserve">and </w:t>
              </w:r>
            </w:hyperlink>
            <w:r>
              <w:rPr>
                <w:rFonts w:ascii="Arial" w:cs="Arial" w:eastAsia="Arial" w:hAnsi="Arial"/>
                <w:sz w:val="18"/>
                <w:szCs w:val="18"/>
                <w:color w:val="0000FF"/>
              </w:rPr>
              <w:t>2018</w:t>
            </w:r>
          </w:p>
        </w:tc>
        <w:tc>
          <w:tcPr>
            <w:tcW w:w="840" w:type="dxa"/>
            <w:vAlign w:val="bottom"/>
          </w:tcPr>
          <w:p>
            <w:pPr>
              <w:ind w:left="600"/>
              <w:spacing w:after="0"/>
              <w:rPr>
                <w:rFonts w:ascii="Arial" w:cs="Arial" w:eastAsia="Arial" w:hAnsi="Arial"/>
                <w:sz w:val="18"/>
                <w:szCs w:val="18"/>
                <w:color w:val="0000FF"/>
                <w:w w:val="81"/>
              </w:rPr>
            </w:pPr>
            <w:hyperlink w:anchor="page64">
              <w:r>
                <w:rPr>
                  <w:rFonts w:ascii="Arial" w:cs="Arial" w:eastAsia="Arial" w:hAnsi="Arial"/>
                  <w:sz w:val="18"/>
                  <w:szCs w:val="18"/>
                  <w:color w:val="0000FF"/>
                  <w:w w:val="81"/>
                </w:rPr>
                <w:t>F-3</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9"/>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 xml:space="preserve">Consolidated Statements of Operations for the Years ended December 31, 2019, </w:t>
              </w:r>
            </w:hyperlink>
            <w:r>
              <w:rPr>
                <w:rFonts w:ascii="Arial" w:cs="Arial" w:eastAsia="Arial" w:hAnsi="Arial"/>
                <w:sz w:val="18"/>
                <w:szCs w:val="18"/>
                <w:color w:val="0000FF"/>
              </w:rPr>
              <w:t xml:space="preserve">2018, </w:t>
            </w:r>
            <w:hyperlink w:anchor="page65">
              <w:r>
                <w:rPr>
                  <w:rFonts w:ascii="Arial" w:cs="Arial" w:eastAsia="Arial" w:hAnsi="Arial"/>
                  <w:sz w:val="18"/>
                  <w:szCs w:val="18"/>
                  <w:color w:val="0000FF"/>
                </w:rPr>
                <w:t>and 2017</w:t>
              </w:r>
            </w:hyperlink>
          </w:p>
        </w:tc>
        <w:tc>
          <w:tcPr>
            <w:tcW w:w="840" w:type="dxa"/>
            <w:vAlign w:val="bottom"/>
          </w:tcPr>
          <w:p>
            <w:pPr>
              <w:ind w:left="600"/>
              <w:spacing w:after="0"/>
              <w:rPr>
                <w:rFonts w:ascii="Arial" w:cs="Arial" w:eastAsia="Arial" w:hAnsi="Arial"/>
                <w:sz w:val="18"/>
                <w:szCs w:val="18"/>
                <w:color w:val="0000FF"/>
                <w:w w:val="81"/>
              </w:rPr>
            </w:pPr>
            <w:hyperlink w:anchor="page65">
              <w:r>
                <w:rPr>
                  <w:rFonts w:ascii="Arial" w:cs="Arial" w:eastAsia="Arial" w:hAnsi="Arial"/>
                  <w:sz w:val="18"/>
                  <w:szCs w:val="18"/>
                  <w:color w:val="0000FF"/>
                  <w:w w:val="81"/>
                </w:rPr>
                <w:t>F-4</w:t>
              </w:r>
            </w:hyperlink>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 xml:space="preserve">Consolidated Statements of Comprehensive (Loss) Income for the Years ended December 31, </w:t>
              </w:r>
            </w:hyperlink>
            <w:r>
              <w:rPr>
                <w:rFonts w:ascii="Arial" w:cs="Arial" w:eastAsia="Arial" w:hAnsi="Arial"/>
                <w:sz w:val="18"/>
                <w:szCs w:val="18"/>
                <w:color w:val="0000FF"/>
              </w:rPr>
              <w:t xml:space="preserve">2019, </w:t>
            </w:r>
            <w:hyperlink w:anchor="page66">
              <w:r>
                <w:rPr>
                  <w:rFonts w:ascii="Arial" w:cs="Arial" w:eastAsia="Arial" w:hAnsi="Arial"/>
                  <w:sz w:val="18"/>
                  <w:szCs w:val="18"/>
                  <w:color w:val="0000FF"/>
                </w:rPr>
                <w:t>2018 and 2017</w:t>
              </w:r>
            </w:hyperlink>
          </w:p>
        </w:tc>
        <w:tc>
          <w:tcPr>
            <w:tcW w:w="840" w:type="dxa"/>
            <w:vAlign w:val="bottom"/>
          </w:tcPr>
          <w:p>
            <w:pPr>
              <w:ind w:left="600"/>
              <w:spacing w:after="0"/>
              <w:rPr>
                <w:rFonts w:ascii="Arial" w:cs="Arial" w:eastAsia="Arial" w:hAnsi="Arial"/>
                <w:sz w:val="18"/>
                <w:szCs w:val="18"/>
                <w:color w:val="0000FF"/>
                <w:w w:val="81"/>
              </w:rPr>
            </w:pPr>
            <w:hyperlink w:anchor="page66">
              <w:r>
                <w:rPr>
                  <w:rFonts w:ascii="Arial" w:cs="Arial" w:eastAsia="Arial" w:hAnsi="Arial"/>
                  <w:sz w:val="18"/>
                  <w:szCs w:val="18"/>
                  <w:color w:val="0000FF"/>
                  <w:w w:val="81"/>
                </w:rPr>
                <w:t>F-5</w:t>
              </w:r>
            </w:hyperlink>
          </w:p>
        </w:tc>
      </w:tr>
      <w:tr>
        <w:trPr>
          <w:trHeight w:val="209"/>
        </w:trPr>
        <w:tc>
          <w:tcPr>
            <w:tcW w:w="20" w:type="dxa"/>
            <w:vAlign w:val="bottom"/>
          </w:tcPr>
          <w:p>
            <w:pPr>
              <w:spacing w:after="0"/>
              <w:rPr>
                <w:sz w:val="18"/>
                <w:szCs w:val="18"/>
                <w:color w:val="auto"/>
              </w:rPr>
            </w:pPr>
          </w:p>
        </w:tc>
        <w:tc>
          <w:tcPr>
            <w:tcW w:w="76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 xml:space="preserve">Consolidated Statements of Stockholders’ Equity for the Years ended December 31, </w:t>
              </w:r>
            </w:hyperlink>
            <w:r>
              <w:rPr>
                <w:rFonts w:ascii="Arial" w:cs="Arial" w:eastAsia="Arial" w:hAnsi="Arial"/>
                <w:sz w:val="18"/>
                <w:szCs w:val="18"/>
                <w:color w:val="0000FF"/>
                <w:w w:val="89"/>
              </w:rPr>
              <w:t xml:space="preserve">2019, </w:t>
            </w:r>
            <w:hyperlink w:anchor="page67">
              <w:r>
                <w:rPr>
                  <w:rFonts w:ascii="Arial" w:cs="Arial" w:eastAsia="Arial" w:hAnsi="Arial"/>
                  <w:sz w:val="18"/>
                  <w:szCs w:val="18"/>
                  <w:color w:val="0000FF"/>
                  <w:w w:val="89"/>
                </w:rPr>
                <w:t>2018, and 2017</w:t>
              </w:r>
            </w:hyperlink>
          </w:p>
        </w:tc>
        <w:tc>
          <w:tcPr>
            <w:tcW w:w="640" w:type="dxa"/>
            <w:vAlign w:val="bottom"/>
            <w:tcBorders>
              <w:top w:val="single" w:sz="8" w:color="0000FF"/>
            </w:tcBorders>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ind w:left="600"/>
              <w:spacing w:after="0"/>
              <w:rPr>
                <w:rFonts w:ascii="Arial" w:cs="Arial" w:eastAsia="Arial" w:hAnsi="Arial"/>
                <w:sz w:val="18"/>
                <w:szCs w:val="18"/>
                <w:color w:val="0000FF"/>
                <w:w w:val="81"/>
              </w:rPr>
            </w:pPr>
            <w:hyperlink w:anchor="page67">
              <w:r>
                <w:rPr>
                  <w:rFonts w:ascii="Arial" w:cs="Arial" w:eastAsia="Arial" w:hAnsi="Arial"/>
                  <w:sz w:val="18"/>
                  <w:szCs w:val="18"/>
                  <w:color w:val="0000FF"/>
                  <w:w w:val="81"/>
                </w:rPr>
                <w:t>F-6</w:t>
              </w:r>
            </w:hyperlink>
          </w:p>
        </w:tc>
      </w:tr>
      <w:tr>
        <w:trPr>
          <w:trHeight w:val="209"/>
        </w:trPr>
        <w:tc>
          <w:tcPr>
            <w:tcW w:w="20" w:type="dxa"/>
            <w:vAlign w:val="bottom"/>
          </w:tcPr>
          <w:p>
            <w:pPr>
              <w:spacing w:after="0"/>
              <w:rPr>
                <w:sz w:val="18"/>
                <w:szCs w:val="18"/>
                <w:color w:val="auto"/>
              </w:rPr>
            </w:pPr>
          </w:p>
        </w:tc>
        <w:tc>
          <w:tcPr>
            <w:tcW w:w="10360" w:type="dxa"/>
            <w:vAlign w:val="bottom"/>
            <w:gridSpan w:val="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 xml:space="preserve">Consolidated Statements of Cash Flows for the Years ended December 31, </w:t>
              </w:r>
            </w:hyperlink>
            <w:r>
              <w:rPr>
                <w:rFonts w:ascii="Arial" w:cs="Arial" w:eastAsia="Arial" w:hAnsi="Arial"/>
                <w:sz w:val="18"/>
                <w:szCs w:val="18"/>
                <w:color w:val="0000FF"/>
              </w:rPr>
              <w:t xml:space="preserve">2019, </w:t>
            </w:r>
            <w:hyperlink w:anchor="page68">
              <w:r>
                <w:rPr>
                  <w:rFonts w:ascii="Arial" w:cs="Arial" w:eastAsia="Arial" w:hAnsi="Arial"/>
                  <w:sz w:val="18"/>
                  <w:szCs w:val="18"/>
                  <w:color w:val="0000FF"/>
                </w:rPr>
                <w:t>2018, and 2017</w:t>
              </w:r>
            </w:hyperlink>
          </w:p>
        </w:tc>
        <w:tc>
          <w:tcPr>
            <w:tcW w:w="840" w:type="dxa"/>
            <w:vAlign w:val="bottom"/>
          </w:tcPr>
          <w:p>
            <w:pPr>
              <w:ind w:left="600"/>
              <w:spacing w:after="0"/>
              <w:rPr>
                <w:rFonts w:ascii="Arial" w:cs="Arial" w:eastAsia="Arial" w:hAnsi="Arial"/>
                <w:sz w:val="18"/>
                <w:szCs w:val="18"/>
                <w:color w:val="0000FF"/>
                <w:w w:val="81"/>
              </w:rPr>
            </w:pPr>
            <w:hyperlink w:anchor="page68">
              <w:r>
                <w:rPr>
                  <w:rFonts w:ascii="Arial" w:cs="Arial" w:eastAsia="Arial" w:hAnsi="Arial"/>
                  <w:sz w:val="18"/>
                  <w:szCs w:val="18"/>
                  <w:color w:val="0000FF"/>
                  <w:w w:val="81"/>
                </w:rPr>
                <w:t>F-7</w:t>
              </w:r>
            </w:hyperlink>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Notes to Consolidated Financial Statements</w:t>
              </w:r>
            </w:hyperlink>
          </w:p>
        </w:tc>
        <w:tc>
          <w:tcPr>
            <w:tcW w:w="3860" w:type="dxa"/>
            <w:vAlign w:val="bottom"/>
            <w:tcBorders>
              <w:top w:val="single" w:sz="8" w:color="0000FF"/>
            </w:tcBorders>
            <w:gridSpan w:val="5"/>
          </w:tcPr>
          <w:p>
            <w:pPr>
              <w:spacing w:after="0"/>
              <w:rPr>
                <w:sz w:val="18"/>
                <w:szCs w:val="18"/>
                <w:color w:val="auto"/>
              </w:rPr>
            </w:pPr>
          </w:p>
        </w:tc>
        <w:tc>
          <w:tcPr>
            <w:tcW w:w="3340" w:type="dxa"/>
            <w:vAlign w:val="bottom"/>
            <w:gridSpan w:val="3"/>
          </w:tcPr>
          <w:p>
            <w:pPr>
              <w:spacing w:after="0"/>
              <w:rPr>
                <w:sz w:val="18"/>
                <w:szCs w:val="18"/>
                <w:color w:val="auto"/>
              </w:rPr>
            </w:pPr>
          </w:p>
        </w:tc>
        <w:tc>
          <w:tcPr>
            <w:tcW w:w="840" w:type="dxa"/>
            <w:vAlign w:val="bottom"/>
          </w:tcPr>
          <w:p>
            <w:pPr>
              <w:ind w:left="600"/>
              <w:spacing w:after="0"/>
              <w:rPr>
                <w:rFonts w:ascii="Arial" w:cs="Arial" w:eastAsia="Arial" w:hAnsi="Arial"/>
                <w:sz w:val="18"/>
                <w:szCs w:val="18"/>
                <w:color w:val="0000FF"/>
                <w:w w:val="81"/>
              </w:rPr>
            </w:pPr>
            <w:hyperlink w:anchor="page69">
              <w:r>
                <w:rPr>
                  <w:rFonts w:ascii="Arial" w:cs="Arial" w:eastAsia="Arial" w:hAnsi="Arial"/>
                  <w:sz w:val="18"/>
                  <w:szCs w:val="18"/>
                  <w:color w:val="0000FF"/>
                  <w:w w:val="81"/>
                </w:rPr>
                <w:t>F-8</w:t>
              </w:r>
            </w:hyperlink>
          </w:p>
        </w:tc>
      </w:tr>
      <w:tr>
        <w:trPr>
          <w:trHeight w:val="453"/>
        </w:trPr>
        <w:tc>
          <w:tcPr>
            <w:tcW w:w="10380" w:type="dxa"/>
            <w:vAlign w:val="bottom"/>
            <w:gridSpan w:val="10"/>
          </w:tcPr>
          <w:p>
            <w:pPr>
              <w:spacing w:after="0"/>
              <w:rPr>
                <w:sz w:val="20"/>
                <w:szCs w:val="20"/>
                <w:color w:val="auto"/>
              </w:rPr>
            </w:pPr>
            <w:r>
              <w:rPr>
                <w:rFonts w:ascii="Arial" w:cs="Arial" w:eastAsia="Arial" w:hAnsi="Arial"/>
                <w:sz w:val="18"/>
                <w:szCs w:val="18"/>
                <w:color w:val="auto"/>
                <w:w w:val="97"/>
              </w:rPr>
              <w:t>The following consolidated financial statement schedule of Lifetime Brands, Inc. required pursuant to Item 15(a) is submitted herewith:</w:t>
            </w:r>
          </w:p>
        </w:tc>
        <w:tc>
          <w:tcPr>
            <w:tcW w:w="84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35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Schedule II – Valuation and Qualifying Accounts</w:t>
              </w:r>
            </w:hyperlink>
          </w:p>
        </w:tc>
        <w:tc>
          <w:tcPr>
            <w:tcW w:w="6780" w:type="dxa"/>
            <w:vAlign w:val="bottom"/>
            <w:gridSpan w:val="7"/>
          </w:tcPr>
          <w:p>
            <w:pPr>
              <w:spacing w:after="0"/>
              <w:rPr>
                <w:sz w:val="24"/>
                <w:szCs w:val="24"/>
                <w:color w:val="auto"/>
              </w:rPr>
            </w:pPr>
          </w:p>
        </w:tc>
        <w:tc>
          <w:tcPr>
            <w:tcW w:w="840" w:type="dxa"/>
            <w:vAlign w:val="bottom"/>
          </w:tcPr>
          <w:p>
            <w:pPr>
              <w:ind w:left="600"/>
              <w:spacing w:after="0"/>
              <w:rPr>
                <w:rFonts w:ascii="Arial" w:cs="Arial" w:eastAsia="Arial" w:hAnsi="Arial"/>
                <w:sz w:val="18"/>
                <w:szCs w:val="18"/>
                <w:color w:val="0000FF"/>
                <w:w w:val="78"/>
              </w:rPr>
            </w:pPr>
            <w:hyperlink w:anchor="page102">
              <w:r>
                <w:rPr>
                  <w:rFonts w:ascii="Arial" w:cs="Arial" w:eastAsia="Arial" w:hAnsi="Arial"/>
                  <w:sz w:val="18"/>
                  <w:szCs w:val="18"/>
                  <w:color w:val="0000FF"/>
                  <w:w w:val="78"/>
                </w:rPr>
                <w:t>S-1</w:t>
              </w:r>
            </w:hyperlink>
          </w:p>
        </w:tc>
      </w:tr>
      <w:tr>
        <w:trPr>
          <w:trHeight w:val="453"/>
        </w:trPr>
        <w:tc>
          <w:tcPr>
            <w:tcW w:w="10380" w:type="dxa"/>
            <w:vAlign w:val="bottom"/>
            <w:gridSpan w:val="10"/>
          </w:tcPr>
          <w:p>
            <w:pPr>
              <w:spacing w:after="0"/>
              <w:rPr>
                <w:sz w:val="20"/>
                <w:szCs w:val="20"/>
                <w:color w:val="auto"/>
              </w:rPr>
            </w:pPr>
            <w:r>
              <w:rPr>
                <w:rFonts w:ascii="Arial" w:cs="Arial" w:eastAsia="Arial" w:hAnsi="Arial"/>
                <w:sz w:val="18"/>
                <w:szCs w:val="18"/>
                <w:color w:val="auto"/>
              </w:rPr>
              <w:t>All other financial schedules are not required under the related instructions or are inapplicable, and therefore have been omitted.</w:t>
            </w:r>
          </w:p>
        </w:tc>
        <w:tc>
          <w:tcPr>
            <w:tcW w:w="840" w:type="dxa"/>
            <w:vAlign w:val="bottom"/>
          </w:tcPr>
          <w:p>
            <w:pPr>
              <w:spacing w:after="0"/>
              <w:rPr>
                <w:sz w:val="24"/>
                <w:szCs w:val="24"/>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unaudited supplementary data regarding quarterly results of operations are incorporated by reference to the information set forth in Item 8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Lifetime Brands,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audited the accompanying consolidated balance sheets of Lifetime Brands, Inc. and subsidiaries (the Company) as of December 31, 2019 and 2018, the related consolidated statements of operations, comprehensive (loss) income, stockholders' equity and cash flows for each of the three years in the period ended December 31, 2019, and the related notes</w:t>
      </w:r>
      <w:r>
        <w:rPr>
          <w:sz w:val="1"/>
          <w:szCs w:val="1"/>
          <w:color w:val="auto"/>
        </w:rPr>
        <w:drawing>
          <wp:inline distT="0" distB="0" distL="0" distR="0">
            <wp:extent cx="17145" cy="857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7"/>
          <w:szCs w:val="17"/>
          <w:color w:val="auto"/>
        </w:rPr>
        <w:t>and the financial statement schedule listed in the Index at Item 15(a)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did not audit the financial statements of Grupo Vasconia, S.A.B. and Subsidiaries, a corporation in which the Company has a 30% interest. In the consolidated financial statements, the Company’s investment in Grupo Vasconia, S.A.B. and Subsidiaries is stated at $21.3 million and $22.6 million as of December 31, 2019 and 2018, respectively, and the Company’s equity in the net income of Grupo Vasconia, S.A.B. and Subsidiaries is stated at $0.5 million in 2019, $0.9 million in 2018 and $0.4 million in 2017. Those statements were audited by other auditors whose reports have been furnished to us, and our opinion, insofar as it relates to the amounts included for Grupo Vasconia, S.A.B. and Subsidiaries, is based solely on the reports of the other auditors.</w:t>
      </w:r>
    </w:p>
    <w:p>
      <w:pPr>
        <w:spacing w:after="0" w:line="21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13, 2020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ASU No. 2016-02, </w:t>
      </w:r>
      <w:r>
        <w:rPr>
          <w:rFonts w:ascii="Arial" w:cs="Arial" w:eastAsia="Arial" w:hAnsi="Arial"/>
          <w:sz w:val="18"/>
          <w:szCs w:val="18"/>
          <w:b w:val="1"/>
          <w:bCs w:val="1"/>
          <w:i w:val="1"/>
          <w:iCs w:val="1"/>
          <w:color w:val="auto"/>
        </w:rPr>
        <w:t>Leases</w:t>
      </w:r>
    </w:p>
    <w:p>
      <w:pPr>
        <w:spacing w:after="0" w:line="2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As discussed in Note A to the consolidated financial statements, the Company changed its method of accounting for leases in 2019 due to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reports of other auditors provide a reasonable basis for our opinion.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rPr>
          <w:sz w:val="20"/>
          <w:szCs w:val="20"/>
          <w:color w:val="auto"/>
        </w:rPr>
      </w:pPr>
      <w:r>
        <w:rPr>
          <w:rFonts w:ascii="Arial" w:cs="Arial" w:eastAsia="Arial" w:hAnsi="Arial"/>
          <w:sz w:val="18"/>
          <w:szCs w:val="18"/>
          <w:color w:val="auto"/>
        </w:rPr>
        <w:t>March 13, 2020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left="10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8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18"/>
                <w:szCs w:val="18"/>
                <w:color w:val="auto"/>
                <w:w w:val="98"/>
              </w:rPr>
              <w:t>Accounts receivable, less allowances of $9,681 at December 31, 2019 and $7,855 at December 31, 2018</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128,639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125,292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173,427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173,601</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14,140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329,153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8"/>
              </w:rPr>
              <w:t>318,804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28,168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106,871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280,471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338,847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00" w:type="dxa"/>
            <w:vAlign w:val="bottom"/>
          </w:tcPr>
          <w:p>
            <w:pPr>
              <w:spacing w:after="0"/>
              <w:rPr>
                <w:sz w:val="24"/>
                <w:szCs w:val="24"/>
                <w:color w:val="auto"/>
              </w:rPr>
            </w:pPr>
          </w:p>
        </w:tc>
        <w:tc>
          <w:tcPr>
            <w:tcW w:w="86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770,023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708,572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8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36,173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38,167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52,060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45,456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10,661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8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107,307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84,876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112,180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INCOME TAXES PAYABLE, LONG-TERM</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32,822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42,080</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254,281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262,694</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640" w:type="dxa"/>
            <w:vAlign w:val="bottom"/>
          </w:tcPr>
          <w:p>
            <w:pPr>
              <w:ind w:left="360"/>
              <w:spacing w:after="0" w:line="176" w:lineRule="exact"/>
              <w:rPr>
                <w:sz w:val="20"/>
                <w:szCs w:val="20"/>
                <w:color w:val="auto"/>
              </w:rPr>
            </w:pPr>
            <w:r>
              <w:rPr>
                <w:rFonts w:ascii="Arial" w:cs="Arial" w:eastAsia="Arial" w:hAnsi="Arial"/>
                <w:sz w:val="18"/>
                <w:szCs w:val="18"/>
                <w:color w:val="auto"/>
                <w:w w:val="89"/>
              </w:rPr>
              <w:t>Preferred stock, $1.00 par value, shares authorized: 100 shares of Series A and 2,000,000 shares of Series B; none</w:t>
            </w:r>
          </w:p>
        </w:tc>
        <w:tc>
          <w:tcPr>
            <w:tcW w:w="300" w:type="dxa"/>
            <w:vAlign w:val="bottom"/>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8640" w:type="dxa"/>
            <w:vAlign w:val="bottom"/>
          </w:tcPr>
          <w:p>
            <w:pPr>
              <w:ind w:left="52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w w:val="91"/>
              </w:rPr>
              <w:t>CCommon stock, $0.01 par value, shares authorized: 50,000,000 at December 31, 2019 and 2018; shares issued and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21,255,660 at December 31, 2019 and 20,764,143 at December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263,386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258,637</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8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55,264</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6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(34,455)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(34,616)</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236,317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8"/>
              </w:rPr>
              <w:t>279,493</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8640" w:type="dxa"/>
            <w:vAlign w:val="bottom"/>
          </w:tcPr>
          <w:p>
            <w:pPr>
              <w:ind w:left="11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770,023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8"/>
              </w:rPr>
              <w:t>708,572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734,902</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579,476</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479,711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448,785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364,319</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215,157</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69,716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58,050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162,933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140,903</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18,579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Loss on early retirement of debt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 and equity in earnings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vMerge w:val="continue"/>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Other comprehensive income (loss) , net of tax:</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Deferred (losses) gains on cash flow hedges :</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 of 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680"/>
              <w:spacing w:after="0"/>
              <w:rPr>
                <w:sz w:val="20"/>
                <w:szCs w:val="20"/>
                <w:color w:val="auto"/>
              </w:rPr>
            </w:pPr>
            <w:r>
              <w:rPr>
                <w:rFonts w:ascii="Arial" w:cs="Arial" w:eastAsia="Arial" w:hAnsi="Arial"/>
                <w:sz w:val="18"/>
                <w:szCs w:val="18"/>
                <w:color w:val="auto"/>
              </w:rPr>
              <w:t>Fair value adjustment, net of tax of $347 in 2019, $38 in 2018 and $0 in 2017</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deferred gains on cash flow hedges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2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Net (loss) income arising from retirement benefit obligations, net of tax of $(251) in 2019,</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$93 in 2018 and $(132) in 2017</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680"/>
              <w:spacing w:after="0" w:line="176" w:lineRule="exact"/>
              <w:rPr>
                <w:sz w:val="20"/>
                <w:szCs w:val="20"/>
                <w:color w:val="auto"/>
              </w:rPr>
            </w:pPr>
            <w:r>
              <w:rPr>
                <w:rFonts w:ascii="Arial" w:cs="Arial" w:eastAsia="Arial" w:hAnsi="Arial"/>
                <w:sz w:val="18"/>
                <w:szCs w:val="18"/>
                <w:color w:val="auto"/>
                <w:w w:val="94"/>
              </w:rPr>
              <w:t>Less: amortization of loss included in net (loss) income, net of tax of $34 in 2019, $23 in</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2018 and $42 in 2017</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effects of retirement benefit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jc w:val="center"/>
        <w:ind w:right="-179"/>
        <w:spacing w:after="0"/>
        <w:rPr>
          <w:sz w:val="20"/>
          <w:szCs w:val="20"/>
          <w:color w:val="auto"/>
        </w:rPr>
      </w:pPr>
      <w:r>
        <w:rPr>
          <w:rFonts w:ascii="Arial" w:cs="Arial" w:eastAsia="Arial" w:hAnsi="Arial"/>
          <w:sz w:val="18"/>
          <w:szCs w:val="18"/>
          <w:b w:val="1"/>
          <w:bCs w:val="1"/>
          <w:color w:val="auto"/>
        </w:rPr>
        <w:t>LIFETIME BRANDS, INC.</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8"/>
                <w:szCs w:val="18"/>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7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14,556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5"/>
              </w:rPr>
              <w:t>173,600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60,981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(36,999)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197,728</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comprehensive income</w:t>
            </w: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Restricted shares issued to directors</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issuance of restricted shares to employees</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exercise of stock options</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Shares effectively repurchased for required employee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withholding taxes</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Adoption of ASU 2016-09</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88"/>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7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14,903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5"/>
              </w:rPr>
              <w:t>178,909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60,546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210,279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(loss)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Restricted shares issued to directors</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issuance of restricted shares to employees</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440" w:type="dxa"/>
            <w:vAlign w:val="bottom"/>
          </w:tcPr>
          <w:p>
            <w:pPr>
              <w:spacing w:after="0" w:line="176" w:lineRule="exact"/>
              <w:rPr>
                <w:sz w:val="20"/>
                <w:szCs w:val="20"/>
                <w:color w:val="auto"/>
              </w:rPr>
            </w:pPr>
            <w:r>
              <w:rPr>
                <w:rFonts w:ascii="Arial" w:cs="Arial" w:eastAsia="Arial" w:hAnsi="Arial"/>
                <w:sz w:val="18"/>
                <w:szCs w:val="18"/>
                <w:color w:val="auto"/>
              </w:rPr>
              <w:t>Issuance of 5,593,116 shares of common stock for</w:t>
            </w:r>
          </w:p>
        </w:tc>
        <w:tc>
          <w:tcPr>
            <w:tcW w:w="780" w:type="dxa"/>
            <w:vAlign w:val="bottom"/>
            <w:vMerge w:val="restart"/>
          </w:tcPr>
          <w:p>
            <w:pPr>
              <w:jc w:val="right"/>
              <w:ind w:right="71"/>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8"/>
                <w:szCs w:val="18"/>
                <w:color w:val="auto"/>
              </w:rPr>
              <w:t>75,914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75,970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acquisition of Filament, net of equity issuance costs</w:t>
            </w: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Net exercise of stock options</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effectively repurchased for required employee</w:t>
            </w: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 taxes</w:t>
            </w: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89"/>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7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20,764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5"/>
              </w:rPr>
              <w:t>258,637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55,264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(34,616)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279,493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(loss)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(44,415)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(44,415)</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Translation adjustment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Derivative fair value adjustment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4440" w:type="dxa"/>
            <w:vAlign w:val="bottom"/>
          </w:tcPr>
          <w:p>
            <w:pPr>
              <w:ind w:left="300"/>
              <w:spacing w:after="0"/>
              <w:rPr>
                <w:sz w:val="20"/>
                <w:szCs w:val="20"/>
                <w:color w:val="auto"/>
              </w:rPr>
            </w:pPr>
            <w:r>
              <w:rPr>
                <w:rFonts w:ascii="Arial" w:cs="Arial" w:eastAsia="Arial" w:hAnsi="Arial"/>
                <w:sz w:val="18"/>
                <w:szCs w:val="18"/>
                <w:color w:val="auto"/>
              </w:rPr>
              <w:t>Effect of retirement benefit obligations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(44,254)</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r>
              <w:rPr>
                <w:rFonts w:ascii="Arial" w:cs="Arial" w:eastAsia="Arial" w:hAnsi="Arial"/>
                <w:sz w:val="18"/>
                <w:szCs w:val="18"/>
                <w:color w:val="auto"/>
              </w:rPr>
              <w:t>Performance shares issued to employees</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issuance of restricted shares to employees</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exercise of stock options</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Shares effectively repurchased for required employee</w:t>
            </w: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4440" w:type="dxa"/>
            <w:vAlign w:val="bottom"/>
          </w:tcPr>
          <w:p>
            <w:pPr>
              <w:ind w:left="160"/>
              <w:spacing w:after="0"/>
              <w:rPr>
                <w:sz w:val="20"/>
                <w:szCs w:val="20"/>
                <w:color w:val="auto"/>
              </w:rPr>
            </w:pPr>
            <w:r>
              <w:rPr>
                <w:rFonts w:ascii="Arial" w:cs="Arial" w:eastAsia="Arial" w:hAnsi="Arial"/>
                <w:sz w:val="18"/>
                <w:szCs w:val="18"/>
                <w:color w:val="auto"/>
              </w:rPr>
              <w:t>withholding taxes</w:t>
            </w: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21,256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5"/>
              </w:rPr>
              <w:t>263,386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236,317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40" w:right="2020" w:hanging="3832"/>
        <w:spacing w:after="0" w:line="227" w:lineRule="auto"/>
        <w:tabs>
          <w:tab w:leader="none" w:pos="472"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Cash dividend declared per share of common stock, were $0.17, $0.17 and $0.17 in 2017, 2018 and 2019, respectively. See Notes to consolidated financial statements.</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6" w:right="51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3"/>
        </w:trPr>
        <w:tc>
          <w:tcPr>
            <w:tcW w:w="7280" w:type="dxa"/>
            <w:vAlign w:val="bottom"/>
          </w:tcPr>
          <w:p>
            <w:pPr>
              <w:ind w:left="36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(44,415)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2,154</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3"/>
        </w:trPr>
        <w:tc>
          <w:tcPr>
            <w:tcW w:w="728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14,189</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Impairment of goodwill</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42,990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80" w:type="dxa"/>
            <w:vAlign w:val="bottom"/>
          </w:tcPr>
          <w:p>
            <w:pPr>
              <w:ind w:left="660"/>
              <w:spacing w:after="0"/>
              <w:rPr>
                <w:sz w:val="20"/>
                <w:szCs w:val="20"/>
                <w:color w:val="auto"/>
              </w:rPr>
            </w:pPr>
            <w:r>
              <w:rPr>
                <w:rFonts w:ascii="Arial" w:cs="Arial" w:eastAsia="Arial" w:hAnsi="Arial"/>
                <w:sz w:val="16"/>
                <w:szCs w:val="16"/>
                <w:color w:val="auto"/>
              </w:rPr>
              <w:t>Amortization of financing costs</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519</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rent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r>
      <w:tr>
        <w:trPr>
          <w:trHeight w:val="223"/>
        </w:trPr>
        <w:tc>
          <w:tcPr>
            <w:tcW w:w="7280" w:type="dxa"/>
            <w:vAlign w:val="bottom"/>
          </w:tcPr>
          <w:p>
            <w:pPr>
              <w:ind w:left="660"/>
              <w:spacing w:after="0"/>
              <w:rPr>
                <w:sz w:val="20"/>
                <w:szCs w:val="20"/>
                <w:color w:val="auto"/>
              </w:rPr>
            </w:pPr>
            <w:r>
              <w:rPr>
                <w:rFonts w:ascii="Arial" w:cs="Arial" w:eastAsia="Arial" w:hAnsi="Arial"/>
                <w:sz w:val="16"/>
                <w:szCs w:val="16"/>
                <w:color w:val="auto"/>
              </w:rPr>
              <w:t>Non-cash lease expense</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1,030</w:t>
            </w:r>
          </w:p>
        </w:tc>
      </w:tr>
      <w:tr>
        <w:trPr>
          <w:trHeight w:val="224"/>
        </w:trPr>
        <w:tc>
          <w:tcPr>
            <w:tcW w:w="7280" w:type="dxa"/>
            <w:vAlign w:val="bottom"/>
          </w:tcPr>
          <w:p>
            <w:pPr>
              <w:ind w:left="66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3,390</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Undistributed equity earnings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r>
      <w:tr>
        <w:trPr>
          <w:trHeight w:val="223"/>
        </w:trPr>
        <w:tc>
          <w:tcPr>
            <w:tcW w:w="7280" w:type="dxa"/>
            <w:vAlign w:val="bottom"/>
          </w:tcPr>
          <w:p>
            <w:pPr>
              <w:ind w:left="660"/>
              <w:spacing w:after="0"/>
              <w:rPr>
                <w:sz w:val="20"/>
                <w:szCs w:val="20"/>
                <w:color w:val="auto"/>
              </w:rPr>
            </w:pPr>
            <w:r>
              <w:rPr>
                <w:rFonts w:ascii="Arial" w:cs="Arial" w:eastAsia="Arial" w:hAnsi="Arial"/>
                <w:sz w:val="16"/>
                <w:szCs w:val="16"/>
                <w:color w:val="auto"/>
              </w:rPr>
              <w:t>Loss on early retirement of debt</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110</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SKU Rationalization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80" w:type="dxa"/>
            <w:vAlign w:val="bottom"/>
          </w:tcPr>
          <w:p>
            <w:pPr>
              <w:ind w:left="660"/>
              <w:spacing w:after="0"/>
              <w:rPr>
                <w:sz w:val="20"/>
                <w:szCs w:val="20"/>
                <w:color w:val="auto"/>
              </w:rPr>
            </w:pPr>
            <w:r>
              <w:rPr>
                <w:rFonts w:ascii="Arial" w:cs="Arial" w:eastAsia="Arial" w:hAnsi="Arial"/>
                <w:sz w:val="16"/>
                <w:szCs w:val="16"/>
                <w:color w:val="auto"/>
              </w:rPr>
              <w:t>Contingent consideration fair value adjustment</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 (excluding the effects of business acquisitions)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728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1,481</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10,818</w:t>
            </w:r>
          </w:p>
        </w:tc>
      </w:tr>
      <w:tr>
        <w:trPr>
          <w:trHeight w:val="223"/>
        </w:trPr>
        <w:tc>
          <w:tcPr>
            <w:tcW w:w="7280" w:type="dxa"/>
            <w:vAlign w:val="bottom"/>
          </w:tcPr>
          <w:p>
            <w:pPr>
              <w:ind w:left="66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(951)</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(9,778)</w:t>
            </w:r>
          </w:p>
        </w:tc>
      </w:tr>
      <w:tr>
        <w:trPr>
          <w:trHeight w:val="224"/>
        </w:trPr>
        <w:tc>
          <w:tcPr>
            <w:tcW w:w="7280" w:type="dxa"/>
            <w:vAlign w:val="bottom"/>
          </w:tcPr>
          <w:p>
            <w:pPr>
              <w:ind w:left="66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(4,935)</w:t>
            </w:r>
          </w:p>
        </w:tc>
      </w:tr>
      <w:tr>
        <w:trPr>
          <w:trHeight w:val="217"/>
        </w:trPr>
        <w:tc>
          <w:tcPr>
            <w:tcW w:w="7280" w:type="dxa"/>
            <w:vAlign w:val="bottom"/>
          </w:tcPr>
          <w:p>
            <w:pPr>
              <w:ind w:left="80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29,872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19,175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17,006</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(6,311)</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Filament acquisition, net of cash acquired</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(216,527)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80" w:type="dxa"/>
            <w:vAlign w:val="bottom"/>
          </w:tcPr>
          <w:p>
            <w:pPr>
              <w:ind w:left="340"/>
              <w:spacing w:after="0"/>
              <w:rPr>
                <w:sz w:val="20"/>
                <w:szCs w:val="20"/>
                <w:color w:val="auto"/>
              </w:rPr>
            </w:pPr>
            <w:r>
              <w:rPr>
                <w:rFonts w:ascii="Arial" w:cs="Arial" w:eastAsia="Arial" w:hAnsi="Arial"/>
                <w:sz w:val="16"/>
                <w:szCs w:val="16"/>
                <w:color w:val="auto"/>
              </w:rPr>
              <w:t>Fitz acquisition, net of cash acquired</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(9,072)</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proceeds from sale of property</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17"/>
        </w:trPr>
        <w:tc>
          <w:tcPr>
            <w:tcW w:w="7280" w:type="dxa"/>
            <w:vAlign w:val="bottom"/>
          </w:tcPr>
          <w:p>
            <w:pPr>
              <w:ind w:left="80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(224,180)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(15,368)</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345,494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268,912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237,658</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revolving credit facility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(355,730)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(320,767)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(229,696)</w:t>
            </w: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Proceeds from Term Loan</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Term Loan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Repayments of Credit Agreement term loan</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(9,500)</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short term loan</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w:t>
            </w: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Payments from short term loan</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(239)</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 of financing costs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r>
      <w:tr>
        <w:trPr>
          <w:trHeight w:val="224"/>
        </w:trPr>
        <w:tc>
          <w:tcPr>
            <w:tcW w:w="7280" w:type="dxa"/>
            <w:vAlign w:val="bottom"/>
          </w:tcPr>
          <w:p>
            <w:pPr>
              <w:ind w:left="340"/>
              <w:spacing w:after="0"/>
              <w:rPr>
                <w:sz w:val="20"/>
                <w:szCs w:val="20"/>
                <w:color w:val="auto"/>
              </w:rPr>
            </w:pPr>
            <w:r>
              <w:rPr>
                <w:rFonts w:ascii="Arial" w:cs="Arial" w:eastAsia="Arial" w:hAnsi="Arial"/>
                <w:sz w:val="16"/>
                <w:szCs w:val="16"/>
                <w:color w:val="auto"/>
              </w:rPr>
              <w:t>Payment of equity issuance costs</w:t>
            </w: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(2,475)</w:t>
            </w:r>
          </w:p>
        </w:tc>
      </w:tr>
      <w:tr>
        <w:trPr>
          <w:trHeight w:val="223"/>
        </w:trPr>
        <w:tc>
          <w:tcPr>
            <w:tcW w:w="7280" w:type="dxa"/>
            <w:vAlign w:val="bottom"/>
          </w:tcPr>
          <w:p>
            <w:pPr>
              <w:ind w:left="340"/>
              <w:spacing w:after="0"/>
              <w:rPr>
                <w:sz w:val="20"/>
                <w:szCs w:val="20"/>
                <w:color w:val="auto"/>
              </w:rPr>
            </w:pPr>
            <w:r>
              <w:rPr>
                <w:rFonts w:ascii="Arial" w:cs="Arial" w:eastAsia="Arial" w:hAnsi="Arial"/>
                <w:sz w:val="16"/>
                <w:szCs w:val="16"/>
                <w:color w:val="auto"/>
              </w:rPr>
              <w:t>Payment of capital lease obligations</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33"/>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the exercise of stock options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2,537</w:t>
            </w:r>
          </w:p>
        </w:tc>
      </w:tr>
      <w:tr>
        <w:trPr>
          <w:trHeight w:val="224"/>
        </w:trPr>
        <w:tc>
          <w:tcPr>
            <w:tcW w:w="7280" w:type="dxa"/>
            <w:vAlign w:val="bottom"/>
          </w:tcPr>
          <w:p>
            <w:pPr>
              <w:ind w:left="340"/>
              <w:spacing w:after="0"/>
              <w:rPr>
                <w:sz w:val="20"/>
                <w:szCs w:val="20"/>
                <w:color w:val="auto"/>
              </w:rPr>
            </w:pPr>
            <w:r>
              <w:rPr>
                <w:rFonts w:ascii="Arial" w:cs="Arial" w:eastAsia="Arial" w:hAnsi="Arial"/>
                <w:sz w:val="16"/>
                <w:szCs w:val="16"/>
                <w:color w:val="auto"/>
              </w:rPr>
              <w:t>Payments of tax withholding for stock based compensation</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(644)</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w:t>
            </w:r>
          </w:p>
        </w:tc>
      </w:tr>
      <w:tr>
        <w:trPr>
          <w:trHeight w:val="217"/>
        </w:trPr>
        <w:tc>
          <w:tcPr>
            <w:tcW w:w="7280" w:type="dxa"/>
            <w:vAlign w:val="bottom"/>
          </w:tcPr>
          <w:p>
            <w:pPr>
              <w:ind w:left="20"/>
              <w:spacing w:after="0"/>
              <w:rPr>
                <w:sz w:val="20"/>
                <w:szCs w:val="20"/>
                <w:color w:val="auto"/>
              </w:rPr>
            </w:pPr>
            <w:r>
              <w:rPr>
                <w:rFonts w:ascii="Arial" w:cs="Arial" w:eastAsia="Arial" w:hAnsi="Arial"/>
                <w:sz w:val="16"/>
                <w:szCs w:val="16"/>
                <w:color w:val="auto"/>
              </w:rPr>
              <w:t>Effect of foreign exchange on cash</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376</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r>
      <w:tr>
        <w:trPr>
          <w:trHeight w:val="217"/>
        </w:trPr>
        <w:tc>
          <w:tcPr>
            <w:tcW w:w="72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7,647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7,883</w:t>
            </w:r>
          </w:p>
        </w:tc>
      </w:tr>
      <w:tr>
        <w:trPr>
          <w:trHeight w:val="33"/>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444444"/>
        </w:rPr>
        <w:t>F</w:t>
      </w:r>
      <w:r>
        <w:rPr>
          <w:rFonts w:ascii="Arial" w:cs="Arial" w:eastAsia="Arial" w:hAnsi="Arial"/>
          <w:sz w:val="15"/>
          <w:szCs w:val="15"/>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Internet websites) and, to a lesser extent, to distributors. The Company also sells a limited selection of its products directly to consumers through its own Internet websites.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for financial information and with the instructions to Form 10-K.</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allowances for doubtful accounts, reserves for sales returns and allowances and customer chargebacks, inventory mark-down provisions, impairment of tangible and intangible assets, stock based compensation expense, estimates for unpaid healthcare claims, derivative valuations, accruals related to the Company’s tax positions and tax valuation allowances. Although these and other estimates and assumptions are based on the best available information, actual results could be materially different from these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accounts and transactions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Foreign currency denominated assets and liabilities are translated into U.S. dollars at exchange rates prevailing at the balance sheet dates. Revenues, costs and expenses are translated into U.S. dollars at average exchange rates for the relevant period. Income and losses resulting from translation are recorded as a component of accumulated other comprehensive income (loss). The Company may enter into foreign exchange derivative contracts to hedge the volatility of exchange rates related to a portion of its international inventory purchases. Realized gains and losses from designated foreign currency derivative contracts are recognized in cost of sales as the hedged inventory purchases are sold. Unrealized gains and losses from foreign currency transactions on the fair value of foreign exchange contracts designated as hedges are recorded as a component of accumulated other comprehensive income (loss). Realized and unrealized gains and losses from non-designated foreign currency hedges are recognized in selling, general and administrative expenses in the consolidated statements of operations.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Foreign currency gains and losses included within selling, general and administrative expenses were a $0.1 million gain in 2019, a $0.5 million loss in 2018, and a $3.0 million loss in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Prior to January 1, 2019, depreciation associated with certain tooling used to produce products was classified as selling, general and administrative expenses. The amount recorded in cost of sales for the year ended December 31, 2019 was $1.4 million. The impact on the comparative periods presented is immaterial and therefore, the comparative periods have not been adjusted to reflect this change in accounting policy.</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 During the year ended December 31, 2019, the Company recorded an $8.5 million charge to cost of sales associated with the SKU Rationalization initiative. The inventory charge represented approximately 8% of the Company's consolidated inventory as of June 30, 2019, the period in which the charge was taken.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Distribution expenses consist primarily of warehousing expenses and freight-out expenses. Freight-out expenses were $15.5 million, $14.5 million and $11.5 million for the years ended December 31, 2019, 2018 and 2017, respectively. Handling costs of products sold are included in cost of sales.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Advertising expenses are expensed as incurred and are included in selling, general and administrative expenses. Advertising expenses were $4.0 million, $4.4 million and $3.4 million for the years ended December 31, 2019, 2018 and 2017,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realization of these receivables including assessing the initial and on-going creditworthiness of the Company’s customers. The Company also maintains an allowance for anticipated customer deductions. The allowances for deductions are primarily based on contracts with customers.</w:t>
      </w:r>
    </w:p>
    <w:p>
      <w:pPr>
        <w:spacing w:after="0" w:line="17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sale of accounts receivable, under the Company’s Receivable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Property and equipment is stated at cost. Property and equipment, other than leasehold improvements, are depreciated using the straight-line method over the estimated useful lives of the assets. Buildings are depreciated over 30 years and machinery and equipment over periods ranging from 3 years to 10 years. Leasehold improvements are amortized over the term of the lease or the estimated useful lives of the improvements, whichever is shorter. Advances paid towards the acquisition of property and equipment and the cost of property and equipment not ready for use before the end of the period are classified as construction in progress.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of three months or less when purchased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cash and cash equivalents are potentially subject to concentration of credit risk. The Company maintains cash with several financial institutions that, in some cases, is in excess of Federal Deposit Insurance Corporation insurance limits.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Concentrations of credit risk with respect to trade accounts receivable are limited due to the large number of entities comprising the Company’s customer base.</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years ended December 31, 2019, 2018 and 2017, Wal-Mart Stores, Inc., including Sam’s Club and, in the U.K., Asda Superstore, (“Walmart”), accounted for 16%, 14% and 15% of net sales, respectively. Sales to Walmart are included in the Company's U.S. and International segments. During the year ended December 31, 2019, sales to Costco Wholesale Corporation (“Costco”) accounted for 11% of consolidated net sales. Sales to Costco are included in the Company's U.S. and International segment. No other customers accounted for 10% or more of the Company’s sales during these periods.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enhanced guidance for using fair value to measure assets and liabilities and establishes a common definition of fair value, provides a framework for measuring fair value under U.S. generally accepted accounting principles and expands disclosure requirements about fair value measurements. Fair value measurements included in the Company’s consolidated financial statements relate to the Company’s annual goodwill and other intangible asset impairment tests and derivatives, described in Notes G - Goodwill and Intangible Assets and I - Derivatives,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are included in accumulated other comprehensive loss and is subsequently recognized in the Company’s consolidated statements of operations to mirror the location of the hedged items impacting earnings. Changes in fair value of derivatives that do not qualify as hedging instruments for accounting purposes are recorded in the consolidated statement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Accounting Standards Update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1st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applies the authoritative guidance for the financial statement recognition, measurement and disclosure of uncertain tax positions recognized in the Company’s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accounts for its share-based compensation arrangements in accordance with ASC Topic 718, Stock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uses the Black-Scholes option valuation model to estimate the fair value of its stock options. The Black-Scholes option valuation model requires the input of highly subjective assumptions including the expected stock price volatility of the Company’s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common stock and the risk-free interest rate. Changes in these subjective input assumptions can materially affect the fair value estimate of the Company’s stock options on the date of the option grant.</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by the end of the performance period, as determined by the Compensation Committee of the Board of Directors.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spacing w:after="0" w:line="17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bases the estimated fair value of Stock Compensation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not material to the Company’s consolidated balance sheets.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the years ended December 31, 2019 and 2018, the Company's U.S. segment incurred $0.7 million and $2.1 million, respectively, of restructuring expense related to the Filament integration, of which $0.1 million and $1.4 million was accrued at December 31, 2019 and 2018, respectively.</w:t>
      </w:r>
    </w:p>
    <w:p>
      <w:pPr>
        <w:spacing w:after="0" w:line="15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During the years ended December 31, 2019, and December 31, 2018 the Company's international segment incurred $0.7 million and $0.2 million, respectively, of restructuring expense primarily related to the integration of its legal entities operating in Europe of which $0.2 million was accrued at December 31, 2018. The Company had no international restructuring accrual as of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International segment expects to incur restructuring charges of $0.5 million in 2020 to complete its warehouse integration efforts.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Pronouncements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Effective January 1, 2019, the Company adopted Accounting Standards Update (“ASU”) 2016-15, Statement of Cash Flows (Topic 230): Classification of Certain Cash Receipts and Cash Payments, which reduces the diversity in practice on how certain transactions are classified in the statement of cash flows. The adoption of this ASU did not have a material impact on the Company’s cash flow statement.</w:t>
      </w:r>
    </w:p>
    <w:p>
      <w:pPr>
        <w:spacing w:after="0" w:line="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Effective January 1, 2019, the Company adopted ASU 2018-02, Income Statement- Reporting Comprehensive Income: Reclassification of Certain Tax Effects from Accumulated Other Comprehensive Income, which addresses the effect on items within accumulated other comprehensive income (loss) of the change in the U.S. federal corporate tax rate due to the enactment of the Tax Cuts and Jobs Act (the “Tax Act”) on December 22, 2017. The Company did not elect to reclassify the stranded income tax effects of the Tax Act from accumulated other comprehensive income to retained earnings.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Effective January 1, 2019, the Company adopted ASU 2016-02, Leases (Topic 842), which requires a lessee, in most leases, to initially recognize a lease liability for the obligation to make lease payments and a right-of-use asset for the right to use the underlying asset for the lease term. The guidance required adoption using a modified retrospective transition approach with either 1) periods prior to the adoption date being recast or 2) a cumulative-effect adjustment recognized to the opening balance of retained earnings on the adoption date with prior periods not recast. The Company adopted this standard on January 1, 2019 using the cumulative-effect adjustment method and elected certain practical expedients allowed under the standard. The Company’s project team assessed the effect of the adoption of this standard on its accounting policies, business processes, internal controls over financial reporting and related disclosures. Upon adoption, the Company's asset and lease liabilities increased by $91.0 million and $104.5 million, respectively. The Company did not recognize a material cumulative-effect adjustment to retained earnings upon adoption.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 in Future Periods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simplifies the accounting for income taxes by removing certain exceptions to the general principles and improve consistent application of and simplify GAAP for other areas of Topic 740 by clarifying and amending existing guidance. The guidance is effective for fiscal years and interim periods within those fiscal years beginning after December 15, 2020. Early adoption is permitted. Additionally, an entity that elects early adoption must adopt all the amendments in the same period. Management is currently evaluating the impact of this standard on its consolidated financial statements and related disclosures.</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The ASU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Early adoption is permitted. Management is currently evaluating the impact of this standard on its consolidated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—REVENUE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included in net sales and amounted to $3.6 million, $3.5 million and $2.7 million for the years ended December 31, 2019, 2018 and 2017, respectively. Net sales exclude taxes that are collected from customers and remitted to the taxing authorities.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Payment terms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two reportable segments, U.S. and International. Prior to December 31, 2018, certain international operations of the Company’s business were managed domestically by the U.S. segment. In 2019,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years ended December 31, 2019, 2018 and 2017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6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354,331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330,110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274,070</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168,781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152,514</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133,779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110,223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51,560</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U.S. segment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644,171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609,114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478,144</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62,845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59,657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62,361</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27,886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35,771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38,971</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 segment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90,731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95,428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101,332</w:t>
            </w:r>
          </w:p>
        </w:tc>
      </w:tr>
      <w:tr>
        <w:trPr>
          <w:trHeight w:val="237"/>
        </w:trPr>
        <w:tc>
          <w:tcPr>
            <w:tcW w:w="6980" w:type="dxa"/>
            <w:vAlign w:val="bottom"/>
          </w:tcPr>
          <w:p>
            <w:pPr>
              <w:ind w:left="110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734,902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704,542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579,476</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68"/>
        </w:trPr>
        <w:tc>
          <w:tcPr>
            <w:tcW w:w="6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6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6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612,762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575,158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460,788</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65,852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74,834</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59,149</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63,532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43,854</w:t>
            </w:r>
          </w:p>
        </w:tc>
      </w:tr>
      <w:tr>
        <w:trPr>
          <w:trHeight w:val="236"/>
        </w:trPr>
        <w:tc>
          <w:tcPr>
            <w:tcW w:w="698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734,902</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704,542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579,476</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—ACQUISITIONS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Filament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w:t>
      </w:r>
    </w:p>
    <w:p>
      <w:pPr>
        <w:spacing w:after="0" w:line="29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the first two months of 2019, the Company decreased goodwill by approximately $1.0 million due to certain opening balance sheet fair value adjustments, primarily related to deferred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as adjusted, has been determined to be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217,511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Share consideration</w:t>
            </w: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76,905</w:t>
            </w:r>
          </w:p>
        </w:tc>
      </w:tr>
      <w:tr>
        <w:trPr>
          <w:trHeight w:val="27"/>
        </w:trPr>
        <w:tc>
          <w:tcPr>
            <w:tcW w:w="9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purchase price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294,416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purchase price was allocated based on the Company’s final estimate of the fair value of the assets acquired and liabilities assumed,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26,224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29,044</w:t>
            </w:r>
          </w:p>
        </w:tc>
      </w:tr>
      <w:tr>
        <w:trPr>
          <w:trHeight w:val="27"/>
        </w:trPr>
        <w:tc>
          <w:tcPr>
            <w:tcW w:w="9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(23,018)</w:t>
            </w:r>
          </w:p>
        </w:tc>
      </w:tr>
      <w:tr>
        <w:trPr>
          <w:trHeight w:val="27"/>
        </w:trPr>
        <w:tc>
          <w:tcPr>
            <w:tcW w:w="9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270,427</w:t>
            </w:r>
          </w:p>
        </w:tc>
      </w:tr>
      <w:tr>
        <w:trPr>
          <w:trHeight w:val="27"/>
        </w:trPr>
        <w:tc>
          <w:tcPr>
            <w:tcW w:w="9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294,416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acquisition is being accounted for as a business combination using the acquisition method of accounting in accordance with FASB ASC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Topic 805”), which established a new basis of accounting for all identifiable assets acquired and liabilities assumed at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ASC Topic 805 allows the acquiring company to adjust preliminary amounts recognized at the acquisition date to their subsequently determined final fair values during a measurement period, generally up to one year from the date of the acquisition.</w:t>
      </w:r>
    </w:p>
    <w:p>
      <w:pPr>
        <w:spacing w:after="0" w:line="2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goodwill and other intangible assets are included in the U.S. segment. Customer relationships and certain trade names, which are included in intangible assets, net, are amortized on a straight-line basis over their estimated useful lives (see Note G– Goodwill and Intangible Assets). Goodwill results from such factors as an assembled workforce. The total amount of goodwill is not expected to be deductible for tax purposes.</w:t>
      </w:r>
    </w:p>
    <w:p>
      <w:pPr>
        <w:spacing w:after="0" w:line="16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year ended December 31, 2018 includes the operations of Filament for the period from March 2, 2018, the date of the acquisition of Filament, to December 31, 2018. The consolidated statement of operations for the year ended December 31, 2018, includes $128.8 million of net sales contributed by Filament.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Included in Selling, general and administrative expenses for the year ended December 31, 2018 is a $1.8 million credit to reflect the change in fair value of a contingent consideration obligation acquired by the Company in connection with its acquisition of Filament.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unaudited pro forma financial information presents the results of the Company as if the acquisition of Filament had occurred on January 1, 2017.</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color w:val="auto"/>
              </w:rPr>
              <w:t>Year ended December 31,</w:t>
            </w:r>
          </w:p>
        </w:tc>
        <w:tc>
          <w:tcPr>
            <w:tcW w:w="1240" w:type="dxa"/>
            <w:vAlign w:val="bottom"/>
            <w:tcBorders>
              <w:bottom w:val="single" w:sz="8" w:color="auto"/>
            </w:tcBorders>
          </w:tcPr>
          <w:p>
            <w:pPr>
              <w:spacing w:after="0"/>
              <w:rPr>
                <w:sz w:val="16"/>
                <w:szCs w:val="16"/>
                <w:color w:val="auto"/>
              </w:rPr>
            </w:pPr>
          </w:p>
        </w:tc>
      </w:tr>
      <w:tr>
        <w:trPr>
          <w:trHeight w:val="196"/>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78"/>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w w:val="89"/>
              </w:rPr>
              <w:t>2017</w:t>
            </w:r>
          </w:p>
        </w:tc>
      </w:tr>
      <w:tr>
        <w:trPr>
          <w:trHeight w:val="185"/>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2"/>
          </w:tcPr>
          <w:p>
            <w:pPr>
              <w:ind w:left="620"/>
              <w:spacing w:after="0"/>
              <w:rPr>
                <w:sz w:val="20"/>
                <w:szCs w:val="20"/>
                <w:color w:val="auto"/>
              </w:rPr>
            </w:pPr>
            <w:r>
              <w:rPr>
                <w:rFonts w:ascii="Arial" w:cs="Arial" w:eastAsia="Arial" w:hAnsi="Arial"/>
                <w:sz w:val="14"/>
                <w:szCs w:val="14"/>
                <w:color w:val="auto"/>
                <w:w w:val="83"/>
              </w:rPr>
              <w:t>(In thousands, except</w:t>
            </w:r>
          </w:p>
        </w:tc>
        <w:tc>
          <w:tcPr>
            <w:tcW w:w="960" w:type="dxa"/>
            <w:vAlign w:val="bottom"/>
          </w:tcPr>
          <w:p>
            <w:pPr>
              <w:jc w:val="right"/>
              <w:spacing w:after="0"/>
              <w:rPr>
                <w:sz w:val="20"/>
                <w:szCs w:val="20"/>
                <w:color w:val="auto"/>
              </w:rPr>
            </w:pPr>
            <w:r>
              <w:rPr>
                <w:rFonts w:ascii="Arial" w:cs="Arial" w:eastAsia="Arial" w:hAnsi="Arial"/>
                <w:sz w:val="14"/>
                <w:szCs w:val="14"/>
                <w:color w:val="auto"/>
                <w:w w:val="98"/>
              </w:rPr>
              <w:t>per share data)</w:t>
            </w:r>
          </w:p>
        </w:tc>
        <w:tc>
          <w:tcPr>
            <w:tcW w:w="1240" w:type="dxa"/>
            <w:vAlign w:val="bottom"/>
          </w:tcPr>
          <w:p>
            <w:pPr>
              <w:spacing w:after="0"/>
              <w:rPr>
                <w:sz w:val="16"/>
                <w:szCs w:val="16"/>
                <w:color w:val="auto"/>
              </w:rPr>
            </w:pPr>
          </w:p>
        </w:tc>
      </w:tr>
      <w:tr>
        <w:trPr>
          <w:trHeight w:val="25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730,353</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747,549</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 and equity in earnings</w:t>
            </w:r>
          </w:p>
        </w:tc>
        <w:tc>
          <w:tcPr>
            <w:tcW w:w="520" w:type="dxa"/>
            <w:vAlign w:val="bottom"/>
          </w:tcPr>
          <w:p>
            <w:pPr>
              <w:spacing w:after="0"/>
              <w:rPr>
                <w:sz w:val="21"/>
                <w:szCs w:val="21"/>
                <w:color w:val="auto"/>
              </w:rPr>
            </w:pPr>
          </w:p>
        </w:tc>
        <w:tc>
          <w:tcPr>
            <w:tcW w:w="1680" w:type="dxa"/>
            <w:vAlign w:val="bottom"/>
          </w:tcPr>
          <w:p>
            <w:pPr>
              <w:jc w:val="right"/>
              <w:ind w:right="78"/>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14,151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5,794</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Basic and diluted (loss) income per common share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8"/>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0.28</w:t>
            </w:r>
          </w:p>
        </w:tc>
      </w:tr>
    </w:tbl>
    <w:p>
      <w:pPr>
        <w:spacing w:after="0" w:line="33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consolidated operating results of the combined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Fitz and Floyd</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August 31, 2017, the Company acquired the Fitz and Floyd business, including the trade names and related working capital, from Fitz and Floyd Enterprises, LLC (“Fitz”) for cash in the amount of $9.1 million. The purchase price was funded by borrowings under the Company’s revolving credit facility.</w:t>
      </w:r>
    </w:p>
    <w:p>
      <w:pPr>
        <w:spacing w:after="0" w:line="21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assets and operating results of the Fitz and Floyd business are reflected in the Company’s consolidated financial statements in accordance with ASC Topic 805 commencing from the date of the acquisition of Fitz. The consolidated statement of operations for the year ended December 31, 2017 includes $7.7 million of net sales attributable to the Fitz and Floyd brands. The purchase price was allocated based on the Company’s estimate of the fair values of the assets acquired and liabilities assumed,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3,115</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5,424</w:t>
            </w:r>
          </w:p>
        </w:tc>
      </w:tr>
      <w:tr>
        <w:trPr>
          <w:trHeight w:val="27"/>
        </w:trPr>
        <w:tc>
          <w:tcPr>
            <w:tcW w:w="9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w:t>
            </w:r>
          </w:p>
        </w:tc>
      </w:tr>
      <w:tr>
        <w:trPr>
          <w:trHeight w:val="243"/>
        </w:trPr>
        <w:tc>
          <w:tcPr>
            <w:tcW w:w="94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(2,056)</w:t>
            </w:r>
          </w:p>
        </w:tc>
      </w:tr>
      <w:tr>
        <w:trPr>
          <w:trHeight w:val="27"/>
        </w:trPr>
        <w:tc>
          <w:tcPr>
            <w:tcW w:w="9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intangibles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2,131</w:t>
            </w:r>
          </w:p>
        </w:tc>
      </w:tr>
      <w:tr>
        <w:trPr>
          <w:trHeight w:val="237"/>
        </w:trPr>
        <w:tc>
          <w:tcPr>
            <w:tcW w:w="9440" w:type="dxa"/>
            <w:vAlign w:val="bottom"/>
          </w:tcPr>
          <w:p>
            <w:pPr>
              <w:ind w:left="20"/>
              <w:spacing w:after="0"/>
              <w:rPr>
                <w:sz w:val="20"/>
                <w:szCs w:val="20"/>
                <w:color w:val="auto"/>
              </w:rPr>
            </w:pPr>
            <w:r>
              <w:rPr>
                <w:rFonts w:ascii="Arial" w:cs="Arial" w:eastAsia="Arial" w:hAnsi="Arial"/>
                <w:sz w:val="18"/>
                <w:szCs w:val="18"/>
                <w:color w:val="auto"/>
              </w:rPr>
              <w:t>Total allocated value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9,072</w:t>
            </w:r>
          </w:p>
        </w:tc>
      </w:tr>
      <w:tr>
        <w:trPr>
          <w:trHeight w:val="27"/>
        </w:trPr>
        <w:tc>
          <w:tcPr>
            <w:tcW w:w="94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9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the basis of estimated fair values, the excess of the purchase price over the net assets acquired of $2.1 million has been allocated as follows:</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$1.7 million for customer relationships and trade names and $0.4 million for goodwill. The goodwill recognized results from such factors as an assembled workforce and the value of other synergies expected from combining operations with the Company. All the goodwill and other intangibles are included in the U.S. segment. Customer relationships and trade names are amortized on a straight-line basis over their estimated useful lives (see Note G-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LEASES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has operating leases for corporate offices, distribution facilities, manufacturing plants, and certain vehicles. Leases with an initial term of 12 months or less are not recorded on the condensed consolidated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 ended December 31, 2019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Year Ended December 31, 2019</w:t>
            </w: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6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Fixed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820" w:type="dxa"/>
            <w:vAlign w:val="bottom"/>
          </w:tcPr>
          <w:p>
            <w:pPr>
              <w:jc w:val="right"/>
              <w:ind w:right="76"/>
              <w:spacing w:after="0"/>
              <w:rPr>
                <w:sz w:val="20"/>
                <w:szCs w:val="20"/>
                <w:color w:val="auto"/>
              </w:rPr>
            </w:pPr>
            <w:r>
              <w:rPr>
                <w:rFonts w:ascii="Arial" w:cs="Arial" w:eastAsia="Arial" w:hAnsi="Arial"/>
                <w:sz w:val="18"/>
                <w:szCs w:val="18"/>
                <w:color w:val="auto"/>
              </w:rPr>
              <w:t>18,898</w:t>
            </w: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18,898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Rent and related expenses under operating leases were $18.4 million and $16.8 million for the years ended December 31, 2018 and 2017,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for the year ended December 31, 2019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tcPr>
          <w:p>
            <w:pPr>
              <w:jc w:val="right"/>
              <w:ind w:right="536"/>
              <w:spacing w:after="0"/>
              <w:rPr>
                <w:sz w:val="20"/>
                <w:szCs w:val="20"/>
                <w:color w:val="auto"/>
              </w:rPr>
            </w:pPr>
            <w:r>
              <w:rPr>
                <w:rFonts w:ascii="Arial" w:cs="Arial" w:eastAsia="Arial" w:hAnsi="Arial"/>
                <w:sz w:val="14"/>
                <w:szCs w:val="14"/>
                <w:b w:val="1"/>
                <w:bCs w:val="1"/>
                <w:color w:val="auto"/>
              </w:rPr>
              <w:t>Year Ended December 31, 2019</w:t>
            </w: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800" w:type="dxa"/>
            <w:vAlign w:val="bottom"/>
          </w:tcPr>
          <w:p>
            <w:pPr>
              <w:jc w:val="right"/>
              <w:ind w:right="76"/>
              <w:spacing w:after="0"/>
              <w:rPr>
                <w:sz w:val="20"/>
                <w:szCs w:val="20"/>
                <w:color w:val="auto"/>
              </w:rPr>
            </w:pPr>
            <w:r>
              <w:rPr>
                <w:rFonts w:ascii="Arial" w:cs="Arial" w:eastAsia="Arial" w:hAnsi="Arial"/>
                <w:sz w:val="18"/>
                <w:szCs w:val="18"/>
                <w:color w:val="auto"/>
              </w:rPr>
              <w:t>17,851</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17,851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Year ended December 31, 2019</w:t>
            </w: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38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800" w:type="dxa"/>
            <w:vAlign w:val="bottom"/>
          </w:tcPr>
          <w:p>
            <w:pPr>
              <w:jc w:val="right"/>
              <w:ind w:right="76"/>
              <w:spacing w:after="0"/>
              <w:rPr>
                <w:sz w:val="20"/>
                <w:szCs w:val="20"/>
                <w:color w:val="auto"/>
              </w:rPr>
            </w:pPr>
            <w:r>
              <w:rPr>
                <w:rFonts w:ascii="Arial" w:cs="Arial" w:eastAsia="Arial" w:hAnsi="Arial"/>
                <w:sz w:val="18"/>
                <w:szCs w:val="18"/>
                <w:color w:val="auto"/>
              </w:rPr>
              <w:t>118,447</w:t>
            </w:r>
          </w:p>
        </w:tc>
      </w:tr>
      <w:tr>
        <w:trPr>
          <w:trHeight w:val="27"/>
        </w:trPr>
        <w:tc>
          <w:tcPr>
            <w:tcW w:w="8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118,447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Included in machinery, furniture and equipment at each of December 31, 2019 and 2018 is $0.3 million and $1.8 million, respectively, related to assets recorded under capital leases. Included in accumulated depreciation and amortization at December 31, 2019 and December 31, 2018 is $0.1 million and $1.7 million, respectively, related to assets recorded under capital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tcPr>
          <w:p>
            <w:pPr>
              <w:jc w:val="center"/>
              <w:ind w:left="1830"/>
              <w:spacing w:after="0"/>
              <w:rPr>
                <w:sz w:val="20"/>
                <w:szCs w:val="20"/>
                <w:color w:val="auto"/>
              </w:rPr>
            </w:pPr>
            <w:r>
              <w:rPr>
                <w:rFonts w:ascii="Arial" w:cs="Arial" w:eastAsia="Arial" w:hAnsi="Arial"/>
                <w:sz w:val="18"/>
                <w:szCs w:val="18"/>
                <w:b w:val="1"/>
                <w:bCs w:val="1"/>
                <w:color w:val="auto"/>
              </w:rPr>
              <w:t>LIFETIME BRANDS, INC.</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jc w:val="center"/>
              <w:ind w:left="1830"/>
              <w:spacing w:after="0"/>
              <w:rPr>
                <w:sz w:val="20"/>
                <w:szCs w:val="20"/>
                <w:color w:val="auto"/>
              </w:rPr>
            </w:pPr>
            <w:r>
              <w:rPr>
                <w:rFonts w:ascii="Arial" w:cs="Arial" w:eastAsia="Arial" w:hAnsi="Arial"/>
                <w:sz w:val="18"/>
                <w:szCs w:val="18"/>
                <w:b w:val="1"/>
                <w:bCs w:val="1"/>
                <w:color w:val="auto"/>
              </w:rPr>
              <w:t>NOTES TO CONSOLIDATED FINANCIAL STATEMENTS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2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December 31, 2019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9320" w:type="dxa"/>
            <w:vAlign w:val="bottom"/>
          </w:tcPr>
          <w:p>
            <w:pPr>
              <w:spacing w:after="0"/>
              <w:rPr>
                <w:sz w:val="20"/>
                <w:szCs w:val="20"/>
                <w:color w:val="auto"/>
              </w:rPr>
            </w:pPr>
            <w:r>
              <w:rPr>
                <w:rFonts w:ascii="Arial" w:cs="Arial" w:eastAsia="Arial" w:hAnsi="Arial"/>
                <w:sz w:val="18"/>
                <w:szCs w:val="18"/>
                <w:color w:val="auto"/>
              </w:rPr>
              <w:t>The aggregate future lease payments for operating leases as of December 31, 2019 were as follows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93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49"/>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17,876</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17,760</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17,828</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17,982</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3"/>
              <w:spacing w:after="0"/>
              <w:rPr>
                <w:sz w:val="20"/>
                <w:szCs w:val="20"/>
                <w:color w:val="auto"/>
              </w:rPr>
            </w:pPr>
            <w:r>
              <w:rPr>
                <w:rFonts w:ascii="Arial" w:cs="Arial" w:eastAsia="Arial" w:hAnsi="Arial"/>
                <w:sz w:val="18"/>
                <w:szCs w:val="18"/>
                <w:color w:val="auto"/>
              </w:rPr>
              <w:t>72,912</w:t>
            </w:r>
          </w:p>
        </w:tc>
        <w:tc>
          <w:tcPr>
            <w:tcW w:w="0" w:type="dxa"/>
            <w:vAlign w:val="bottom"/>
          </w:tcPr>
          <w:p>
            <w:pPr>
              <w:spacing w:after="0"/>
              <w:rPr>
                <w:sz w:val="1"/>
                <w:szCs w:val="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162,008</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(39,167)</w:t>
            </w:r>
          </w:p>
        </w:tc>
        <w:tc>
          <w:tcPr>
            <w:tcW w:w="0" w:type="dxa"/>
            <w:vAlign w:val="bottom"/>
          </w:tcPr>
          <w:p>
            <w:pPr>
              <w:spacing w:after="0"/>
              <w:rPr>
                <w:sz w:val="1"/>
                <w:szCs w:val="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122,841</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6"/>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SALE OF ACCOUNTS RECEIVABLE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 (the “Receivables”) to HSBC Bank USA, which may accept such offer, and purchase the offered Receivables. Under the Receivables Purchase Agreement, following each purchase of Receivables, the outstanding aggregate purchased Receivables shall not exceed $25.0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shall automatically be extended for annual successive terms unless terminated. Either party may terminate the agreement at any time upon 60 days prior written notice to the other party. Pursuant to this agreement, the Company sold $115.4 million and $86.0 million of Receivables during the years ended December 31, 2019 and 2018, respectively. At December 31, 2019 and 2018, $20.9 million and $18.0 million, respectively, of receivables sold are outstanding and are due to HSBC Bank USA from customers. A charge of $0.6 million and $0.5 million related to the sale of the Receivables is included in SG&amp;A expenses in the consolidated statement of operations for the years ended December 31, 2019 and 2018,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EQUITY INVESTMENTS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owns approximately 30% of the outstanding capital stock of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statement of operations. Accordingly, the Company has recorded its proportionate share of Vasconia’s net income (reduced for amortization expense related to the customer relationships acquired) for the years ended December 31, 2019, 2018 and 2017 in the accompanying consolidated statements of operations.</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 of MXN 18.91 and MXN 19.64 at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income (loss) has been translated from MXN to USD using the following exchange rates: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2019</w:t>
            </w:r>
          </w:p>
        </w:tc>
        <w:tc>
          <w:tcPr>
            <w:tcW w:w="222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232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exchange rate (MXN to USD)</w:t>
            </w:r>
          </w:p>
        </w:tc>
        <w:tc>
          <w:tcPr>
            <w:tcW w:w="2060" w:type="dxa"/>
            <w:vAlign w:val="bottom"/>
            <w:vMerge w:val="restart"/>
            <w:shd w:val="clear" w:color="auto" w:fill="CCEEFF"/>
          </w:tcPr>
          <w:p>
            <w:pPr>
              <w:jc w:val="right"/>
              <w:ind w:right="499"/>
              <w:spacing w:after="0"/>
              <w:rPr>
                <w:sz w:val="20"/>
                <w:szCs w:val="20"/>
                <w:color w:val="auto"/>
              </w:rPr>
            </w:pPr>
            <w:r>
              <w:rPr>
                <w:rFonts w:ascii="Arial" w:cs="Arial" w:eastAsia="Arial" w:hAnsi="Arial"/>
                <w:sz w:val="18"/>
                <w:szCs w:val="18"/>
                <w:color w:val="auto"/>
              </w:rPr>
              <w:t>19.11 - 19.42</w:t>
            </w:r>
          </w:p>
        </w:tc>
        <w:tc>
          <w:tcPr>
            <w:tcW w:w="2220" w:type="dxa"/>
            <w:vAlign w:val="bottom"/>
            <w:vMerge w:val="restart"/>
            <w:shd w:val="clear" w:color="auto" w:fill="CCEEFF"/>
          </w:tcPr>
          <w:p>
            <w:pPr>
              <w:jc w:val="right"/>
              <w:ind w:right="602"/>
              <w:spacing w:after="0"/>
              <w:rPr>
                <w:sz w:val="20"/>
                <w:szCs w:val="20"/>
                <w:color w:val="auto"/>
              </w:rPr>
            </w:pPr>
            <w:r>
              <w:rPr>
                <w:rFonts w:ascii="Arial" w:cs="Arial" w:eastAsia="Arial" w:hAnsi="Arial"/>
                <w:sz w:val="18"/>
                <w:szCs w:val="18"/>
                <w:color w:val="auto"/>
              </w:rPr>
              <w:t>18.71 - 19.81</w:t>
            </w:r>
          </w:p>
        </w:tc>
        <w:tc>
          <w:tcPr>
            <w:tcW w:w="2320" w:type="dxa"/>
            <w:vAlign w:val="bottom"/>
            <w:vMerge w:val="restart"/>
            <w:shd w:val="clear" w:color="auto" w:fill="CCEEFF"/>
          </w:tcPr>
          <w:p>
            <w:pPr>
              <w:jc w:val="right"/>
              <w:ind w:right="579"/>
              <w:spacing w:after="0"/>
              <w:rPr>
                <w:sz w:val="20"/>
                <w:szCs w:val="20"/>
                <w:color w:val="auto"/>
              </w:rPr>
            </w:pPr>
            <w:r>
              <w:rPr>
                <w:rFonts w:ascii="Arial" w:cs="Arial" w:eastAsia="Arial" w:hAnsi="Arial"/>
                <w:sz w:val="18"/>
                <w:szCs w:val="18"/>
                <w:color w:val="auto"/>
              </w:rPr>
              <w:t>17.81 - 20.30</w:t>
            </w:r>
          </w:p>
        </w:tc>
        <w:tc>
          <w:tcPr>
            <w:tcW w:w="0" w:type="dxa"/>
            <w:vAlign w:val="bottom"/>
          </w:tcPr>
          <w:p>
            <w:pPr>
              <w:spacing w:after="0"/>
              <w:rPr>
                <w:sz w:val="1"/>
                <w:szCs w:val="1"/>
                <w:color w:val="auto"/>
              </w:rPr>
            </w:pPr>
          </w:p>
        </w:tc>
      </w:tr>
      <w:tr>
        <w:trPr>
          <w:trHeight w:val="121"/>
        </w:trPr>
        <w:tc>
          <w:tcPr>
            <w:tcW w:w="3880" w:type="dxa"/>
            <w:vAlign w:val="bottom"/>
            <w:shd w:val="clear" w:color="auto" w:fill="CCEEFF"/>
          </w:tcPr>
          <w:p>
            <w:pPr>
              <w:spacing w:after="0"/>
              <w:rPr>
                <w:sz w:val="10"/>
                <w:szCs w:val="10"/>
                <w:color w:val="auto"/>
              </w:rPr>
            </w:pPr>
          </w:p>
        </w:tc>
        <w:tc>
          <w:tcPr>
            <w:tcW w:w="2060" w:type="dxa"/>
            <w:vAlign w:val="bottom"/>
            <w:vMerge w:val="continue"/>
            <w:shd w:val="clear" w:color="auto" w:fill="CCEEFF"/>
          </w:tcPr>
          <w:p>
            <w:pPr>
              <w:spacing w:after="0"/>
              <w:rPr>
                <w:sz w:val="10"/>
                <w:szCs w:val="10"/>
                <w:color w:val="auto"/>
              </w:rPr>
            </w:pPr>
          </w:p>
        </w:tc>
        <w:tc>
          <w:tcPr>
            <w:tcW w:w="2220" w:type="dxa"/>
            <w:vAlign w:val="bottom"/>
            <w:vMerge w:val="continue"/>
            <w:shd w:val="clear" w:color="auto" w:fill="CCEEFF"/>
          </w:tcPr>
          <w:p>
            <w:pPr>
              <w:spacing w:after="0"/>
              <w:rPr>
                <w:sz w:val="10"/>
                <w:szCs w:val="10"/>
                <w:color w:val="auto"/>
              </w:rPr>
            </w:pPr>
          </w:p>
        </w:tc>
        <w:tc>
          <w:tcPr>
            <w:tcW w:w="2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of the investment of $1.6 million during the year ended December 31, 2019 and a decrease of the investment of $1.9 million during the year ended December 31, 2018. These translation effects are recorded in accumulated other comprehensive loss. The Company received cash dividends of $124,000, $115,000 and $28,000, from Vasconia during the years ended December 31, 2019, 2018 and 2017,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amounts due to and due from Vasconia as of December 31, 2019 and 2018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3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December 31, 2018</w:t>
            </w: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95</w:t>
            </w:r>
          </w:p>
        </w:tc>
      </w:tr>
      <w:tr>
        <w:trPr>
          <w:trHeight w:val="223"/>
        </w:trPr>
        <w:tc>
          <w:tcPr>
            <w:tcW w:w="34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440" w:type="dxa"/>
            <w:vAlign w:val="bottom"/>
            <w:gridSpan w:val="2"/>
          </w:tcPr>
          <w:p>
            <w:pPr>
              <w:ind w:left="1060"/>
              <w:spacing w:after="0"/>
              <w:rPr>
                <w:sz w:val="20"/>
                <w:szCs w:val="20"/>
                <w:color w:val="auto"/>
              </w:rPr>
            </w:pPr>
            <w:r>
              <w:rPr>
                <w:rFonts w:ascii="Arial" w:cs="Arial" w:eastAsia="Arial" w:hAnsi="Arial"/>
                <w:sz w:val="16"/>
                <w:szCs w:val="16"/>
                <w:color w:val="auto"/>
              </w:rPr>
              <w:t>Accrued expenses and Accounts payable</w:t>
            </w:r>
          </w:p>
        </w:tc>
        <w:tc>
          <w:tcPr>
            <w:tcW w:w="180" w:type="dxa"/>
            <w:vAlign w:val="bottom"/>
          </w:tcPr>
          <w:p>
            <w:pPr>
              <w:spacing w:after="0"/>
              <w:rPr>
                <w:sz w:val="19"/>
                <w:szCs w:val="19"/>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Summarized income statement information for the years ended December 31, 2019, 2018 and 2017, as well as summarized balance sheet information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for Vasconia, calculated in accordance with U.S. GAAP, in USD and MXN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3"/>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6"/>
          </w:tcPr>
          <w:p>
            <w:pPr>
              <w:ind w:left="600"/>
              <w:spacing w:after="0"/>
              <w:rPr>
                <w:sz w:val="20"/>
                <w:szCs w:val="20"/>
                <w:color w:val="auto"/>
              </w:rPr>
            </w:pPr>
            <w:r>
              <w:rPr>
                <w:rFonts w:ascii="Arial" w:cs="Arial" w:eastAsia="Arial" w:hAnsi="Arial"/>
                <w:sz w:val="14"/>
                <w:szCs w:val="14"/>
                <w:color w:val="auto"/>
                <w:w w:val="90"/>
              </w:rPr>
              <w:t>(in thousands)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rPr>
              <w:t>USD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MXN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USD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MXN</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4"/>
              <w:spacing w:after="0"/>
              <w:rPr>
                <w:sz w:val="20"/>
                <w:szCs w:val="20"/>
                <w:color w:val="auto"/>
              </w:rPr>
            </w:pPr>
            <w:r>
              <w:rPr>
                <w:rFonts w:ascii="Arial" w:cs="Arial" w:eastAsia="Arial" w:hAnsi="Arial"/>
                <w:sz w:val="14"/>
                <w:szCs w:val="14"/>
                <w:color w:val="auto"/>
              </w:rPr>
              <w:t>USD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74"/>
              <w:spacing w:after="0"/>
              <w:rPr>
                <w:sz w:val="20"/>
                <w:szCs w:val="20"/>
                <w:color w:val="auto"/>
              </w:rPr>
            </w:pPr>
            <w:r>
              <w:rPr>
                <w:rFonts w:ascii="Arial" w:cs="Arial" w:eastAsia="Arial" w:hAnsi="Arial"/>
                <w:sz w:val="14"/>
                <w:szCs w:val="14"/>
                <w:color w:val="auto"/>
              </w:rPr>
              <w:t>MXN</w:t>
            </w:r>
          </w:p>
        </w:tc>
        <w:tc>
          <w:tcPr>
            <w:tcW w:w="20" w:type="dxa"/>
            <w:vAlign w:val="bottom"/>
          </w:tcPr>
          <w:p>
            <w:pPr>
              <w:spacing w:after="0"/>
              <w:rPr>
                <w:sz w:val="18"/>
                <w:szCs w:val="18"/>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159,746</w:t>
            </w:r>
          </w:p>
        </w:tc>
        <w:tc>
          <w:tcPr>
            <w:tcW w:w="14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3,074,398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179,547</w:t>
            </w:r>
          </w:p>
        </w:tc>
        <w:tc>
          <w:tcPr>
            <w:tcW w:w="580" w:type="dxa"/>
            <w:vAlign w:val="bottom"/>
            <w:tcBorders>
              <w:bottom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87"/>
              </w:rPr>
              <w:t>3,456,852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167,283</w:t>
            </w:r>
          </w:p>
        </w:tc>
        <w:tc>
          <w:tcPr>
            <w:tcW w:w="4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3,157,671</w:t>
            </w:r>
          </w:p>
        </w:tc>
        <w:tc>
          <w:tcPr>
            <w:tcW w:w="20" w:type="dxa"/>
            <w:vAlign w:val="bottom"/>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34,032</w:t>
            </w:r>
          </w:p>
        </w:tc>
        <w:tc>
          <w:tcPr>
            <w:tcW w:w="1460" w:type="dxa"/>
            <w:vAlign w:val="bottom"/>
            <w:gridSpan w:val="3"/>
          </w:tcPr>
          <w:p>
            <w:pPr>
              <w:jc w:val="right"/>
              <w:ind w:right="88"/>
              <w:spacing w:after="0"/>
              <w:rPr>
                <w:sz w:val="20"/>
                <w:szCs w:val="20"/>
                <w:color w:val="auto"/>
              </w:rPr>
            </w:pPr>
            <w:r>
              <w:rPr>
                <w:rFonts w:ascii="Arial" w:cs="Arial" w:eastAsia="Arial" w:hAnsi="Arial"/>
                <w:sz w:val="18"/>
                <w:szCs w:val="18"/>
                <w:color w:val="auto"/>
              </w:rPr>
              <w:t>654,342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ind w:left="300"/>
              <w:spacing w:after="0"/>
              <w:rPr>
                <w:sz w:val="20"/>
                <w:szCs w:val="20"/>
                <w:color w:val="auto"/>
              </w:rPr>
            </w:pPr>
            <w:r>
              <w:rPr>
                <w:rFonts w:ascii="Arial" w:cs="Arial" w:eastAsia="Arial" w:hAnsi="Arial"/>
                <w:sz w:val="18"/>
                <w:szCs w:val="18"/>
                <w:color w:val="auto"/>
                <w:w w:val="94"/>
              </w:rPr>
              <w:t>36,891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711,941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655,186</w:t>
            </w:r>
          </w:p>
        </w:tc>
        <w:tc>
          <w:tcPr>
            <w:tcW w:w="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4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165,287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222,115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199,170</w:t>
            </w:r>
          </w:p>
        </w:tc>
        <w:tc>
          <w:tcPr>
            <w:tcW w:w="20" w:type="dxa"/>
            <w:vAlign w:val="bottom"/>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1,757</w:t>
            </w:r>
          </w:p>
        </w:tc>
        <w:tc>
          <w:tcPr>
            <w:tcW w:w="1460" w:type="dxa"/>
            <w:vAlign w:val="bottom"/>
            <w:gridSpan w:val="3"/>
          </w:tcPr>
          <w:p>
            <w:pPr>
              <w:jc w:val="right"/>
              <w:ind w:right="88"/>
              <w:spacing w:after="0"/>
              <w:rPr>
                <w:sz w:val="20"/>
                <w:szCs w:val="20"/>
                <w:color w:val="auto"/>
              </w:rPr>
            </w:pPr>
            <w:r>
              <w:rPr>
                <w:rFonts w:ascii="Arial" w:cs="Arial" w:eastAsia="Arial" w:hAnsi="Arial"/>
                <w:sz w:val="18"/>
                <w:szCs w:val="18"/>
                <w:color w:val="auto"/>
              </w:rPr>
              <w:t>28,892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57,590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23,983</w:t>
            </w:r>
          </w:p>
        </w:tc>
        <w:tc>
          <w:tcPr>
            <w:tcW w:w="20" w:type="dxa"/>
            <w:vAlign w:val="bottom"/>
          </w:tcPr>
          <w:p>
            <w:pPr>
              <w:spacing w:after="0"/>
              <w:rPr>
                <w:sz w:val="21"/>
                <w:szCs w:val="21"/>
                <w:color w:val="auto"/>
              </w:rPr>
            </w:pPr>
          </w:p>
        </w:tc>
      </w:tr>
      <w:tr>
        <w:trPr>
          <w:trHeight w:val="601"/>
        </w:trPr>
        <w:tc>
          <w:tcPr>
            <w:tcW w:w="32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96"/>
              </w:rPr>
              <w:t>2019</w:t>
            </w: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5"/>
          </w:tcPr>
          <w:p>
            <w:pPr>
              <w:jc w:val="right"/>
              <w:ind w:right="60"/>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3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USD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MXN</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USD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MXN</w:t>
            </w:r>
          </w:p>
        </w:tc>
        <w:tc>
          <w:tcPr>
            <w:tcW w:w="20" w:type="dxa"/>
            <w:vAlign w:val="bottom"/>
            <w:shd w:val="clear" w:color="auto" w:fill="CCEEFF"/>
          </w:tcPr>
          <w:p>
            <w:pPr>
              <w:spacing w:after="0"/>
              <w:rPr>
                <w:sz w:val="18"/>
                <w:szCs w:val="18"/>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94,263</w:t>
            </w:r>
          </w:p>
        </w:tc>
        <w:tc>
          <w:tcPr>
            <w:tcW w:w="58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89"/>
              </w:rPr>
              <w:t>1,782,170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96,135</w:t>
            </w:r>
          </w:p>
        </w:tc>
        <w:tc>
          <w:tcPr>
            <w:tcW w:w="4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1,888,602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w w:val="89"/>
              </w:rPr>
              <w:t>110,908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w w:val="89"/>
              </w:rPr>
              <w:t>2,096,880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1,694,969</w:t>
            </w:r>
          </w:p>
        </w:tc>
        <w:tc>
          <w:tcPr>
            <w:tcW w:w="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74,095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89"/>
              </w:rPr>
              <w:t>1,400,883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1,273,619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ind w:left="320"/>
              <w:spacing w:after="0"/>
              <w:rPr>
                <w:sz w:val="20"/>
                <w:szCs w:val="20"/>
                <w:color w:val="auto"/>
              </w:rPr>
            </w:pPr>
            <w:r>
              <w:rPr>
                <w:rFonts w:ascii="Arial" w:cs="Arial" w:eastAsia="Arial" w:hAnsi="Arial"/>
                <w:sz w:val="18"/>
                <w:szCs w:val="18"/>
                <w:color w:val="auto"/>
                <w:w w:val="90"/>
              </w:rPr>
              <w:t>50,037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946,014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633,772</w:t>
            </w:r>
          </w:p>
        </w:tc>
        <w:tc>
          <w:tcPr>
            <w:tcW w:w="20" w:type="dxa"/>
            <w:vAlign w:val="bottom"/>
          </w:tcPr>
          <w:p>
            <w:pPr>
              <w:spacing w:after="0"/>
              <w:rPr>
                <w:sz w:val="21"/>
                <w:szCs w:val="21"/>
                <w:color w:val="auto"/>
              </w:rPr>
            </w:pPr>
          </w:p>
        </w:tc>
      </w:tr>
    </w:tbl>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recorded equity in earnings of Vasconia, net of taxes, of $0.5 million, $0.9 million and $0.4 million for the years ended December 31, 2019, 2018 and 2017, respectively. Equity in earnings in 2018 includes deferred tax benefit of $0.1 million due to a change in the tax basis of the investment as a result of the Tax Act. Equity in earnings in 2017 includes deferred tax benefit of $0.2 million due to the requirement to record tax benefits for foreign currency translation losses through other comprehensive income (loss), with a corresponding adjustment to deferred tax liabilities.</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2019, the fair value (based upon the quoted stock price) of the Company’s investment in Vasconia was $34.7 million. The carrying value of the Company’s investment in Vasconia was $21.3 million.</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2012, the Company entered into a joint venture, Grand Venture Holdings Limited (“Grand Venture”), with Manweal Development Limited (“Manweal”), a Chinese corporation, to distribute Mikasa® products in China, which included an initial investment by the Company of $0.5 million. The Company and Manweal each own 50% of Grand Venture and have rights and obligations proportionate to their ownership percentages. The Company accounts for its investment in Grand Venture using the equity method of accounting and has recorded its proportionate share of Grand Venture’s net loss as equity in earnings (losses) in the Company’s consolidated statements of operations. Due to the operating losses the Company evaluated the carrying value of its investment for other-than temporary impairment under the equity method of accounting and recorded an impairment charge of approximately $0.2 million during the year ended December 31, 2018. As of December 31, 2018, the Company had a carrying value of zero in Grand Venture.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all of which are included in the U.S. and International segments, consist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2019</w:t>
            </w: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9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Goodwill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92,361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49,371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93,895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91,690</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Indefinite -lived intangible assets: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Trade names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58,216</w:t>
            </w:r>
          </w:p>
        </w:tc>
        <w:tc>
          <w:tcPr>
            <w:tcW w:w="0" w:type="dxa"/>
            <w:vAlign w:val="bottom"/>
          </w:tcPr>
          <w:p>
            <w:pPr>
              <w:spacing w:after="0"/>
              <w:rPr>
                <w:sz w:val="1"/>
                <w:szCs w:val="1"/>
                <w:color w:val="auto"/>
              </w:rPr>
            </w:pPr>
          </w:p>
        </w:tc>
      </w:tr>
      <w:tr>
        <w:trPr>
          <w:trHeight w:val="197"/>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Finite -lived intangible assets: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Licenses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97"/>
        </w:trPr>
        <w:tc>
          <w:tcPr>
            <w:tcW w:w="2460" w:type="dxa"/>
            <w:vAlign w:val="bottom"/>
          </w:tcPr>
          <w:p>
            <w:pPr>
              <w:ind w:left="340"/>
              <w:spacing w:after="0"/>
              <w:rPr>
                <w:sz w:val="20"/>
                <w:szCs w:val="20"/>
                <w:color w:val="auto"/>
              </w:rPr>
            </w:pPr>
            <w:r>
              <w:rPr>
                <w:rFonts w:ascii="Arial" w:cs="Arial" w:eastAsia="Arial" w:hAnsi="Arial"/>
                <w:sz w:val="14"/>
                <w:szCs w:val="14"/>
                <w:color w:val="auto"/>
              </w:rPr>
              <w:t>Trade names</w:t>
            </w: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43,986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(17,337)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26,649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43,689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(13,965)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29,724</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135,997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147,944</w:t>
            </w:r>
          </w:p>
        </w:tc>
        <w:tc>
          <w:tcPr>
            <w:tcW w:w="0" w:type="dxa"/>
            <w:vAlign w:val="bottom"/>
          </w:tcPr>
          <w:p>
            <w:pPr>
              <w:spacing w:after="0"/>
              <w:rPr>
                <w:sz w:val="1"/>
                <w:szCs w:val="1"/>
                <w:color w:val="auto"/>
              </w:rPr>
            </w:pPr>
          </w:p>
        </w:tc>
      </w:tr>
      <w:tr>
        <w:trPr>
          <w:trHeight w:val="197"/>
        </w:trPr>
        <w:tc>
          <w:tcPr>
            <w:tcW w:w="24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5,251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280,471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338,847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A summary of the activities related to the Company’s intangible assets for the years ended December 31, 2019, 2018 and 2017 consists of the following (in thousands):</w:t>
      </w:r>
    </w:p>
    <w:tbl>
      <w:tblPr>
        <w:tblLayout w:type="fixed"/>
        <w:tblInd w:w="0" w:type="dxa"/>
        <w:tblCellMar>
          <w:top w:w="0" w:type="dxa"/>
          <w:left w:w="0" w:type="dxa"/>
          <w:bottom w:w="0" w:type="dxa"/>
          <w:right w:w="0" w:type="dxa"/>
        </w:tblCellMar>
      </w:tblPr>
      <w:tr>
        <w:trPr>
          <w:trHeight w:val="150"/>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32"/>
              <w:spacing w:after="0" w:line="150" w:lineRule="exact"/>
              <w:rPr>
                <w:sz w:val="20"/>
                <w:szCs w:val="20"/>
                <w:color w:val="auto"/>
              </w:rPr>
            </w:pPr>
            <w:r>
              <w:rPr>
                <w:rFonts w:ascii="Arial" w:cs="Arial" w:eastAsia="Arial" w:hAnsi="Arial"/>
                <w:sz w:val="14"/>
                <w:szCs w:val="14"/>
                <w:b w:val="1"/>
                <w:bCs w:val="1"/>
                <w:color w:val="auto"/>
                <w:w w:val="98"/>
              </w:rPr>
              <w:t>Total Intangible</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2"/>
                <w:szCs w:val="12"/>
                <w:color w:val="auto"/>
              </w:rPr>
            </w:pPr>
          </w:p>
        </w:tc>
        <w:tc>
          <w:tcPr>
            <w:tcW w:w="11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2016</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89,219</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Acquisition of customer relationships</w:t>
            </w:r>
          </w:p>
        </w:tc>
        <w:tc>
          <w:tcPr>
            <w:tcW w:w="2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88,479</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78,795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78,795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61,500</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Acquisition of customer relationships</w:t>
            </w:r>
          </w:p>
        </w:tc>
        <w:tc>
          <w:tcPr>
            <w:tcW w:w="2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124,430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124,430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(15,323)</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247,157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91,690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338,847</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Purchase price adjustment</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(16,843)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(42,990)</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Goodwill and Intangible Assets, December 31, 2019</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231,100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49,371</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280,471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the Company’s finite-lived intangible assets as of December 31, 2019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Years</w:t>
            </w: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Licenses</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59"/>
        </w:trPr>
        <w:tc>
          <w:tcPr>
            <w:tcW w:w="8740" w:type="dxa"/>
            <w:vAlign w:val="bottom"/>
          </w:tcPr>
          <w:p>
            <w:pPr>
              <w:spacing w:after="0"/>
              <w:rPr>
                <w:sz w:val="20"/>
                <w:szCs w:val="20"/>
                <w:color w:val="auto"/>
              </w:rPr>
            </w:pPr>
            <w:r>
              <w:rPr>
                <w:rFonts w:ascii="Arial" w:cs="Arial" w:eastAsia="Arial" w:hAnsi="Arial"/>
                <w:sz w:val="18"/>
                <w:szCs w:val="18"/>
                <w:color w:val="auto"/>
              </w:rPr>
              <w:t>Estimated amortization expense for each of the five succeeding fiscal years is as follows (in thousands):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87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6"/>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16,380</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15,657</w:t>
            </w:r>
          </w:p>
        </w:tc>
      </w:tr>
      <w:tr>
        <w:trPr>
          <w:trHeight w:val="27"/>
        </w:trPr>
        <w:tc>
          <w:tcPr>
            <w:tcW w:w="8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15,657</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15,533</w:t>
            </w:r>
          </w:p>
        </w:tc>
      </w:tr>
      <w:tr>
        <w:trPr>
          <w:trHeight w:val="27"/>
        </w:trPr>
        <w:tc>
          <w:tcPr>
            <w:tcW w:w="8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15,005</w:t>
            </w:r>
          </w:p>
        </w:tc>
      </w:tr>
      <w:tr>
        <w:trPr>
          <w:trHeight w:val="27"/>
        </w:trPr>
        <w:tc>
          <w:tcPr>
            <w:tcW w:w="87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980"/>
        <w:spacing w:after="0" w:line="375" w:lineRule="auto"/>
        <w:rPr>
          <w:sz w:val="20"/>
          <w:szCs w:val="20"/>
          <w:color w:val="auto"/>
        </w:rPr>
      </w:pPr>
      <w:r>
        <w:rPr>
          <w:rFonts w:ascii="Arial" w:cs="Arial" w:eastAsia="Arial" w:hAnsi="Arial"/>
          <w:sz w:val="18"/>
          <w:szCs w:val="18"/>
          <w:color w:val="auto"/>
        </w:rPr>
        <w:t xml:space="preserve">Amortization expense for the years ended December 31, 2019, 2018 and 2017 was $16.8 million, $15.3 million and $6.8 million, respectively. </w:t>
      </w:r>
      <w:r>
        <w:rPr>
          <w:rFonts w:ascii="Arial" w:cs="Arial" w:eastAsia="Arial" w:hAnsi="Arial"/>
          <w:sz w:val="18"/>
          <w:szCs w:val="18"/>
          <w:b w:val="1"/>
          <w:bCs w:val="1"/>
          <w:color w:val="auto"/>
        </w:rPr>
        <w:t>Goodwill impairment test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goodwill and other intangibles that have indefinite lives for impairment annually as of October 1st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Reporting Unit</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Several impairment indicators for the European kitchenware business were considered by the Company including the continued uncertainties of the macro-environment in Europe as a result of the then ongoing Brexit negotiations. In addition, the Company considered the decline in operating performance for the European kitchenware business, which included slower fulfillment of orders and labor inefficiencies associated with setting up the new warehouse in the U.K. These factors resulted in a decline in the long-term forecast for the European kitchenware business.</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third quarter of 2019, the Company performed an interim assessment of its European kitchenware business by comparing the fair value of the reporting unit with its carrying value. The Company performed the analysis using a discounted cash flow and market multiple approach. Based upon the analysis performed, the Company recognized a $9.7 million non-cash goodwill impairment charge during the third quarter of 2019. The goodwill impairment charge was the result of a decline in operating performance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reduced expectations for future cash flows of the European kitchenware business. The fair value of the business was approximately 30.1% below its carrying value as of September 30, 2019.</w:t>
      </w: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third quarter of 2019 the Company also determined its European kitchenware and tableware reporting units had met the criteria to be combined into one reporting unit based on the guidance of ASC Topic No. 350, Intangibles - Goodwill and Other and ASC Topic No. 280, Segment Reporting.</w:t>
      </w:r>
    </w:p>
    <w:p>
      <w:pPr>
        <w:spacing w:after="0" w:line="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2018, the Company incurred a non-cash goodwill impairment charge of $2.2 million related to the European tableware business due to a decline in operating performance and reduced expectations for future cash flows.</w:t>
      </w:r>
    </w:p>
    <w:p>
      <w:pPr>
        <w:spacing w:after="0" w:line="6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Following the goodwill impairment charges taken in both the third quarter of 2019 and 2018, goodwill associated with the International reporting unit, comprised of the European kitchenware business and tableware business, acquired in 2014 and 2011, respectively, is zero.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Reporting Unit</w:t>
      </w:r>
    </w:p>
    <w:p>
      <w:pPr>
        <w:spacing w:after="0" w:line="23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performed its annual impairment assessment of its U.S. reporting unit as of October 1, 2019 by comparing the fair value of the reporting unit with its carrying value. The Company performed the analysis using a discounted cash flow and market multiple method. Based upon the analysis performed, the Company recognized a non-cash goodwill impairment charge of $33.2 million, during the three months ended December 31, 2019. The goodwill impairment charge resulted from, among other factors, a sustained decline in the Company's market capitalization observed in the fourth quarter of 2019.The fair value of the U.S, reporting unit was approximately 6.1% below its carrying value.</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Management’s projections used to estimate the cash flows included organic net sales growth and net sales growth through new customer channels as well as continued operating efficiencies in future periods. Changes in any of the significant assumptions used in the valuation of the reporting unit could materially affect the expected cash flows, and such impacts could potentially result in a material non-cash impairment charge.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the Company assessed the carrying value of goodwill and determined, based on qualitative factors, that no further impairment existed for goodwill.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indefinite-lived trade name impairment test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bypassed the optional qualitative impairment analysis for its indefinite-lived trade name assets annual October 1, 2019 impairment test.</w:t>
      </w:r>
    </w:p>
    <w:p>
      <w:pPr>
        <w:spacing w:after="0" w:line="2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values its indefinite-lived trade names using a relief-from-royalty approach, which assumes the value of the trade name is the discounted cash flows of the amount that would be paid by a hypothetical market participant had they not owned the trade name and instead licensed the trade name from another company. As of October 1, 2019, the Company completed the quantitative impairment analysis by comparing the fair value of the indefinite-lived trade names to their respective carrying value. The Company determined that the fair value of all its indefinite-lived trade names were above their respective carrying values with the exception of the Rabbit trade name that was acquired as part of the Filament acquisition on March 2, 2018, and which resulted in a fair value equal to its carrying value as of the October 1, 2019 impairment test date. While the indefinite-lived trade names were not determined to be impaired, the indefinite-lived trade names are at risk of future impairment in the event the trade names do not perform as projected or if market factors utilized in the impairment analysis deteriorate, including an unfavorable change in long-term growth rates or the weighted average cost of capital.</w:t>
      </w:r>
    </w:p>
    <w:p>
      <w:pPr>
        <w:spacing w:after="0" w:line="21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As of December 31, 2019, the Company assessed the carrying value of its indefinite-lived trade names and determined based on qualitative factors, no impairment existed.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DEBT</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matures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amount is recorded in the current maturity of term loan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the consolidated balance sheets. The maximum borrowing amount under the ABL Agreement may be increased to up to $200.0 million if certain conditions are met. One or more tranches of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 total availability under the ABL Agreement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150,000</w:t>
            </w:r>
          </w:p>
        </w:tc>
      </w:tr>
      <w:tr>
        <w:trPr>
          <w:trHeight w:val="223"/>
        </w:trPr>
        <w:tc>
          <w:tcPr>
            <w:tcW w:w="740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(32,822)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(42,080)</w:t>
            </w:r>
          </w:p>
        </w:tc>
      </w:tr>
      <w:tr>
        <w:trPr>
          <w:trHeight w:val="33"/>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 letters of credit</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(3,392)</w:t>
            </w: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114,890</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104,528</w:t>
            </w:r>
          </w:p>
        </w:tc>
      </w:tr>
      <w:tr>
        <w:trPr>
          <w:trHeight w:val="33"/>
        </w:trPr>
        <w:tc>
          <w:tcPr>
            <w:tcW w:w="7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thereunder may not represent actual borrowing capacity.</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current and non current portions of the Company’s Term Loan facility included in the consolidated balance sheets are presented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18"/>
                <w:szCs w:val="18"/>
                <w:color w:val="auto"/>
              </w:rPr>
            </w:pPr>
          </w:p>
        </w:tc>
        <w:tc>
          <w:tcPr>
            <w:tcW w:w="1980" w:type="dxa"/>
            <w:vAlign w:val="bottom"/>
            <w:gridSpan w:val="3"/>
          </w:tcPr>
          <w:p>
            <w:pPr>
              <w:jc w:val="right"/>
              <w:ind w:right="395"/>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3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420" w:type="dxa"/>
            <w:vAlign w:val="bottom"/>
          </w:tcPr>
          <w:p>
            <w:pPr>
              <w:ind w:left="120"/>
              <w:spacing w:after="0"/>
              <w:rPr>
                <w:sz w:val="20"/>
                <w:szCs w:val="20"/>
                <w:color w:val="auto"/>
              </w:rPr>
            </w:pPr>
            <w:r>
              <w:rPr>
                <w:rFonts w:ascii="Arial" w:cs="Arial" w:eastAsia="Arial" w:hAnsi="Arial"/>
                <w:sz w:val="16"/>
                <w:szCs w:val="16"/>
                <w:color w:val="auto"/>
              </w:rPr>
              <w:t>Term Loan facility annual principal payment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5"/>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9"/>
                <w:szCs w:val="19"/>
                <w:color w:val="auto"/>
              </w:rPr>
            </w:pP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Excess Cash Flow principal payment</w:t>
            </w:r>
          </w:p>
        </w:tc>
        <w:tc>
          <w:tcPr>
            <w:tcW w:w="3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r>
      <w:tr>
        <w:trPr>
          <w:trHeight w:val="224"/>
        </w:trPr>
        <w:tc>
          <w:tcPr>
            <w:tcW w:w="6420" w:type="dxa"/>
            <w:vAlign w:val="bottom"/>
          </w:tcPr>
          <w:p>
            <w:pPr>
              <w:ind w:left="120"/>
              <w:spacing w:after="0"/>
              <w:rPr>
                <w:sz w:val="20"/>
                <w:szCs w:val="20"/>
                <w:color w:val="auto"/>
              </w:rPr>
            </w:pPr>
            <w:r>
              <w:rPr>
                <w:rFonts w:ascii="Arial" w:cs="Arial" w:eastAsia="Arial" w:hAnsi="Arial"/>
                <w:sz w:val="16"/>
                <w:szCs w:val="16"/>
                <w:color w:val="auto"/>
              </w:rPr>
              <w:t>Unamortized debt issuance costs</w:t>
            </w:r>
          </w:p>
        </w:tc>
        <w:tc>
          <w:tcPr>
            <w:tcW w:w="30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(1,482)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6"/>
                <w:szCs w:val="16"/>
                <w:color w:val="auto"/>
              </w:rPr>
              <w:t>(1,497)</w:t>
            </w:r>
          </w:p>
        </w:tc>
        <w:tc>
          <w:tcPr>
            <w:tcW w:w="140" w:type="dxa"/>
            <w:vAlign w:val="bottom"/>
          </w:tcPr>
          <w:p>
            <w:pPr>
              <w:spacing w:after="0"/>
              <w:rPr>
                <w:sz w:val="19"/>
                <w:szCs w:val="19"/>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8,413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6"/>
                <w:szCs w:val="16"/>
                <w:color w:val="auto"/>
              </w:rPr>
              <w:t>1,253</w:t>
            </w:r>
          </w:p>
        </w:tc>
        <w:tc>
          <w:tcPr>
            <w:tcW w:w="140" w:type="dxa"/>
            <w:vAlign w:val="bottom"/>
          </w:tcPr>
          <w:p>
            <w:pPr>
              <w:spacing w:after="0"/>
              <w:rPr>
                <w:sz w:val="23"/>
                <w:szCs w:val="23"/>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portion of Term Loan facility:</w:t>
            </w:r>
          </w:p>
        </w:tc>
        <w:tc>
          <w:tcPr>
            <w:tcW w:w="3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420" w:type="dxa"/>
            <w:vAlign w:val="bottom"/>
          </w:tcPr>
          <w:p>
            <w:pPr>
              <w:ind w:left="120"/>
              <w:spacing w:after="0"/>
              <w:rPr>
                <w:sz w:val="20"/>
                <w:szCs w:val="20"/>
                <w:color w:val="auto"/>
              </w:rPr>
            </w:pPr>
            <w:r>
              <w:rPr>
                <w:rFonts w:ascii="Arial" w:cs="Arial" w:eastAsia="Arial" w:hAnsi="Arial"/>
                <w:sz w:val="16"/>
                <w:szCs w:val="16"/>
                <w:color w:val="auto"/>
              </w:rPr>
              <w:t>Term Loan facility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59"/>
              <w:spacing w:after="0"/>
              <w:rPr>
                <w:sz w:val="20"/>
                <w:szCs w:val="20"/>
                <w:color w:val="auto"/>
              </w:rPr>
            </w:pPr>
            <w:r>
              <w:rPr>
                <w:rFonts w:ascii="Arial" w:cs="Arial" w:eastAsia="Arial" w:hAnsi="Arial"/>
                <w:sz w:val="16"/>
                <w:szCs w:val="16"/>
                <w:color w:val="auto"/>
              </w:rPr>
              <w:t>260,293</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5"/>
              <w:spacing w:after="0"/>
              <w:rPr>
                <w:sz w:val="20"/>
                <w:szCs w:val="20"/>
                <w:color w:val="auto"/>
              </w:rPr>
            </w:pPr>
            <w:r>
              <w:rPr>
                <w:rFonts w:ascii="Arial" w:cs="Arial" w:eastAsia="Arial" w:hAnsi="Arial"/>
                <w:sz w:val="16"/>
                <w:szCs w:val="16"/>
                <w:color w:val="auto"/>
              </w:rPr>
              <w:t>270,188</w:t>
            </w:r>
          </w:p>
        </w:tc>
        <w:tc>
          <w:tcPr>
            <w:tcW w:w="140" w:type="dxa"/>
            <w:vAlign w:val="bottom"/>
          </w:tcPr>
          <w:p>
            <w:pPr>
              <w:spacing w:after="0"/>
              <w:rPr>
                <w:sz w:val="19"/>
                <w:szCs w:val="19"/>
                <w:color w:val="auto"/>
              </w:rPr>
            </w:pPr>
          </w:p>
        </w:tc>
      </w:tr>
      <w:tr>
        <w:trPr>
          <w:trHeight w:val="33"/>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Unamortized debt issuance costs</w:t>
            </w:r>
          </w:p>
        </w:tc>
        <w:tc>
          <w:tcPr>
            <w:tcW w:w="3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(7,494)</w:t>
            </w:r>
          </w:p>
        </w:tc>
        <w:tc>
          <w:tcPr>
            <w:tcW w:w="140" w:type="dxa"/>
            <w:vAlign w:val="bottom"/>
          </w:tcPr>
          <w:p>
            <w:pPr>
              <w:spacing w:after="0"/>
              <w:rPr>
                <w:sz w:val="22"/>
                <w:szCs w:val="22"/>
                <w:color w:val="auto"/>
              </w:rPr>
            </w:pPr>
          </w:p>
        </w:tc>
      </w:tr>
      <w:tr>
        <w:trPr>
          <w:trHeight w:val="217"/>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 Non Current portion of Term Loan facility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254,281</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color w:val="auto"/>
              </w:rPr>
              <w:t>262,694</w:t>
            </w:r>
          </w:p>
        </w:tc>
        <w:tc>
          <w:tcPr>
            <w:tcW w:w="14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2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5"/>
        </w:trPr>
        <w:tc>
          <w:tcPr>
            <w:tcW w:w="8820" w:type="dxa"/>
            <w:vAlign w:val="bottom"/>
            <w:gridSpan w:val="4"/>
          </w:tcPr>
          <w:p>
            <w:pPr>
              <w:spacing w:after="0"/>
              <w:rPr>
                <w:sz w:val="20"/>
                <w:szCs w:val="20"/>
                <w:color w:val="auto"/>
              </w:rPr>
            </w:pPr>
            <w:r>
              <w:rPr>
                <w:rFonts w:ascii="Arial" w:cs="Arial" w:eastAsia="Arial" w:hAnsi="Arial"/>
                <w:sz w:val="18"/>
                <w:szCs w:val="18"/>
                <w:color w:val="auto"/>
              </w:rPr>
              <w:t>As of December 31, 2019, the future principal payments of the Term Loan are as follows (in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249,293</w:t>
            </w:r>
          </w:p>
        </w:tc>
        <w:tc>
          <w:tcPr>
            <w:tcW w:w="140" w:type="dxa"/>
            <w:vAlign w:val="bottom"/>
          </w:tcPr>
          <w:p>
            <w:pPr>
              <w:spacing w:after="0"/>
              <w:rPr>
                <w:sz w:val="21"/>
                <w:szCs w:val="2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8"/>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270,188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and its domestic subsidiaries (the “Term Loan Collateral”) pledged as collateral in favor of lenders under the Term Loan and a second-priority lien in the Term Loan Collateral in favor of the lenders under the ABL Agreement.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Interest rates on outstanding borrowings under the ABL Agreement at December 31, 2019 ranged from 2.44% to 2.63%. In addition, the Company paid a commitment fee that ranged from 0.250% to 0.375% on the unused portion of the ABL Agreement during the year ended December 31, 2019.</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an alternate base rate, defined, for any day, as the greater of the prime rate, a federal funds and overnight bank funding based rate plus 0.50% or one-month LIBOR plus 1.0%, plus a margin of 2.50% or (ii) LIBOR plus a margin of 3.50%. The interest rate on outstanding borrowings under the Term Loan at December 31, 2019 was 5.3%.</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or 10% of the aggregate commitment under the ABL Agreement at any time and (b) ending on the day after such availability has exceeded the greater of $15.0 million or 10%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Company was in compliance with the covenants of the Debt Agreements at December 31, 2019. The Company expects that it will continue to borrow and repay funds, subject to availability,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Credit Agreements</w:t>
      </w:r>
    </w:p>
    <w:p>
      <w:pPr>
        <w:spacing w:after="0" w:line="117"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A subsidiary of the Company has a credit facility (“HSBC Facility”) with HSBC Bank (China) Company Limited, Shanghai Branch (“HSBC”) for up to $18.0 million Chinese renminbi ($2.6 million). The HSBC Facility is subject to annual renewal and may be used to fund general working capital needs of the Company’s subsidiary which is a trading company in the China. Borrowings under the HSBC Facility are guaranteed by the Company and are granted at the sole discretion of HSBC. No borrowings were outstanding under the HSBC Facility at December 31, 2019 and December 31, 2018.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DERIVATIVES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Company is a party to interest rate swap agreements, with an aggregate notional value of $100.0 million at December 31, 2019. The Company designated these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additional interest rate swap agreements, with an aggregate notional value of $25.0 million at December 31, 2019. These non-designated interest rate swaps serve as cash flow hedges of the Company’s exposure to the variability of the payment of interest on a portion of its Term Loan borrowings and expire in February 2025. The Company's net total outstanding notional value of interest rate swaps was $125.0 million at December 31,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is a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short-term (i.e. 12 months or less) foreign currency forward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December 31, 2019 was $7.3 million.</w:t>
      </w:r>
    </w:p>
    <w:p>
      <w:pPr>
        <w:spacing w:after="0" w:line="7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December 31, 2019, the Company does not have any foreign currency forward contract derivatives that are not designated as hedges. These foreign exchange contracts have been designated as hedges in to order to apply hedge accounting. No contracts were outstanding at December 31, 2018.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the Company’s derivative financial instruments included in the consolidated balance sheets are presented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20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82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r>
      <w:tr>
        <w:trPr>
          <w:trHeight w:val="249"/>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92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w:t>
            </w:r>
          </w:p>
        </w:tc>
      </w:tr>
      <w:tr>
        <w:trPr>
          <w:trHeight w:val="243"/>
        </w:trPr>
        <w:tc>
          <w:tcPr>
            <w:tcW w:w="4720" w:type="dxa"/>
            <w:vAlign w:val="bottom"/>
          </w:tcPr>
          <w:p>
            <w:pPr>
              <w:spacing w:after="0"/>
              <w:rPr>
                <w:sz w:val="21"/>
                <w:szCs w:val="21"/>
                <w:color w:val="auto"/>
              </w:rPr>
            </w:pPr>
          </w:p>
        </w:tc>
        <w:tc>
          <w:tcPr>
            <w:tcW w:w="3920" w:type="dxa"/>
            <w:vAlign w:val="bottom"/>
            <w:gridSpan w:val="2"/>
          </w:tcPr>
          <w:p>
            <w:pPr>
              <w:ind w:left="18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157</w:t>
            </w:r>
          </w:p>
        </w:tc>
      </w:tr>
      <w:tr>
        <w:trPr>
          <w:trHeight w:val="27"/>
        </w:trPr>
        <w:tc>
          <w:tcPr>
            <w:tcW w:w="47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39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6"/>
                <w:szCs w:val="16"/>
                <w:color w:val="auto"/>
              </w:rPr>
            </w:pPr>
          </w:p>
        </w:tc>
      </w:tr>
      <w:tr>
        <w:trPr>
          <w:trHeight w:val="208"/>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6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w w:val="94"/>
              </w:rPr>
              <w:t>Balance Sheet Location</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rate swaps</w:t>
            </w:r>
          </w:p>
        </w:tc>
        <w:tc>
          <w:tcPr>
            <w:tcW w:w="35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spacing w:after="0" w:line="18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24"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The amounts of the gains and (losses), net of taxes, related to the Company’s derivative financial instruments designated as hedging instruments are recognized in other comprehensive income (loss)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Pr>
          <w:p>
            <w:pPr>
              <w:spacing w:after="0"/>
              <w:rPr>
                <w:sz w:val="16"/>
                <w:szCs w:val="16"/>
                <w:color w:val="auto"/>
              </w:rPr>
            </w:pPr>
          </w:p>
        </w:tc>
      </w:tr>
      <w:tr>
        <w:trPr>
          <w:trHeight w:val="208"/>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r>
      <w:tr>
        <w:trPr>
          <w:trHeight w:val="249"/>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r>
      <w:tr>
        <w:trPr>
          <w:trHeight w:val="243"/>
        </w:trPr>
        <w:tc>
          <w:tcPr>
            <w:tcW w:w="7240" w:type="dxa"/>
            <w:vAlign w:val="bottom"/>
          </w:tcPr>
          <w:p>
            <w:pPr>
              <w:ind w:left="340"/>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Realized gains or (losses) on the interest rate swaps are reclassified into earnings as interest expense as the interest expense on the debt is recognized. The Company had no terminated or matured interest rate swaps during the year ended December 31, 2019.</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Realized gains or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year ended December 31, 2019, the Company reclassified $0.2 million of cash flow hedges in other comprehensive losses to earnings. This comprised of $(0.3) million related to interest rate swaps recognized in interest expense and a gain of $0.5 million related to foreign exchange contracts recognized in cost of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The amounts of the gains and losses related to the Company’s derivative financial instruments not designated as hedging instruments are recognized in earnings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Pr>
          <w:p>
            <w:pPr>
              <w:spacing w:after="0"/>
              <w:rPr>
                <w:sz w:val="16"/>
                <w:szCs w:val="16"/>
                <w:color w:val="auto"/>
              </w:rPr>
            </w:pPr>
          </w:p>
        </w:tc>
      </w:tr>
      <w:tr>
        <w:trPr>
          <w:trHeight w:val="20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Derivatives not designated as hedging instruments</w:t>
            </w:r>
          </w:p>
        </w:tc>
        <w:tc>
          <w:tcPr>
            <w:tcW w:w="41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Location of Gain or (Loss)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49"/>
        </w:trPr>
        <w:tc>
          <w:tcPr>
            <w:tcW w:w="3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42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340"/>
              <w:spacing w:after="0"/>
              <w:rPr>
                <w:sz w:val="20"/>
                <w:szCs w:val="20"/>
                <w:color w:val="auto"/>
              </w:rPr>
            </w:pPr>
            <w:r>
              <w:rPr>
                <w:rFonts w:ascii="Arial" w:cs="Arial" w:eastAsia="Arial" w:hAnsi="Arial"/>
                <w:sz w:val="18"/>
                <w:szCs w:val="18"/>
                <w:color w:val="auto"/>
              </w:rPr>
              <w:t>Foreign exchange contracts</w:t>
            </w:r>
          </w:p>
        </w:tc>
        <w:tc>
          <w:tcPr>
            <w:tcW w:w="4200" w:type="dxa"/>
            <w:vAlign w:val="bottom"/>
            <w:gridSpan w:val="2"/>
          </w:tcPr>
          <w:p>
            <w:pPr>
              <w:ind w:left="300"/>
              <w:spacing w:after="0"/>
              <w:rPr>
                <w:sz w:val="20"/>
                <w:szCs w:val="20"/>
                <w:color w:val="auto"/>
              </w:rPr>
            </w:pPr>
            <w:r>
              <w:rPr>
                <w:rFonts w:ascii="Arial" w:cs="Arial" w:eastAsia="Arial" w:hAnsi="Arial"/>
                <w:sz w:val="18"/>
                <w:szCs w:val="18"/>
                <w:color w:val="auto"/>
              </w:rPr>
              <w:t>Selling, general &amp; administrative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(2,592)</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were declared in 2019 and 2018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Dividend per share</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 of record</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Payment date</w:t>
            </w:r>
          </w:p>
        </w:tc>
      </w:tr>
      <w:tr>
        <w:trPr>
          <w:trHeight w:val="24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8, 2018</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15, 2018</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June 28, 2018</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1, 2018</w:t>
            </w:r>
          </w:p>
        </w:tc>
        <w:tc>
          <w:tcPr>
            <w:tcW w:w="2540" w:type="dxa"/>
            <w:vAlign w:val="bottom"/>
          </w:tcPr>
          <w:p>
            <w:pPr>
              <w:ind w:left="20"/>
              <w:spacing w:after="0"/>
              <w:rPr>
                <w:sz w:val="20"/>
                <w:szCs w:val="20"/>
                <w:color w:val="auto"/>
              </w:rPr>
            </w:pPr>
            <w:r>
              <w:rPr>
                <w:rFonts w:ascii="Arial" w:cs="Arial" w:eastAsia="Arial" w:hAnsi="Arial"/>
                <w:sz w:val="18"/>
                <w:szCs w:val="18"/>
                <w:color w:val="auto"/>
              </w:rPr>
              <w:t>August 15, 2018</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31, 2018</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2018</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2018</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November 7, 2018</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February 1, 2019</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15, 2019</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12, 2019</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2019</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15, 2019</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June 27, 2019</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1, 2019</w:t>
            </w:r>
          </w:p>
        </w:tc>
        <w:tc>
          <w:tcPr>
            <w:tcW w:w="2540" w:type="dxa"/>
            <w:vAlign w:val="bottom"/>
          </w:tcPr>
          <w:p>
            <w:pPr>
              <w:ind w:left="20"/>
              <w:spacing w:after="0"/>
              <w:rPr>
                <w:sz w:val="20"/>
                <w:szCs w:val="20"/>
                <w:color w:val="auto"/>
              </w:rPr>
            </w:pPr>
            <w:r>
              <w:rPr>
                <w:rFonts w:ascii="Arial" w:cs="Arial" w:eastAsia="Arial" w:hAnsi="Arial"/>
                <w:sz w:val="18"/>
                <w:szCs w:val="18"/>
                <w:color w:val="auto"/>
              </w:rPr>
              <w:t>August 15, 2019</w:t>
            </w: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2019</w:t>
            </w: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2019</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$0.0425</w:t>
            </w:r>
          </w:p>
        </w:tc>
        <w:tc>
          <w:tcPr>
            <w:tcW w:w="340" w:type="dxa"/>
            <w:vAlign w:val="bottom"/>
          </w:tcPr>
          <w:p>
            <w:pPr>
              <w:spacing w:after="0"/>
              <w:rPr>
                <w:sz w:val="21"/>
                <w:szCs w:val="21"/>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November 7, 2019</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January 31, 2020</w:t>
            </w:r>
          </w:p>
        </w:tc>
        <w:tc>
          <w:tcPr>
            <w:tcW w:w="2540" w:type="dxa"/>
            <w:vAlign w:val="bottom"/>
          </w:tcPr>
          <w:p>
            <w:pPr>
              <w:ind w:left="20"/>
              <w:spacing w:after="0"/>
              <w:rPr>
                <w:sz w:val="20"/>
                <w:szCs w:val="20"/>
                <w:color w:val="auto"/>
              </w:rPr>
            </w:pPr>
            <w:r>
              <w:rPr>
                <w:rFonts w:ascii="Arial" w:cs="Arial" w:eastAsia="Arial" w:hAnsi="Arial"/>
                <w:sz w:val="18"/>
                <w:szCs w:val="18"/>
                <w:color w:val="auto"/>
              </w:rPr>
              <w:t>February 14, 2020</w:t>
            </w: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10, 2020, the Board of Directors declared a quarterly dividend of $0.0425 per share payable on May 15, 2020 to shareholders of record on May 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30, 2013, Lifetime’s Board of Directors authorized the repurchase of up to $10.0 million of the Company’s common stock. The repurchase authorization permits the Company to effect repurchases from time to time through open market purchases and privately negotiated transactions. No shares were repurchased during the years ended December 31, 2019, 2018 and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authorized to issue 100 shares of Series A Preferred Stock and 2,000,000 shares of Series B Preferred Stock, none of which has been issued or is outstanding at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Amended and Restated 2000 Long-Term Incentive Plan (the “Plan”) provides for the granting of awards of up to 6,187,500 shares of common stock. These shares of the Company’s common stock are available for grants to directors, officers, employees, consultants and service providers and affiliates in the form of stock options or other equity-based awards.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As of December 31, 2019, there were 337,230 shares available for the grant of awards under the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three years ended December 31, 2019, is as follows: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price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2016</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1,775,400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125,750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(45,700)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2017</w:t>
            </w: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1,456,200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Exercises</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Expirations</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December 31, 2018</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1,548,825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296,500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Exercises</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Expirations</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2019</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1,508,325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December 31, 2019</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1,065,422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aggregate intrinsic value in the table above represents the total pre-tax intrinsic value that would have been received by the option holders had all option holders exercised their exercisable in-the-money stock options on December 31, 2019. The intrinsic value is calculated for each in-the-money stock option as the difference between the closing price of the Company’s common stock on December 31, 2019 and the exercise price.</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total intrinsic values of those stock options that were exercised in the years ended December 31, 2019, 2018 and 2017 were $0.3 million, $0.4 million and $2.1 million, respectively. The intrinsic value of a stock option that is exercised is calculated at the date of exercise.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unrecognized stock option compensation expense at December 31, 2019, before the effect of income taxes, was $1.1 million and is expected to be recognized over a weighted-average period of 1.5 years.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2019, 2018 and 2017, was $2.77, $4.47 and $6.37,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for these stock options were estimated at the dates of grant using the following weighted-average assumptions: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6"/>
                <w:szCs w:val="16"/>
                <w:color w:val="auto"/>
              </w:rPr>
            </w:pPr>
          </w:p>
        </w:tc>
      </w:tr>
      <w:tr>
        <w:trPr>
          <w:trHeight w:val="24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volatility</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three years ended December 31, 2019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2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49"/>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2016</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161,824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133,352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2017</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219,317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223,884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(25,730)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2018</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326,545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Grants</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439,747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Cancellations</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(24,537)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shares, December 31, 2019</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593,341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Total unrecognized compensation expense remaining (in thousands)</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410"/>
              <w:spacing w:after="0"/>
              <w:rPr>
                <w:sz w:val="20"/>
                <w:szCs w:val="20"/>
                <w:color w:val="auto"/>
              </w:rPr>
            </w:pPr>
            <w:r>
              <w:rPr>
                <w:rFonts w:ascii="Arial" w:cs="Arial" w:eastAsia="Arial" w:hAnsi="Arial"/>
                <w:sz w:val="18"/>
                <w:szCs w:val="18"/>
                <w:color w:val="auto"/>
              </w:rPr>
              <w:t>4,199</w:t>
            </w:r>
          </w:p>
        </w:tc>
      </w:tr>
      <w:tr>
        <w:trPr>
          <w:trHeight w:val="27"/>
        </w:trPr>
        <w:tc>
          <w:tcPr>
            <w:tcW w:w="69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4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2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1.6</w:t>
            </w:r>
          </w:p>
        </w:tc>
      </w:tr>
      <w:tr>
        <w:trPr>
          <w:trHeight w:val="27"/>
        </w:trPr>
        <w:tc>
          <w:tcPr>
            <w:tcW w:w="6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year ended December 31, 2019 was $1.4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12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three years ended December 31, 2019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4"/>
              </w:rPr>
              <w:t>Weighted-</w:t>
            </w:r>
          </w:p>
        </w:tc>
      </w:tr>
      <w:tr>
        <w:trPr>
          <w:trHeight w:val="148"/>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71"/>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Performance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75"/>
              <w:spacing w:after="0"/>
              <w:rPr>
                <w:sz w:val="20"/>
                <w:szCs w:val="20"/>
                <w:color w:val="auto"/>
              </w:rPr>
            </w:pPr>
            <w:r>
              <w:rPr>
                <w:rFonts w:ascii="Arial" w:cs="Arial" w:eastAsia="Arial" w:hAnsi="Arial"/>
                <w:sz w:val="14"/>
                <w:szCs w:val="14"/>
                <w:b w:val="1"/>
                <w:bCs w:val="1"/>
                <w:color w:val="auto"/>
                <w:w w:val="97"/>
              </w:rPr>
              <w:t>grant</w:t>
            </w:r>
          </w:p>
        </w:tc>
      </w:tr>
      <w:tr>
        <w:trPr>
          <w:trHeight w:val="135"/>
        </w:trPr>
        <w:tc>
          <w:tcPr>
            <w:tcW w:w="8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83"/>
              </w:rPr>
              <w:t>based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0"/>
              </w:rPr>
              <w:t>date</w:t>
            </w:r>
          </w:p>
        </w:tc>
      </w:tr>
      <w:tr>
        <w:trPr>
          <w:trHeight w:val="188"/>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 xml:space="preserve">awards </w:t>
            </w:r>
            <w:r>
              <w:rPr>
                <w:rFonts w:ascii="Arial" w:cs="Arial" w:eastAsia="Arial" w:hAnsi="Arial"/>
                <w:sz w:val="9"/>
                <w:szCs w:val="9"/>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fair value</w:t>
            </w:r>
          </w:p>
        </w:tc>
      </w:tr>
      <w:tr>
        <w:trPr>
          <w:trHeight w:val="24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145,962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15.32</w:t>
            </w: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Grants</w:t>
            </w:r>
          </w:p>
        </w:tc>
        <w:tc>
          <w:tcPr>
            <w:tcW w:w="1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18.45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16.52</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2017</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228,892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16.49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12.81</w:t>
            </w:r>
          </w:p>
        </w:tc>
      </w:tr>
      <w:tr>
        <w:trPr>
          <w:trHeight w:val="243"/>
        </w:trPr>
        <w:tc>
          <w:tcPr>
            <w:tcW w:w="8440" w:type="dxa"/>
            <w:vAlign w:val="bottom"/>
          </w:tcPr>
          <w:p>
            <w:pPr>
              <w:ind w:left="320"/>
              <w:spacing w:after="0"/>
              <w:rPr>
                <w:sz w:val="20"/>
                <w:szCs w:val="20"/>
                <w:color w:val="auto"/>
              </w:rPr>
            </w:pPr>
            <w:r>
              <w:rPr>
                <w:rFonts w:ascii="Arial" w:cs="Arial" w:eastAsia="Arial" w:hAnsi="Arial"/>
                <w:sz w:val="18"/>
                <w:szCs w:val="18"/>
                <w:color w:val="auto"/>
              </w:rPr>
              <w:t>Vested</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(58,888)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14.84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15.95</w:t>
            </w: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2018</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339,287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14.82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Grants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9.19</w:t>
            </w: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Vested</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(66,761)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15.69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Cancellations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15.44</w:t>
            </w:r>
          </w:p>
        </w:tc>
      </w:tr>
      <w:tr>
        <w:trPr>
          <w:trHeight w:val="26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Non-vested performance-based awards, December 31, 2019</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405,059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12.43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unrecognized compensation expense remaining (in thousands)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Weighted-average years expected to be recognized over</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9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target number of shares to be issued for each performance-based award.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year ended December 31, 2019 was $0.6 million.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10, 2020, the Compensation Committee of the Board of Directors determined the performance goals set forth in the performance-based awards granted in 2017 were attained and 62,215 shares 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4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Compensation Expense Components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based stock option expense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691</w:t>
            </w:r>
          </w:p>
        </w:tc>
        <w:tc>
          <w:tcPr>
            <w:tcW w:w="16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and performance-based stock awards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4,404</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3,400</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Stock compensation expense for equity based awards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5,021</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4,091</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based stock option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Stock Compensation Expense</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5,041</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4,135</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(LOSS) INCOME PER COMMON SHARE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calculations of basic and diluted (loss) income per common share for the years ended December 31, 2019, 2018 and 2017, are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gridSpan w:val="6"/>
          </w:tcPr>
          <w:p>
            <w:pPr>
              <w:jc w:val="right"/>
              <w:spacing w:after="0"/>
              <w:rPr>
                <w:sz w:val="20"/>
                <w:szCs w:val="20"/>
                <w:color w:val="auto"/>
              </w:rPr>
            </w:pPr>
            <w:r>
              <w:rPr>
                <w:rFonts w:ascii="Arial" w:cs="Arial" w:eastAsia="Arial" w:hAnsi="Arial"/>
                <w:sz w:val="14"/>
                <w:szCs w:val="14"/>
                <w:color w:val="auto"/>
              </w:rPr>
              <w:t>(in thousands - except per share amounts)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20,597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19,452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20,597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19,452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shares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equity in earnings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17,728</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income before income taxes and equity in earnings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(before equity in earnings) consists of:</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Tax Act was enacted. The Tax Act revises the U.S. corporate income tax by, among other things, lowering the corporate income tax rate from 35% to 21%, adopting a quasi-territorial income tax system, imposing a one-time transition tax on foreign unremitted earnings, and setting limitations on the deductibility of certain costs (e.g., interest expense). For the year ended December 31, 2017, the Company accrued $0.3 million of tax expense for the Tax Act’s one-time transition tax on the Company’s material wholly owned foreign subsidiaries’ accumulated, unremitted earnings and $3.0 million in provisional expense related to the net change in deferred tax assets stemming from the Tax Act’s reduction of the U.S. federal tax rate from 35% to 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response to the Act, the U.S. Securities and Exchange Commission (“SEC”) provided guidance by issuing Staff Accounting Bulletin No. 118</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(“SAB 118”), which has since been codified by the release of ASU No. 2018-5, Income Taxes (Topic 740): Amendments to SEC Paragraphs Pursuant to SEC Staff Accounting Bulletin No. 118. ASU 2018-5 allows companies to record provisional amounts during a measurement period with respect to the impacts of the Act for which the accounting requirements under ASC Topic 740 are not complete, but a reasonable estimate has been determined. The measurement period under ASU 2018-5 ends when a company has obtained, prepared, and analyzed the information that was needed in order to complete the accounting requirements under ASC Topic 740, but cannot exceed one year.</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2018, the Company had completed the accounting for the effects of the Act. The Company had included the impact of the Act on its annual effective tax rate and has recorded an additional provision of $0.7 million primarily related to an adjustment to the estimated transition tax liability, including an uncertain tax position.</w:t>
      </w:r>
    </w:p>
    <w:p>
      <w:pPr>
        <w:sectPr>
          <w:pgSz w:w="11900" w:h="16838" w:orient="portrait"/>
          <w:cols w:equalWidth="0" w:num="1">
            <w:col w:w="11220"/>
          </w:cols>
          <w:pgMar w:left="320" w:top="121"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Since January 1, 2018, the Tax Act has subjected the Company to a tax on global intangible low-taxed income (“GILTI”) earned by certain foreign subsidiaries, base erosion anti-abuse tax (“BEAT”), foreign derived intangible income tax (“FDII”), and IRC Section 163(j) interest limitation (“Interest Limitation”). Entities can make an accounting policy election to either recognize deferred taxes for temporary basis differences expected to reverse as GILTI in future years or provide for the tax expense related to GILTI in the year the tax is incurred. The Company had elected to account for the GILTI tax as a current period expense. The Company did not have GILTI liability and was not subject to BEAT in 2019 and 2018. The tax impact of FDII was immaterial for 2019 and 2018. The Company incurred interest limitation in 2019 and 2018, resulting in a cumulative deferred tax asset related to interest carried forward of approximately $1.9 million.</w:t>
      </w:r>
    </w:p>
    <w:p>
      <w:pPr>
        <w:spacing w:after="0" w:line="19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196"/>
        </w:trPr>
        <w:tc>
          <w:tcPr>
            <w:tcW w:w="8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7"/>
                <w:szCs w:val="17"/>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29,126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3,504</w:t>
            </w: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2,982</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1,446</w:t>
            </w: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Operating loss and non-deductible interest carry-forward</w:t>
            </w:r>
          </w:p>
        </w:tc>
        <w:tc>
          <w:tcPr>
            <w:tcW w:w="30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7,071</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allowances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w:t>
            </w: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1,026</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1,753</w:t>
            </w:r>
          </w:p>
        </w:tc>
      </w:tr>
      <w:tr>
        <w:trPr>
          <w:trHeight w:val="237"/>
        </w:trPr>
        <w:tc>
          <w:tcPr>
            <w:tcW w:w="8640" w:type="dxa"/>
            <w:vAlign w:val="bottom"/>
          </w:tcPr>
          <w:p>
            <w:pPr>
              <w:ind w:left="76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45,835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18,516</w:t>
            </w:r>
          </w:p>
        </w:tc>
      </w:tr>
      <w:tr>
        <w:trPr>
          <w:trHeight w:val="27"/>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(25,084)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(27,782)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(27,534)</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(55,297)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(30,074)</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(11,558)</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(2,850)</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(14,408)</w:t>
            </w:r>
          </w:p>
        </w:tc>
      </w:tr>
      <w:tr>
        <w:trPr>
          <w:trHeight w:val="27"/>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As of December 31, 2018, a net deferred tax liability of $13.9 million was recorded in purchase accounting in connection with the Filament acquisition, including uncertain tax positions of $0.3 million. The assessment of tax accounting concluded in the first quarter of 2019 with no material adjustments.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generated various state net operating loss carryforwards of which $20.2 million remained at December 31, 2019 that begin to expire in 2026. The Company has net operating losses in foreign jurisdictions of $28.1 million at December 31, 2019 that begin to expire in 2022. The Company also has U.S. losses of $0.4 million that can be carried forward indefinitely and are subject to IRC section 382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(before equity in earnings) differs from the amounts computed by applying the applicable federal statutory rates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gridSpan w:val="6"/>
          </w:tcPr>
          <w:p>
            <w:pPr>
              <w:ind w:left="12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02"/>
        </w:trPr>
        <w:tc>
          <w:tcPr>
            <w:tcW w:w="7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shd w:val="clear" w:color="auto" w:fill="CCEEFF"/>
          </w:tcPr>
          <w:p>
            <w:pPr>
              <w:spacing w:after="0"/>
              <w:rPr>
                <w:sz w:val="17"/>
                <w:szCs w:val="17"/>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Federal income taxes at the statutory rate</w:t>
            </w:r>
          </w:p>
        </w:tc>
        <w:tc>
          <w:tcPr>
            <w:tcW w:w="130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Increases (decreases):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State and local income taxes, net of Federal income tax benefit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rate differences</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7100" w:type="dxa"/>
            <w:vAlign w:val="bottom"/>
          </w:tcPr>
          <w:p>
            <w:pPr>
              <w:ind w:left="360"/>
              <w:spacing w:after="0"/>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23"/>
                <w:szCs w:val="23"/>
                <w:color w:val="auto"/>
                <w:vertAlign w:val="superscript"/>
              </w:rPr>
              <w:t>(1)</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Non-deductible expenses</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Tax Act- revaluation of net deferred tax assets and other</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Act- transition tax</w:t>
            </w: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Uncertain tax positions</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w:t>
            </w:r>
          </w:p>
        </w:tc>
        <w:tc>
          <w:tcPr>
            <w:tcW w:w="13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40"/>
              <w:spacing w:after="0"/>
              <w:rPr>
                <w:sz w:val="20"/>
                <w:szCs w:val="20"/>
                <w:color w:val="auto"/>
              </w:rPr>
            </w:pPr>
            <w:r>
              <w:rPr>
                <w:rFonts w:ascii="Arial" w:cs="Arial" w:eastAsia="Arial" w:hAnsi="Arial"/>
                <w:sz w:val="18"/>
                <w:szCs w:val="18"/>
                <w:color w:val="auto"/>
              </w:rPr>
              <w:t>Federal return to provision</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
        </w:trPr>
        <w:tc>
          <w:tcPr>
            <w:tcW w:w="7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27" w:lineRule="auto"/>
        <w:tabs>
          <w:tab w:leader="none" w:pos="64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 2019, the rate for the impairment of goodwill was (20.8)% due to a pretax loss position. In 2018, the rate for the impairment of goodwill was 98.6% due to a pretax income position.</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estimated values of the Company’s gross uncertain tax positions at December 31, 2019, 2018 and 2017 are liabilities of $1.5 million, $2.0 million and $0.2 million, respectively, and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96"/>
        </w:trPr>
        <w:tc>
          <w:tcPr>
            <w:tcW w:w="72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(82)</w:t>
            </w: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based on tax positions related to the prior year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Reductions for tax position of prior years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30</w:t>
            </w: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Company had approximately $89,000 and $29,000, net of federal and state tax benefit, accrued at December 31, 2019 and 2018, respectively, for the payment of interest. The Company’s policy for recording interest and penalties is to record such items as a component of the provision for income taxes.</w:t>
      </w:r>
    </w:p>
    <w:p>
      <w:pPr>
        <w:spacing w:after="0" w:line="1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the Company’s tax positions are ultimately sustained, the Company’s liability, including interest, would be reduced by $1.6 million, all of which would impact the Company’s tax provision. On a quarterly basis, the Company evaluates its tax positions and revises its estimates accordingly. The Company believes that it is reasonably possible that none of its tax positions will be resolved within the next twelve months.</w:t>
      </w:r>
    </w:p>
    <w:p>
      <w:pPr>
        <w:spacing w:after="0" w:line="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is no longer subject to U.S. Federal income tax examinations for the years prior to 2015. The Company has identified the following jurisdictions as “major” tax jurisdictions: U.S. Federal, California, Massachusetts, Texas and the United Kingdom. At December 31, 2019, the periods subject to examination by the Company’s major state jurisdictions, except for New York State, are generally for the years ended 2015 through 2018. In certain jurisdictions Filament may have additional periods subject to examination. The Company’s 2015 Federal income tax return and New York State tax returns for years 2014-2016 remain under audit with no material assessments as of December 31, 2019.</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M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two reportable segments, U.S. and International. Prior to December 31, 2018, certain international operations of the Company’s business were managed domestically by the U.S. segment. In 2019, the Company realigned its operating segments to reflect the changes in how the Company manages its business, reviews operating performance and allocates resources. The prior period segment information has been recast to reflect the current reportable segment structure of the Company.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74"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644,171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609,114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478,144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90,731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95,428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101,332</w:t>
            </w:r>
          </w:p>
        </w:tc>
        <w:tc>
          <w:tcPr>
            <w:tcW w:w="0" w:type="dxa"/>
            <w:vAlign w:val="bottom"/>
          </w:tcPr>
          <w:p>
            <w:pPr>
              <w:spacing w:after="0"/>
              <w:rPr>
                <w:sz w:val="1"/>
                <w:szCs w:val="1"/>
                <w:color w:val="auto"/>
              </w:rPr>
            </w:pPr>
          </w:p>
        </w:tc>
      </w:tr>
      <w:tr>
        <w:trPr>
          <w:trHeight w:val="237"/>
        </w:trPr>
        <w:tc>
          <w:tcPr>
            <w:tcW w:w="7280" w:type="dxa"/>
            <w:vAlign w:val="bottom"/>
          </w:tcPr>
          <w:p>
            <w:pPr>
              <w:ind w:left="66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734,902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704,542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579,476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400"/>
              <w:spacing w:after="0" w:line="269" w:lineRule="exact"/>
              <w:rPr>
                <w:sz w:val="20"/>
                <w:szCs w:val="20"/>
                <w:color w:val="auto"/>
              </w:rPr>
            </w:pPr>
            <w:r>
              <w:rPr>
                <w:rFonts w:ascii="Arial" w:cs="Arial" w:eastAsia="Arial" w:hAnsi="Arial"/>
                <w:sz w:val="31"/>
                <w:szCs w:val="31"/>
                <w:color w:val="auto"/>
                <w:vertAlign w:val="subscript"/>
              </w:rPr>
              <w:t>U.S.</w:t>
            </w:r>
            <w:r>
              <w:rPr>
                <w:rFonts w:ascii="Arial" w:cs="Arial" w:eastAsia="Arial" w:hAnsi="Arial"/>
                <w:sz w:val="11"/>
                <w:szCs w:val="11"/>
                <w:color w:val="auto"/>
              </w:rPr>
              <w:t xml:space="preserve"> (1)(2)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19,826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44,213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39,341</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(3)(4)</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(22,962)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(20,239)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(17,177)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income from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18,579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20,653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10,004</w:t>
            </w: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23,329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7,902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32" w:lineRule="auto"/>
        <w:tabs>
          <w:tab w:leader="none" w:pos="488"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In 2019 and 2018, income from operations for the U.S. segment includes $0.7 million and $2.1 million of restructuring expenses related to the U.S. restructuring plan and the Filament integration, respectively, as described in Note A – Significant Accounting Policies.</w:t>
      </w:r>
    </w:p>
    <w:p>
      <w:pPr>
        <w:spacing w:after="0" w:line="1" w:lineRule="exact"/>
        <w:rPr>
          <w:rFonts w:ascii="Arial" w:cs="Arial" w:eastAsia="Arial" w:hAnsi="Arial"/>
          <w:sz w:val="22"/>
          <w:szCs w:val="22"/>
          <w:color w:val="auto"/>
          <w:vertAlign w:val="superscript"/>
        </w:rPr>
      </w:pPr>
    </w:p>
    <w:p>
      <w:pPr>
        <w:ind w:left="500" w:right="60" w:hanging="492"/>
        <w:spacing w:after="0" w:line="199" w:lineRule="auto"/>
        <w:tabs>
          <w:tab w:leader="none" w:pos="48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 2019, the the Company recognized a non-cash goodwill impairment charge of $33.2 million related to its U.S. reporting unit, as described in Note G - Goodwill and intangible assets.</w:t>
      </w:r>
    </w:p>
    <w:p>
      <w:pPr>
        <w:ind w:left="500" w:right="160" w:hanging="492"/>
        <w:spacing w:after="0" w:line="242" w:lineRule="auto"/>
        <w:tabs>
          <w:tab w:leader="none" w:pos="48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 2019, 2018 and 2017, income from operations for the International segment includes $0.7 million, $0.2 million and $1.0 million, respectively, of restructuring expenses related to the integration of entities in Europe, as described in Note A – Significant Accounting Policies.</w:t>
      </w:r>
    </w:p>
    <w:p>
      <w:pPr>
        <w:spacing w:after="0" w:line="1" w:lineRule="exact"/>
        <w:rPr>
          <w:rFonts w:ascii="Arial" w:cs="Arial" w:eastAsia="Arial" w:hAnsi="Arial"/>
          <w:sz w:val="21"/>
          <w:szCs w:val="21"/>
          <w:color w:val="auto"/>
          <w:vertAlign w:val="superscript"/>
        </w:rPr>
      </w:pPr>
    </w:p>
    <w:p>
      <w:pPr>
        <w:jc w:val="both"/>
        <w:ind w:left="500" w:right="100" w:hanging="492"/>
        <w:spacing w:after="0" w:line="210" w:lineRule="auto"/>
        <w:tabs>
          <w:tab w:leader="none" w:pos="48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 xml:space="preserve">In 2019 and 2018, </w:t>
      </w:r>
      <w:r>
        <w:rPr>
          <w:rFonts w:ascii="Arial" w:cs="Arial" w:eastAsia="Arial" w:hAnsi="Arial"/>
          <w:sz w:val="19"/>
          <w:szCs w:val="19"/>
          <w:color w:val="auto"/>
        </w:rPr>
        <w:t>T</w:t>
      </w:r>
      <w:r>
        <w:rPr>
          <w:rFonts w:ascii="Arial" w:cs="Arial" w:eastAsia="Arial" w:hAnsi="Arial"/>
          <w:sz w:val="18"/>
          <w:szCs w:val="18"/>
          <w:color w:val="auto"/>
        </w:rPr>
        <w:t>he Company recognized a $9.7 million non-cash goodwill impairment charge related to the European kitchenware business and a non-cash goodwill impairment charge of $2.2 million related to the European tableware business, respectively, as described in Note G -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7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9120"/>
        <w:spacing w:after="0"/>
        <w:tabs>
          <w:tab w:leader="none" w:pos="10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23495</wp:posOffset>
            </wp:positionV>
            <wp:extent cx="16459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639,047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604,532</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117,935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94,210</w:t>
            </w: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Unallocated corporate</w:t>
            </w:r>
          </w:p>
        </w:tc>
        <w:tc>
          <w:tcPr>
            <w:tcW w:w="3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13,041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9,830</w:t>
            </w: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770,023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708,572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55"/>
              <w:spacing w:after="0"/>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81,641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43"/>
        </w:trPr>
        <w:tc>
          <w:tcPr>
            <w:tcW w:w="8640" w:type="dxa"/>
            <w:vAlign w:val="bottom"/>
          </w:tcPr>
          <w:p>
            <w:pPr>
              <w:ind w:left="660"/>
              <w:spacing w:after="0"/>
              <w:rPr>
                <w:sz w:val="20"/>
                <w:szCs w:val="20"/>
                <w:color w:val="auto"/>
              </w:rPr>
            </w:pPr>
            <w:r>
              <w:rPr>
                <w:rFonts w:ascii="Arial" w:cs="Arial" w:eastAsia="Arial" w:hAnsi="Arial"/>
                <w:sz w:val="18"/>
                <w:szCs w:val="18"/>
                <w:color w:val="auto"/>
              </w:rPr>
              <w:t>Acquisition activity</w:t>
            </w: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78,795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Purchase price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40" w:type="dxa"/>
            <w:vAlign w:val="bottom"/>
          </w:tcPr>
          <w:p>
            <w:pPr>
              <w:ind w:left="66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(33,242)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49,371</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81,641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International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10,049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43"/>
        </w:trPr>
        <w:tc>
          <w:tcPr>
            <w:tcW w:w="8640" w:type="dxa"/>
            <w:vAlign w:val="bottom"/>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(9,748)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7"/>
        </w:trPr>
        <w:tc>
          <w:tcPr>
            <w:tcW w:w="8640" w:type="dxa"/>
            <w:vAlign w:val="bottom"/>
          </w:tcPr>
          <w:p>
            <w:pPr>
              <w:ind w:left="66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49,371</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91,690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Geographical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The following table sets forth long-lived assets by the major geographic locations: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December,</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center"/>
              <w:ind w:left="455"/>
              <w:spacing w:after="0"/>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 excluding intangible assets, at period-end:</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23,455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25,229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Mexico</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21,288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22,583</w:t>
            </w:r>
          </w:p>
        </w:tc>
        <w:tc>
          <w:tcPr>
            <w:tcW w:w="0" w:type="dxa"/>
            <w:vAlign w:val="bottom"/>
          </w:tcPr>
          <w:p>
            <w:pPr>
              <w:spacing w:after="0"/>
              <w:rPr>
                <w:sz w:val="1"/>
                <w:szCs w:val="1"/>
                <w:color w:val="auto"/>
              </w:rPr>
            </w:pPr>
          </w:p>
        </w:tc>
      </w:tr>
      <w:tr>
        <w:trPr>
          <w:trHeight w:val="243"/>
        </w:trPr>
        <w:tc>
          <w:tcPr>
            <w:tcW w:w="8640" w:type="dxa"/>
            <w:vAlign w:val="bottom"/>
          </w:tcPr>
          <w:p>
            <w:pPr>
              <w:ind w:left="34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8,353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6"/>
        </w:trPr>
        <w:tc>
          <w:tcPr>
            <w:tcW w:w="8640" w:type="dxa"/>
            <w:vAlign w:val="bottom"/>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53,528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50,188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has license agreements that require the payment of royalties on sales of licensed products which expire through 2024. Future minimum royalties payable under these agreements are as follows (in thousands):</w:t>
      </w:r>
    </w:p>
    <w:p>
      <w:pPr>
        <w:sectPr>
          <w:pgSz w:w="11900" w:h="16838" w:orient="portrait"/>
          <w:cols w:equalWidth="0" w:num="1">
            <w:col w:w="11240"/>
          </w:cols>
          <w:pgMar w:left="320" w:top="121"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78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LIFETIME BRANDS, INC.</w:t>
            </w:r>
          </w:p>
        </w:tc>
        <w:tc>
          <w:tcPr>
            <w:tcW w:w="900" w:type="dxa"/>
            <w:vAlign w:val="bottom"/>
          </w:tcPr>
          <w:p>
            <w:pPr>
              <w:spacing w:after="0"/>
              <w:rPr>
                <w:sz w:val="17"/>
                <w:szCs w:val="17"/>
                <w:color w:val="auto"/>
              </w:rPr>
            </w:pPr>
          </w:p>
        </w:tc>
      </w:tr>
      <w:tr>
        <w:trPr>
          <w:trHeight w:val="216"/>
        </w:trPr>
        <w:tc>
          <w:tcPr>
            <w:tcW w:w="2460" w:type="dxa"/>
            <w:vAlign w:val="bottom"/>
          </w:tcPr>
          <w:p>
            <w:pPr>
              <w:spacing w:after="0"/>
              <w:rPr>
                <w:sz w:val="18"/>
                <w:szCs w:val="18"/>
                <w:color w:val="auto"/>
              </w:rPr>
            </w:pPr>
          </w:p>
        </w:tc>
        <w:tc>
          <w:tcPr>
            <w:tcW w:w="78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NOTES TO CONSOLIDATED FINANCIAL STATEMENTS</w:t>
            </w:r>
          </w:p>
        </w:tc>
        <w:tc>
          <w:tcPr>
            <w:tcW w:w="90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78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88"/>
              </w:rPr>
              <w:t>December 31, 2019</w:t>
            </w:r>
          </w:p>
        </w:tc>
        <w:tc>
          <w:tcPr>
            <w:tcW w:w="900" w:type="dxa"/>
            <w:vAlign w:val="bottom"/>
          </w:tcPr>
          <w:p>
            <w:pPr>
              <w:spacing w:after="0"/>
              <w:rPr>
                <w:sz w:val="20"/>
                <w:szCs w:val="20"/>
                <w:color w:val="auto"/>
              </w:rPr>
            </w:pPr>
          </w:p>
        </w:tc>
      </w:tr>
      <w:tr>
        <w:trPr>
          <w:trHeight w:val="656"/>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8,763</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2021</w:t>
            </w:r>
          </w:p>
        </w:tc>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9,327</w:t>
            </w:r>
          </w:p>
        </w:tc>
      </w:tr>
      <w:tr>
        <w:trPr>
          <w:trHeight w:val="27"/>
        </w:trPr>
        <w:tc>
          <w:tcPr>
            <w:tcW w:w="24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9,146</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2023</w:t>
            </w:r>
          </w:p>
        </w:tc>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231</w:t>
            </w:r>
          </w:p>
        </w:tc>
      </w:tr>
      <w:tr>
        <w:trPr>
          <w:trHeight w:val="27"/>
        </w:trPr>
        <w:tc>
          <w:tcPr>
            <w:tcW w:w="24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46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2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27,542</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95"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The tolling agreements do not constitute in any way an admission or acknowledgment of any fact, conclusion of law or liability by the parties to the agreements.</w:t>
      </w:r>
    </w:p>
    <w:p>
      <w:pPr>
        <w:spacing w:after="0" w:line="21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2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Accordingly, based on the above uncertainties and variables, it is not possible at this time for the Company to estimate its share of liability, if any, related to this matter.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on February 5, 2020 and will be requesting that CBP suspend the matter until the protest is reviewed and decided by CBP headquarters based on the sufficiency of the evidence presented.</w:t>
      </w:r>
    </w:p>
    <w:p>
      <w:pPr>
        <w:spacing w:after="0" w:line="207" w:lineRule="exact"/>
        <w:rPr>
          <w:sz w:val="20"/>
          <w:szCs w:val="20"/>
          <w:color w:val="auto"/>
        </w:rPr>
      </w:pPr>
    </w:p>
    <w:p>
      <w:pPr>
        <w:ind w:right="840"/>
        <w:spacing w:after="0" w:line="257" w:lineRule="auto"/>
        <w:rPr>
          <w:sz w:val="20"/>
          <w:szCs w:val="20"/>
          <w:color w:val="auto"/>
        </w:rPr>
      </w:pPr>
      <w:r>
        <w:rPr>
          <w:rFonts w:ascii="Arial" w:cs="Arial" w:eastAsia="Arial" w:hAnsi="Arial"/>
          <w:sz w:val="18"/>
          <w:szCs w:val="18"/>
          <w:color w:val="auto"/>
        </w:rPr>
        <w:t>In the event CBP accepts the evidence presented, then no additional duties or penalties will be owed. If CBP rejects the Company’s position, then the estimated amount of duties that could be owed is $3.1 million. In such event, it is reasonably possible that additional penalties could be assessed, depending upon the level of culpability found, of up to $6.2 million for negligence and up to $12.4 million for gross negligence. In the event penalties are assessed, the Company will have the opportunity to further contest CBP’s findings and seek cancellation or mitigation of such assessments.</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RETIREMENT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maintains a defined contribution retirement plan for eligible employees under Section 401(k) of the Internal Revenue Code. Participants can make voluntary contributions up to the Internal Revenue Service limit of $19,000 ($25,000 for employees 50 years or over) for 2019. The Company suspended its matching contribution in 2009 as an expense savings measure. The Company’s United Kingdom-based subsidiaries maintain defined contribution pension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assumed retirement benefit obligations, which are paid to certain former executives of a business acquired in 2006. The obligations under the agreements with these former executives are unfunded and amounted to $7.3 million at December 31, 2019 and $6.6 million at December 31, 2018.</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discount rate used to calculate the retirement benefit obligations was 2.88% at December 31, 2019 and 3.98% at December 31, 2018. The retirement benefit obligations are included in accrued expenses and deferred rent and other long-term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recognize $0.1 million of actuarial losses included in accumulated other comprehensive loss in net periodic benefit cost in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Expected benefit payments for each of the next five fiscal years and in the aggregate for the five fiscal years thereafter are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2025 through 2029</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918"/>
        </w:trPr>
        <w:tc>
          <w:tcPr>
            <w:tcW w:w="8640" w:type="dxa"/>
            <w:vAlign w:val="bottom"/>
          </w:tcPr>
          <w:p>
            <w:pPr>
              <w:spacing w:after="0"/>
              <w:rPr>
                <w:sz w:val="20"/>
                <w:szCs w:val="20"/>
                <w:color w:val="auto"/>
              </w:rPr>
            </w:pPr>
            <w:r>
              <w:rPr>
                <w:rFonts w:ascii="Arial" w:cs="Arial" w:eastAsia="Arial" w:hAnsi="Arial"/>
                <w:sz w:val="18"/>
                <w:szCs w:val="18"/>
                <w:b w:val="1"/>
                <w:bCs w:val="1"/>
                <w:color w:val="auto"/>
              </w:rPr>
              <w:t>NOTE P — OTHER</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The components of inventory are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ind w:left="620"/>
              <w:spacing w:after="0"/>
              <w:rPr>
                <w:sz w:val="20"/>
                <w:szCs w:val="20"/>
                <w:color w:val="auto"/>
              </w:rPr>
            </w:pPr>
            <w:r>
              <w:rPr>
                <w:rFonts w:ascii="Arial" w:cs="Arial" w:eastAsia="Arial" w:hAnsi="Arial"/>
                <w:sz w:val="14"/>
                <w:szCs w:val="14"/>
                <w:color w:val="auto"/>
                <w:w w:val="94"/>
              </w:rPr>
              <w:t>(in thousands)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165,950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165,969</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7,416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173,427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173,601</w:t>
            </w:r>
          </w:p>
        </w:tc>
        <w:tc>
          <w:tcPr>
            <w:tcW w:w="0" w:type="dxa"/>
            <w:vAlign w:val="bottom"/>
          </w:tcPr>
          <w:p>
            <w:pPr>
              <w:spacing w:after="0"/>
              <w:rPr>
                <w:sz w:val="1"/>
                <w:szCs w:val="1"/>
                <w:color w:val="auto"/>
              </w:rPr>
            </w:pPr>
          </w:p>
        </w:tc>
      </w:tr>
      <w:tr>
        <w:trPr>
          <w:trHeight w:val="27"/>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Property and equipment consist of:</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ind w:left="620"/>
              <w:spacing w:after="0"/>
              <w:rPr>
                <w:sz w:val="20"/>
                <w:szCs w:val="20"/>
                <w:color w:val="auto"/>
              </w:rPr>
            </w:pPr>
            <w:r>
              <w:rPr>
                <w:rFonts w:ascii="Arial" w:cs="Arial" w:eastAsia="Arial" w:hAnsi="Arial"/>
                <w:sz w:val="14"/>
                <w:szCs w:val="14"/>
                <w:color w:val="auto"/>
                <w:w w:val="94"/>
              </w:rPr>
              <w:t>(in thousands)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furniture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109,092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106,525</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38,293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29,803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864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148,602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138,230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(120,434)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(112,468)</w:t>
            </w:r>
          </w:p>
        </w:tc>
        <w:tc>
          <w:tcPr>
            <w:tcW w:w="0" w:type="dxa"/>
            <w:vAlign w:val="bottom"/>
          </w:tcPr>
          <w:p>
            <w:pPr>
              <w:spacing w:after="0"/>
              <w:rPr>
                <w:sz w:val="1"/>
                <w:szCs w:val="1"/>
                <w:color w:val="auto"/>
              </w:rPr>
            </w:pPr>
          </w:p>
        </w:tc>
      </w:tr>
      <w:tr>
        <w:trPr>
          <w:trHeight w:val="237"/>
        </w:trPr>
        <w:tc>
          <w:tcPr>
            <w:tcW w:w="864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28,168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expense of property and equipment for the years ended December 31, 2019, 2018 and 2017 was $8.0 million, $8.0 million and $6.6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44444"/>
        </w:rPr>
        <w:t>F</w:t>
      </w:r>
      <w:r>
        <w:rPr>
          <w:rFonts w:ascii="Arial" w:cs="Arial" w:eastAsia="Arial" w:hAnsi="Arial"/>
          <w:sz w:val="16"/>
          <w:szCs w:val="16"/>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 term liabilities consist of:</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6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5"/>
            <w:shd w:val="clear" w:color="auto" w:fill="CCEEFF"/>
          </w:tcPr>
          <w:p>
            <w:pPr>
              <w:ind w:left="740"/>
              <w:spacing w:after="0"/>
              <w:rPr>
                <w:sz w:val="20"/>
                <w:szCs w:val="20"/>
                <w:color w:val="auto"/>
              </w:rPr>
            </w:pPr>
            <w:r>
              <w:rPr>
                <w:rFonts w:ascii="Arial" w:cs="Arial" w:eastAsia="Arial" w:hAnsi="Arial"/>
                <w:sz w:val="14"/>
                <w:szCs w:val="14"/>
                <w:color w:val="auto"/>
                <w:w w:val="94"/>
              </w:rPr>
              <w:t>(in thousands)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Retirement benefit obligations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21"/>
                <w:szCs w:val="21"/>
                <w:color w:val="auto"/>
              </w:rPr>
            </w:pP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6,169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Non-income tax liability</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obligation</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long term obligations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liability</w:t>
            </w:r>
          </w:p>
        </w:tc>
        <w:tc>
          <w:tcPr>
            <w:tcW w:w="2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13,832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12,214</w:t>
            </w: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23,339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620" w:type="dxa"/>
            <w:vAlign w:val="bottom"/>
            <w:vMerge w:val="continu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2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5"/>
          </w:tcPr>
          <w:p>
            <w:pPr>
              <w:ind w:left="740"/>
              <w:spacing w:after="0"/>
              <w:rPr>
                <w:sz w:val="20"/>
                <w:szCs w:val="20"/>
                <w:color w:val="auto"/>
              </w:rPr>
            </w:pPr>
            <w:r>
              <w:rPr>
                <w:rFonts w:ascii="Arial" w:cs="Arial" w:eastAsia="Arial" w:hAnsi="Arial"/>
                <w:sz w:val="14"/>
                <w:szCs w:val="14"/>
                <w:color w:val="auto"/>
                <w:w w:val="94"/>
              </w:rPr>
              <w:t>(in thousands)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allowances and rebates</w:t>
            </w:r>
          </w:p>
        </w:tc>
        <w:tc>
          <w:tcPr>
            <w:tcW w:w="2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18,834</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12,184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10,542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9,065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Vendor invoices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3,428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8,814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gridSpan w:val="3"/>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52,060</w:t>
            </w: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45,456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462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9"/>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2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18,859</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16,319</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 net of refunds</w:t>
            </w:r>
          </w:p>
        </w:tc>
        <w:tc>
          <w:tcPr>
            <w:tcW w:w="2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Non-cash investing activities:</w:t>
            </w: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2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(5,906)</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4620" w:type="dxa"/>
            <w:vAlign w:val="bottom"/>
          </w:tcPr>
          <w:p>
            <w:pPr>
              <w:spacing w:after="0"/>
              <w:rPr>
                <w:sz w:val="24"/>
                <w:szCs w:val="24"/>
                <w:color w:val="auto"/>
              </w:rPr>
            </w:pPr>
          </w:p>
        </w:tc>
        <w:tc>
          <w:tcPr>
            <w:tcW w:w="2940" w:type="dxa"/>
            <w:vAlign w:val="bottom"/>
            <w:gridSpan w:val="2"/>
          </w:tcPr>
          <w:p>
            <w:pPr>
              <w:jc w:val="right"/>
              <w:ind w:right="1760"/>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-39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6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196"/>
        </w:trPr>
        <w:tc>
          <w:tcPr>
            <w:tcW w:w="7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196"/>
        </w:trPr>
        <w:tc>
          <w:tcPr>
            <w:tcW w:w="7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Accumulated translation adjustment: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(33,727)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(27,821)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(35,644)</w:t>
            </w: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 during period</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7,823</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(34,019)</w:t>
            </w: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(33,727)</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(27,821)</w:t>
            </w: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Accumulated deferred gains (losses) on cash flow hedges: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Amounts reclassified from accumulated other comprehensive gains: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7280" w:type="dxa"/>
            <w:vAlign w:val="bottom"/>
          </w:tcPr>
          <w:p>
            <w:pPr>
              <w:ind w:left="340"/>
              <w:spacing w:after="0"/>
              <w:rPr>
                <w:sz w:val="20"/>
                <w:szCs w:val="20"/>
                <w:color w:val="auto"/>
              </w:rPr>
            </w:pPr>
            <w:r>
              <w:rPr>
                <w:rFonts w:ascii="Arial" w:cs="Arial" w:eastAsia="Arial" w:hAnsi="Arial"/>
                <w:sz w:val="18"/>
                <w:szCs w:val="18"/>
                <w:color w:val="auto"/>
              </w:rPr>
              <w:t>Settlement of cash flow hedge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Derivative fair value adjustment,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Accumulated effect of retirement benefit obligations: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(1,352)</w:t>
            </w: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arising from retirement benefit obligations,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Amortization of loss, net of tax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62</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(1,518)</w:t>
            </w:r>
          </w:p>
        </w:tc>
      </w:tr>
      <w:tr>
        <w:trPr>
          <w:trHeight w:val="27"/>
        </w:trPr>
        <w:tc>
          <w:tcPr>
            <w:tcW w:w="7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Amounts reclassified are recorded in interest expense and cost of goods sold on the consolidated statement of operations.</w:t>
      </w:r>
    </w:p>
    <w:p>
      <w:pPr>
        <w:spacing w:after="0" w:line="1"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Amount is recorded in selling, general and administrative expenses on the consolidated statements of operations.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44444"/>
        </w:rPr>
        <w:t>F</w:t>
      </w:r>
      <w:r>
        <w:rPr>
          <w:rFonts w:ascii="Arial" w:cs="Arial" w:eastAsia="Arial" w:hAnsi="Arial"/>
          <w:sz w:val="18"/>
          <w:szCs w:val="18"/>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15(a)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0139"/>
          </w:cols>
          <w:pgMar w:left="320" w:top="769" w:right="1440" w:bottom="1440" w:gutter="0" w:footer="0" w:header="0"/>
        </w:sectPr>
      </w:pP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COL. A</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COL. B</w:t>
            </w:r>
          </w:p>
        </w:tc>
        <w:tc>
          <w:tcPr>
            <w:tcW w:w="200" w:type="dxa"/>
            <w:vAlign w:val="bottom"/>
          </w:tcPr>
          <w:p>
            <w:pPr>
              <w:spacing w:after="0"/>
              <w:rPr>
                <w:sz w:val="14"/>
                <w:szCs w:val="14"/>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COL. C</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5"/>
                <w:szCs w:val="15"/>
                <w:color w:val="auto"/>
              </w:rPr>
            </w:pPr>
          </w:p>
        </w:tc>
        <w:tc>
          <w:tcPr>
            <w:tcW w:w="10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Charged to</w:t>
            </w: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2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88"/>
              </w:rPr>
              <w:t>costs and</w:t>
            </w:r>
          </w:p>
        </w:tc>
        <w:tc>
          <w:tcPr>
            <w:tcW w:w="0" w:type="dxa"/>
            <w:vAlign w:val="bottom"/>
          </w:tcPr>
          <w:p>
            <w:pPr>
              <w:spacing w:after="0"/>
              <w:rPr>
                <w:sz w:val="1"/>
                <w:szCs w:val="1"/>
                <w:color w:val="auto"/>
              </w:rPr>
            </w:pPr>
          </w:p>
        </w:tc>
      </w:tr>
      <w:tr>
        <w:trPr>
          <w:trHeight w:val="163"/>
        </w:trPr>
        <w:tc>
          <w:tcPr>
            <w:tcW w:w="720" w:type="dxa"/>
            <w:vAlign w:val="bottom"/>
            <w:tcBorders>
              <w:bottom w:val="single" w:sz="8" w:color="auto"/>
            </w:tcBorders>
            <w:gridSpan w:val="2"/>
            <w:vMerge w:val="continue"/>
          </w:tcPr>
          <w:p>
            <w:pPr>
              <w:spacing w:after="0"/>
              <w:rPr>
                <w:sz w:val="13"/>
                <w:szCs w:val="13"/>
                <w:color w:val="auto"/>
              </w:rPr>
            </w:pPr>
          </w:p>
        </w:tc>
        <w:tc>
          <w:tcPr>
            <w:tcW w:w="3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3"/>
                <w:szCs w:val="13"/>
                <w:color w:val="auto"/>
              </w:rPr>
            </w:pPr>
          </w:p>
        </w:tc>
        <w:tc>
          <w:tcPr>
            <w:tcW w:w="106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84"/>
              </w:rPr>
              <w:t>expenses</w:t>
            </w:r>
          </w:p>
        </w:tc>
        <w:tc>
          <w:tcPr>
            <w:tcW w:w="0" w:type="dxa"/>
            <w:vAlign w:val="bottom"/>
          </w:tcPr>
          <w:p>
            <w:pPr>
              <w:spacing w:after="0"/>
              <w:rPr>
                <w:sz w:val="1"/>
                <w:szCs w:val="1"/>
                <w:color w:val="auto"/>
              </w:rPr>
            </w:pPr>
          </w:p>
        </w:tc>
      </w:tr>
      <w:tr>
        <w:trPr>
          <w:trHeight w:val="21"/>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Year ended December 31, 2019</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Reserve for sales returns and allowances</w:t>
            </w: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7"/>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Year ended December 31, 2018</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9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9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Reserve for sales returns and allowances</w:t>
            </w: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7"/>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Year ended December 31, 2017</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Reserve for sales returns and allowances</w:t>
            </w: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4,926</w:t>
            </w:r>
          </w:p>
        </w:tc>
        <w:tc>
          <w:tcPr>
            <w:tcW w:w="0" w:type="dxa"/>
            <w:vAlign w:val="bottom"/>
          </w:tcPr>
          <w:p>
            <w:pPr>
              <w:spacing w:after="0"/>
              <w:rPr>
                <w:sz w:val="1"/>
                <w:szCs w:val="1"/>
                <w:color w:val="auto"/>
              </w:rPr>
            </w:pPr>
          </w:p>
        </w:tc>
      </w:tr>
      <w:tr>
        <w:trPr>
          <w:trHeight w:val="27"/>
        </w:trPr>
        <w:tc>
          <w:tcPr>
            <w:tcW w:w="3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Year ended December 31, 2016</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gridSpan w:val="3"/>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spacing w:after="0"/>
              <w:rPr>
                <w:sz w:val="20"/>
                <w:szCs w:val="20"/>
                <w:color w:val="auto"/>
              </w:rPr>
            </w:pPr>
            <w:r>
              <w:rPr>
                <w:rFonts w:ascii="Arial" w:cs="Arial" w:eastAsia="Arial" w:hAnsi="Arial"/>
                <w:sz w:val="18"/>
                <w:szCs w:val="18"/>
                <w:color w:val="auto"/>
              </w:rPr>
              <w:t>Deducted from asset accounts: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0"/>
        </w:trPr>
        <w:tc>
          <w:tcPr>
            <w:tcW w:w="3960" w:type="dxa"/>
            <w:vAlign w:val="bottom"/>
            <w:gridSpan w:val="3"/>
          </w:tcPr>
          <w:p>
            <w:pPr>
              <w:ind w:left="320"/>
              <w:spacing w:after="0"/>
              <w:rPr>
                <w:sz w:val="20"/>
                <w:szCs w:val="20"/>
                <w:color w:val="auto"/>
              </w:rPr>
            </w:pPr>
            <w:r>
              <w:rPr>
                <w:rFonts w:ascii="Arial" w:cs="Arial" w:eastAsia="Arial" w:hAnsi="Arial"/>
                <w:sz w:val="18"/>
                <w:szCs w:val="18"/>
                <w:color w:val="auto"/>
              </w:rPr>
              <w:t>Reserve for sales returns and allowances</w:t>
            </w: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-3205480</wp:posOffset>
            </wp:positionV>
            <wp:extent cx="62490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-2493645</wp:posOffset>
            </wp:positionV>
            <wp:extent cx="62490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-2151380</wp:posOffset>
            </wp:positionV>
            <wp:extent cx="62490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624903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624903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2490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624903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624903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624903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624903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6249035"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24903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62490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6249035" cy="171450"/>
                    </a:xfrm>
                    <a:prstGeom prst="rect">
                      <a:avLst/>
                    </a:prstGeom>
                    <a:noFill/>
                  </pic:spPr>
                </pic:pic>
              </a:graphicData>
            </a:graphic>
          </wp:anchor>
        </w:drawing>
      </w:r>
    </w:p>
    <w:p>
      <w:pPr>
        <w:spacing w:after="0" w:line="40"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Uncollectible accounts written off, net of recoveries.</w:t>
      </w:r>
    </w:p>
    <w:p>
      <w:pPr>
        <w:spacing w:after="0" w:line="1"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Allowances granted.</w:t>
      </w:r>
    </w:p>
    <w:p>
      <w:pPr>
        <w:spacing w:after="0" w:line="2" w:lineRule="exact"/>
        <w:rPr>
          <w:rFonts w:ascii="Arial" w:cs="Arial" w:eastAsia="Arial" w:hAnsi="Arial"/>
          <w:sz w:val="23"/>
          <w:szCs w:val="23"/>
          <w:color w:val="auto"/>
          <w:vertAlign w:val="superscript"/>
        </w:rPr>
      </w:pPr>
    </w:p>
    <w:p>
      <w:pPr>
        <w:ind w:left="480" w:hanging="472"/>
        <w:spacing w:after="0" w:line="194" w:lineRule="auto"/>
        <w:tabs>
          <w:tab w:leader="none" w:pos="48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Charged to net sales.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706"/>
        <w:spacing w:after="0"/>
        <w:rPr>
          <w:sz w:val="20"/>
          <w:szCs w:val="20"/>
          <w:color w:val="auto"/>
        </w:rPr>
      </w:pPr>
      <w:r>
        <w:rPr>
          <w:rFonts w:ascii="Arial" w:cs="Arial" w:eastAsia="Arial" w:hAnsi="Arial"/>
          <w:sz w:val="14"/>
          <w:szCs w:val="14"/>
          <w:b w:val="1"/>
          <w:bCs w:val="1"/>
          <w:color w:val="auto"/>
        </w:rPr>
        <w:t>COL.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23495</wp:posOffset>
            </wp:positionV>
            <wp:extent cx="796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59" w:lineRule="exact"/>
        <w:rPr>
          <w:sz w:val="20"/>
          <w:szCs w:val="20"/>
          <w:color w:val="auto"/>
        </w:rPr>
      </w:pPr>
    </w:p>
    <w:p>
      <w:pPr>
        <w:ind w:left="606"/>
        <w:spacing w:after="0"/>
        <w:rPr>
          <w:sz w:val="20"/>
          <w:szCs w:val="20"/>
          <w:color w:val="auto"/>
        </w:rPr>
      </w:pPr>
      <w:r>
        <w:rPr>
          <w:rFonts w:ascii="Arial" w:cs="Arial" w:eastAsia="Arial" w:hAnsi="Arial"/>
          <w:sz w:val="14"/>
          <w:szCs w:val="14"/>
          <w:b w:val="1"/>
          <w:bCs w:val="1"/>
          <w:color w:val="auto"/>
        </w:rPr>
        <w:t>Deductions</w:t>
      </w:r>
    </w:p>
    <w:p>
      <w:pPr>
        <w:spacing w:after="0" w:line="200" w:lineRule="exact"/>
        <w:rPr>
          <w:sz w:val="20"/>
          <w:szCs w:val="20"/>
          <w:color w:val="auto"/>
        </w:rPr>
      </w:pPr>
    </w:p>
    <w:p>
      <w:pPr>
        <w:spacing w:after="0" w:line="336" w:lineRule="exact"/>
        <w:rPr>
          <w:sz w:val="20"/>
          <w:szCs w:val="20"/>
          <w:color w:val="auto"/>
        </w:rPr>
      </w:pPr>
    </w:p>
    <w:p>
      <w:pPr>
        <w:ind w:left="1086" w:hanging="749"/>
        <w:spacing w:after="0"/>
        <w:tabs>
          <w:tab w:leader="none" w:pos="1086"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(699) </w:t>
      </w:r>
      <w:r>
        <w:rPr>
          <w:rFonts w:ascii="Arial" w:cs="Arial" w:eastAsia="Arial" w:hAnsi="Arial"/>
          <w:sz w:val="22"/>
          <w:szCs w:val="22"/>
          <w:color w:val="auto"/>
          <w:vertAlign w:val="subscript"/>
        </w:rPr>
        <w:t>(a)</w:t>
      </w:r>
    </w:p>
    <w:p>
      <w:pPr>
        <w:spacing w:after="0" w:line="51" w:lineRule="exact"/>
        <w:rPr>
          <w:rFonts w:ascii="Arial" w:cs="Arial" w:eastAsia="Arial" w:hAnsi="Arial"/>
          <w:sz w:val="17"/>
          <w:szCs w:val="17"/>
          <w:color w:val="auto"/>
        </w:rPr>
      </w:pPr>
    </w:p>
    <w:p>
      <w:pPr>
        <w:ind w:left="946" w:hanging="946"/>
        <w:spacing w:after="0"/>
        <w:tabs>
          <w:tab w:leader="none" w:pos="946" w:val="left"/>
        </w:tabs>
        <w:numPr>
          <w:ilvl w:val="0"/>
          <w:numId w:val="29"/>
        </w:numPr>
        <w:rPr>
          <w:rFonts w:ascii="Arial" w:cs="Arial" w:eastAsia="Arial" w:hAnsi="Arial"/>
          <w:sz w:val="22"/>
          <w:szCs w:val="22"/>
          <w:color w:val="auto"/>
          <w:vertAlign w:val="subscript"/>
        </w:rPr>
      </w:pPr>
      <w:r>
        <w:rPr>
          <w:rFonts w:ascii="Arial" w:cs="Arial" w:eastAsia="Arial" w:hAnsi="Arial"/>
          <w:sz w:val="17"/>
          <w:szCs w:val="17"/>
          <w:color w:val="auto"/>
        </w:rPr>
        <w:t xml:space="preserve">(4,401) </w:t>
      </w:r>
      <w:r>
        <w:rPr>
          <w:rFonts w:ascii="Arial" w:cs="Arial" w:eastAsia="Arial" w:hAnsi="Arial"/>
          <w:sz w:val="22"/>
          <w:szCs w:val="22"/>
          <w:color w:val="auto"/>
          <w:vertAlign w:val="subscript"/>
        </w:rPr>
        <w:t>(b)</w:t>
      </w:r>
    </w:p>
    <w:p>
      <w:pPr>
        <w:spacing w:after="0" w:line="50" w:lineRule="exact"/>
        <w:rPr>
          <w:sz w:val="20"/>
          <w:szCs w:val="20"/>
          <w:color w:val="auto"/>
        </w:rPr>
      </w:pPr>
    </w:p>
    <w:p>
      <w:pPr>
        <w:ind w:left="946" w:hanging="609"/>
        <w:spacing w:after="0"/>
        <w:tabs>
          <w:tab w:leader="none" w:pos="9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57785</wp:posOffset>
            </wp:positionV>
            <wp:extent cx="796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6" w:hanging="749"/>
        <w:spacing w:after="0"/>
        <w:tabs>
          <w:tab w:leader="none" w:pos="10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(448) </w:t>
      </w:r>
      <w:r>
        <w:rPr>
          <w:rFonts w:ascii="Arial" w:cs="Arial" w:eastAsia="Arial" w:hAnsi="Arial"/>
          <w:sz w:val="22"/>
          <w:szCs w:val="22"/>
          <w:color w:val="auto"/>
          <w:vertAlign w:val="subscript"/>
        </w:rPr>
        <w:t>(a)</w:t>
      </w:r>
    </w:p>
    <w:p>
      <w:pPr>
        <w:spacing w:after="0" w:line="51" w:lineRule="exact"/>
        <w:rPr>
          <w:rFonts w:ascii="Arial" w:cs="Arial" w:eastAsia="Arial" w:hAnsi="Arial"/>
          <w:sz w:val="17"/>
          <w:szCs w:val="17"/>
          <w:color w:val="auto"/>
        </w:rPr>
      </w:pPr>
    </w:p>
    <w:p>
      <w:pPr>
        <w:ind w:left="946" w:hanging="946"/>
        <w:spacing w:after="0"/>
        <w:tabs>
          <w:tab w:leader="none" w:pos="946" w:val="left"/>
        </w:tabs>
        <w:numPr>
          <w:ilvl w:val="0"/>
          <w:numId w:val="31"/>
        </w:numPr>
        <w:rPr>
          <w:rFonts w:ascii="Arial" w:cs="Arial" w:eastAsia="Arial" w:hAnsi="Arial"/>
          <w:sz w:val="22"/>
          <w:szCs w:val="22"/>
          <w:color w:val="auto"/>
          <w:vertAlign w:val="subscript"/>
        </w:rPr>
      </w:pPr>
      <w:r>
        <w:rPr>
          <w:rFonts w:ascii="Arial" w:cs="Arial" w:eastAsia="Arial" w:hAnsi="Arial"/>
          <w:sz w:val="17"/>
          <w:szCs w:val="17"/>
          <w:color w:val="auto"/>
        </w:rPr>
        <w:t xml:space="preserve">(3,390) </w:t>
      </w:r>
      <w:r>
        <w:rPr>
          <w:rFonts w:ascii="Arial" w:cs="Arial" w:eastAsia="Arial" w:hAnsi="Arial"/>
          <w:sz w:val="22"/>
          <w:szCs w:val="22"/>
          <w:color w:val="auto"/>
          <w:vertAlign w:val="sub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15240</wp:posOffset>
            </wp:positionV>
            <wp:extent cx="7969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0" w:lineRule="exact"/>
        <w:rPr>
          <w:sz w:val="20"/>
          <w:szCs w:val="20"/>
          <w:color w:val="auto"/>
        </w:rPr>
      </w:pPr>
    </w:p>
    <w:p>
      <w:pPr>
        <w:ind w:left="946" w:hanging="609"/>
        <w:spacing w:after="0"/>
        <w:tabs>
          <w:tab w:leader="none" w:pos="9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(3,838)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796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86" w:hanging="849"/>
        <w:spacing w:after="0"/>
        <w:tabs>
          <w:tab w:leader="none" w:pos="1186"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(84) </w:t>
      </w:r>
      <w:r>
        <w:rPr>
          <w:rFonts w:ascii="Arial" w:cs="Arial" w:eastAsia="Arial" w:hAnsi="Arial"/>
          <w:sz w:val="22"/>
          <w:szCs w:val="22"/>
          <w:color w:val="auto"/>
          <w:vertAlign w:val="subscript"/>
        </w:rPr>
        <w:t>(a)</w:t>
      </w:r>
    </w:p>
    <w:p>
      <w:pPr>
        <w:spacing w:after="0" w:line="51" w:lineRule="exact"/>
        <w:rPr>
          <w:rFonts w:ascii="Arial" w:cs="Arial" w:eastAsia="Arial" w:hAnsi="Arial"/>
          <w:sz w:val="17"/>
          <w:szCs w:val="17"/>
          <w:color w:val="auto"/>
        </w:rPr>
      </w:pPr>
    </w:p>
    <w:p>
      <w:pPr>
        <w:ind w:left="946" w:hanging="946"/>
        <w:spacing w:after="0"/>
        <w:tabs>
          <w:tab w:leader="none" w:pos="946" w:val="left"/>
        </w:tabs>
        <w:numPr>
          <w:ilvl w:val="0"/>
          <w:numId w:val="33"/>
        </w:numPr>
        <w:rPr>
          <w:rFonts w:ascii="Arial" w:cs="Arial" w:eastAsia="Arial" w:hAnsi="Arial"/>
          <w:sz w:val="22"/>
          <w:szCs w:val="22"/>
          <w:color w:val="auto"/>
          <w:vertAlign w:val="subscript"/>
        </w:rPr>
      </w:pPr>
      <w:r>
        <w:rPr>
          <w:rFonts w:ascii="Arial" w:cs="Arial" w:eastAsia="Arial" w:hAnsi="Arial"/>
          <w:sz w:val="17"/>
          <w:szCs w:val="17"/>
          <w:color w:val="auto"/>
        </w:rPr>
        <w:t xml:space="preserve">(4,377) </w:t>
      </w:r>
      <w:r>
        <w:rPr>
          <w:rFonts w:ascii="Arial" w:cs="Arial" w:eastAsia="Arial" w:hAnsi="Arial"/>
          <w:sz w:val="22"/>
          <w:szCs w:val="22"/>
          <w:color w:val="auto"/>
          <w:vertAlign w:val="subscript"/>
        </w:rPr>
        <w:t>(b)</w:t>
      </w:r>
    </w:p>
    <w:p>
      <w:pPr>
        <w:spacing w:after="0" w:line="50" w:lineRule="exact"/>
        <w:rPr>
          <w:sz w:val="20"/>
          <w:szCs w:val="20"/>
          <w:color w:val="auto"/>
        </w:rPr>
      </w:pPr>
    </w:p>
    <w:p>
      <w:pPr>
        <w:ind w:left="946" w:hanging="609"/>
        <w:spacing w:after="0"/>
        <w:tabs>
          <w:tab w:leader="none" w:pos="9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(4,461)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57785</wp:posOffset>
            </wp:positionV>
            <wp:extent cx="7969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6" w:hanging="749"/>
        <w:spacing w:after="0"/>
        <w:tabs>
          <w:tab w:leader="none" w:pos="1086"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(176) </w:t>
      </w:r>
      <w:r>
        <w:rPr>
          <w:rFonts w:ascii="Arial" w:cs="Arial" w:eastAsia="Arial" w:hAnsi="Arial"/>
          <w:sz w:val="22"/>
          <w:szCs w:val="22"/>
          <w:color w:val="auto"/>
          <w:vertAlign w:val="subscript"/>
        </w:rPr>
        <w:t>(a)</w:t>
      </w:r>
    </w:p>
    <w:p>
      <w:pPr>
        <w:spacing w:after="0" w:line="51" w:lineRule="exact"/>
        <w:rPr>
          <w:rFonts w:ascii="Arial" w:cs="Arial" w:eastAsia="Arial" w:hAnsi="Arial"/>
          <w:sz w:val="17"/>
          <w:szCs w:val="17"/>
          <w:color w:val="auto"/>
        </w:rPr>
      </w:pPr>
    </w:p>
    <w:p>
      <w:pPr>
        <w:ind w:left="946" w:hanging="946"/>
        <w:spacing w:after="0"/>
        <w:tabs>
          <w:tab w:leader="none" w:pos="946" w:val="left"/>
        </w:tabs>
        <w:numPr>
          <w:ilvl w:val="0"/>
          <w:numId w:val="35"/>
        </w:numPr>
        <w:rPr>
          <w:rFonts w:ascii="Arial" w:cs="Arial" w:eastAsia="Arial" w:hAnsi="Arial"/>
          <w:sz w:val="22"/>
          <w:szCs w:val="22"/>
          <w:color w:val="auto"/>
          <w:vertAlign w:val="subscript"/>
        </w:rPr>
      </w:pPr>
      <w:r>
        <w:rPr>
          <w:rFonts w:ascii="Arial" w:cs="Arial" w:eastAsia="Arial" w:hAnsi="Arial"/>
          <w:sz w:val="17"/>
          <w:szCs w:val="17"/>
          <w:color w:val="auto"/>
        </w:rPr>
        <w:t xml:space="preserve">(4,636) </w:t>
      </w:r>
      <w:r>
        <w:rPr>
          <w:rFonts w:ascii="Arial" w:cs="Arial" w:eastAsia="Arial" w:hAnsi="Arial"/>
          <w:sz w:val="22"/>
          <w:szCs w:val="22"/>
          <w:color w:val="auto"/>
          <w:vertAlign w:val="subscript"/>
        </w:rPr>
        <w:t>(b)</w:t>
      </w:r>
    </w:p>
    <w:p>
      <w:pPr>
        <w:spacing w:after="0" w:line="49" w:lineRule="exact"/>
        <w:rPr>
          <w:rFonts w:ascii="Arial" w:cs="Arial" w:eastAsia="Arial" w:hAnsi="Arial"/>
          <w:sz w:val="22"/>
          <w:szCs w:val="22"/>
          <w:color w:val="auto"/>
          <w:vertAlign w:val="subscript"/>
        </w:rPr>
      </w:pPr>
    </w:p>
    <w:p>
      <w:pPr>
        <w:ind w:left="946" w:hanging="609"/>
        <w:spacing w:after="0"/>
        <w:tabs>
          <w:tab w:leader="none" w:pos="9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(4,812)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7969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57785</wp:posOffset>
            </wp:positionV>
            <wp:extent cx="7969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-147320</wp:posOffset>
            </wp:positionV>
            <wp:extent cx="7969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91"/>
        <w:spacing w:after="0"/>
        <w:rPr>
          <w:sz w:val="20"/>
          <w:szCs w:val="20"/>
          <w:color w:val="auto"/>
        </w:rPr>
      </w:pPr>
      <w:r>
        <w:rPr>
          <w:rFonts w:ascii="Arial" w:cs="Arial" w:eastAsia="Arial" w:hAnsi="Arial"/>
          <w:sz w:val="14"/>
          <w:szCs w:val="14"/>
          <w:b w:val="1"/>
          <w:bCs w:val="1"/>
          <w:color w:val="auto"/>
        </w:rPr>
        <w:t>COL.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7969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62" w:lineRule="exact"/>
        <w:rPr>
          <w:sz w:val="20"/>
          <w:szCs w:val="20"/>
          <w:color w:val="auto"/>
        </w:rPr>
      </w:pPr>
    </w:p>
    <w:p>
      <w:pPr>
        <w:jc w:val="center"/>
        <w:ind w:right="291"/>
        <w:spacing w:after="0"/>
        <w:rPr>
          <w:sz w:val="20"/>
          <w:szCs w:val="20"/>
          <w:color w:val="auto"/>
        </w:rPr>
      </w:pPr>
      <w:r>
        <w:rPr>
          <w:rFonts w:ascii="Arial" w:cs="Arial" w:eastAsia="Arial" w:hAnsi="Arial"/>
          <w:sz w:val="14"/>
          <w:szCs w:val="14"/>
          <w:b w:val="1"/>
          <w:bCs w:val="1"/>
          <w:color w:val="auto"/>
        </w:rPr>
        <w:t>Balance at</w:t>
      </w:r>
    </w:p>
    <w:p>
      <w:pPr>
        <w:ind w:left="428"/>
        <w:spacing w:after="0" w:line="226" w:lineRule="auto"/>
        <w:rPr>
          <w:sz w:val="20"/>
          <w:szCs w:val="20"/>
          <w:color w:val="auto"/>
        </w:rPr>
      </w:pPr>
      <w:r>
        <w:rPr>
          <w:rFonts w:ascii="Arial" w:cs="Arial" w:eastAsia="Arial" w:hAnsi="Arial"/>
          <w:sz w:val="14"/>
          <w:szCs w:val="14"/>
          <w:b w:val="1"/>
          <w:bCs w:val="1"/>
          <w:color w:val="auto"/>
        </w:rPr>
        <w:t>end of</w:t>
      </w:r>
    </w:p>
    <w:p>
      <w:pPr>
        <w:ind w:left="408"/>
        <w:spacing w:after="0"/>
        <w:rPr>
          <w:sz w:val="20"/>
          <w:szCs w:val="20"/>
          <w:color w:val="auto"/>
        </w:rPr>
      </w:pPr>
      <w:r>
        <w:rPr>
          <w:rFonts w:ascii="Arial" w:cs="Arial" w:eastAsia="Arial" w:hAnsi="Arial"/>
          <w:sz w:val="14"/>
          <w:szCs w:val="14"/>
          <w:b w:val="1"/>
          <w:bCs w:val="1"/>
          <w:color w:val="auto"/>
        </w:rPr>
        <w:t>period</w:t>
      </w:r>
    </w:p>
    <w:p>
      <w:pPr>
        <w:spacing w:after="0" w:line="200" w:lineRule="exact"/>
        <w:rPr>
          <w:sz w:val="20"/>
          <w:szCs w:val="20"/>
          <w:color w:val="auto"/>
        </w:rPr>
      </w:pPr>
    </w:p>
    <w:p>
      <w:pPr>
        <w:spacing w:after="0" w:line="374" w:lineRule="exact"/>
        <w:rPr>
          <w:sz w:val="20"/>
          <w:szCs w:val="20"/>
          <w:color w:val="auto"/>
        </w:rPr>
      </w:pPr>
    </w:p>
    <w:p>
      <w:pPr>
        <w:ind w:left="688" w:hanging="688"/>
        <w:spacing w:after="0"/>
        <w:tabs>
          <w:tab w:leader="none" w:pos="6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1,333</w:t>
      </w:r>
    </w:p>
    <w:p>
      <w:pPr>
        <w:spacing w:after="0" w:line="86"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6"/>
          <w:szCs w:val="16"/>
          <w:color w:val="auto"/>
        </w:rPr>
        <w:t>8,348</w:t>
      </w:r>
    </w:p>
    <w:p>
      <w:pPr>
        <w:spacing w:after="0" w:line="100" w:lineRule="exact"/>
        <w:rPr>
          <w:sz w:val="20"/>
          <w:szCs w:val="20"/>
          <w:color w:val="auto"/>
        </w:rPr>
      </w:pPr>
    </w:p>
    <w:p>
      <w:pPr>
        <w:ind w:left="688" w:hanging="688"/>
        <w:spacing w:after="0"/>
        <w:tabs>
          <w:tab w:leader="none" w:pos="6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9,681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796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8" w:hanging="688"/>
        <w:spacing w:after="0"/>
        <w:tabs>
          <w:tab w:leader="none" w:pos="688" w:val="left"/>
        </w:tabs>
        <w:numPr>
          <w:ilvl w:val="0"/>
          <w:numId w:val="38"/>
        </w:numPr>
        <w:rPr>
          <w:rFonts w:ascii="Arial" w:cs="Arial" w:eastAsia="Arial" w:hAnsi="Arial"/>
          <w:sz w:val="16"/>
          <w:szCs w:val="16"/>
          <w:color w:val="auto"/>
        </w:rPr>
      </w:pPr>
      <w:r>
        <w:rPr>
          <w:rFonts w:ascii="Arial" w:cs="Arial" w:eastAsia="Arial" w:hAnsi="Arial"/>
          <w:sz w:val="16"/>
          <w:szCs w:val="16"/>
          <w:color w:val="auto"/>
        </w:rPr>
        <w:t>1,496</w:t>
      </w:r>
    </w:p>
    <w:p>
      <w:pPr>
        <w:spacing w:after="0" w:line="86"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6"/>
          <w:szCs w:val="16"/>
          <w:color w:val="auto"/>
        </w:rPr>
        <w:t>6,359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7969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80" w:lineRule="exact"/>
        <w:rPr>
          <w:sz w:val="20"/>
          <w:szCs w:val="20"/>
          <w:color w:val="auto"/>
        </w:rPr>
      </w:pPr>
    </w:p>
    <w:p>
      <w:pPr>
        <w:ind w:left="688" w:hanging="688"/>
        <w:spacing w:after="0"/>
        <w:tabs>
          <w:tab w:leader="none" w:pos="6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7,855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7969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8" w:hanging="688"/>
        <w:spacing w:after="0"/>
        <w:tabs>
          <w:tab w:leader="none" w:pos="6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1,158</w:t>
      </w:r>
    </w:p>
    <w:p>
      <w:pPr>
        <w:spacing w:after="0" w:line="86"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6"/>
          <w:szCs w:val="16"/>
          <w:color w:val="auto"/>
        </w:rPr>
        <w:t>5,032</w:t>
      </w:r>
    </w:p>
    <w:p>
      <w:pPr>
        <w:spacing w:after="0" w:line="100" w:lineRule="exact"/>
        <w:rPr>
          <w:sz w:val="20"/>
          <w:szCs w:val="20"/>
          <w:color w:val="auto"/>
        </w:rPr>
      </w:pPr>
    </w:p>
    <w:p>
      <w:pPr>
        <w:ind w:left="688" w:hanging="688"/>
        <w:spacing w:after="0"/>
        <w:tabs>
          <w:tab w:leader="none" w:pos="6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6,190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72390</wp:posOffset>
            </wp:positionV>
            <wp:extent cx="7969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28" w:hanging="828"/>
        <w:spacing w:after="0"/>
        <w:tabs>
          <w:tab w:leader="none" w:pos="8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648</w:t>
      </w:r>
    </w:p>
    <w:p>
      <w:pPr>
        <w:spacing w:after="0" w:line="86"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6"/>
          <w:szCs w:val="16"/>
          <w:color w:val="auto"/>
        </w:rPr>
        <w:t>5,077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7969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80" w:lineRule="exact"/>
        <w:rPr>
          <w:sz w:val="20"/>
          <w:szCs w:val="20"/>
          <w:color w:val="auto"/>
        </w:rPr>
      </w:pPr>
    </w:p>
    <w:p>
      <w:pPr>
        <w:ind w:left="688" w:hanging="688"/>
        <w:spacing w:after="0"/>
        <w:tabs>
          <w:tab w:leader="none" w:pos="6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7969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7969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1082" w:lineRule="exact"/>
        <w:rPr>
          <w:sz w:val="20"/>
          <w:szCs w:val="20"/>
          <w:color w:val="auto"/>
        </w:rPr>
      </w:pPr>
    </w:p>
    <w:p>
      <w:pPr>
        <w:sectPr>
          <w:pgSz w:w="11900" w:h="16838" w:orient="portrait"/>
          <w:cols w:equalWidth="0" w:num="3">
            <w:col w:w="6600" w:space="14"/>
            <w:col w:w="1726" w:space="272"/>
            <w:col w:w="1527"/>
          </w:cols>
          <w:pgMar w:left="320" w:top="7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0139"/>
          </w:cols>
          <w:pgMar w:left="320" w:top="769" w:right="1440"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4.1</w:t>
      </w:r>
    </w:p>
    <w:p>
      <w:pPr>
        <w:spacing w:after="0" w:line="23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DESCRIPTION OF LIFETIME BRANDS, INC.’S SECURITIES</w:t>
      </w:r>
    </w:p>
    <w:p>
      <w:pPr>
        <w:spacing w:after="0" w:line="1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REGISTERED UNDER</w:t>
      </w:r>
    </w:p>
    <w:p>
      <w:pPr>
        <w:ind w:left="2760"/>
        <w:spacing w:after="0" w:line="234" w:lineRule="auto"/>
        <w:rPr>
          <w:sz w:val="20"/>
          <w:szCs w:val="20"/>
          <w:color w:val="auto"/>
        </w:rPr>
      </w:pPr>
      <w:r>
        <w:rPr>
          <w:rFonts w:ascii="Arial" w:cs="Arial" w:eastAsia="Arial" w:hAnsi="Arial"/>
          <w:sz w:val="18"/>
          <w:szCs w:val="18"/>
          <w:b w:val="1"/>
          <w:bCs w:val="1"/>
          <w:color w:val="auto"/>
        </w:rPr>
        <w:t>SECTION 12 OF THE SECURITIES EXCHANGE ACT OF 1934, AS AMENDED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is a summary of certain rights and privileges of the common stock of Lifetime Brands, Inc. (“Lifetime”), a corporation organized under the laws of the state of Delaware.</w:t>
      </w:r>
    </w:p>
    <w:p>
      <w:pPr>
        <w:spacing w:after="0" w:line="19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This summary does not purport to be complete. Reference is made to the provisions of Lifetime’s Second Restated Certificate of Incorporation, as amended (the “Certificate of Incorporation”), and Lifetime’s Amended and Restated Bylaws (“Bylaws”) that are filed as exhibits to the Annual Report on Form 10-K to which this is filed as an exhibit. The following also summarizes certain applicable provisions of Delaware law.</w:t>
      </w:r>
    </w:p>
    <w:p>
      <w:pPr>
        <w:spacing w:after="0" w:line="19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Under Lifetime’s Certificate of Incorporation, Lifetime is authorized to issue 50,000,000 shares of common stock, $.01 par value (the “common stock”), 100 shares of Series A preferred stock, par value $1.00 (the “Series A preferred stock”), and 2,000,000 shares of Series B preferred stock, par value $1.00 (the “Series B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holders of common stock are entitled to one vote per share on all matters to be voted upon by the stockholders. Directors are elected by a plurality of the votes cast in the election of directors, and any other corporate action to be taken at a meeting of stockholders may be authorized by the affirmative vote of a majority of the shares present in person or represented by proxy and entitled to vote thereon. No stockholder has the right of cumulative voting. Our Board of Directors (the “Board”) is not classified. Our directors are elected for one-year terms.</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the event of Lifetime’s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 All outstanding shares of common stock are fully paid and nonassessable. There are no provisions in our Certificate of Incorporation or Bylaws discriminating against existing or prospective holders of our common stock as a result of any stockholder owning a substantial amount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of preferred stock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holders of common stock are entitled to receive ratably any dividends that may be declared from time to time by the Board out of funds legally available for that purpose, if the dividends due to any outstanding shares of preferred stock have been paid in full. Any future holders of Series A preferred stock will be entitled to receive, when, as and if declared by the Board and out of Lifetime’s assets which are legally available for the payment of dividends, cumulative preferential cash dividends in the amount of $700 per annum for each share of Series A preferred stock held, payable quarterly. Whenever dividends upon any issued and outstanding Series A preferred stock have been paid in full, the Board may declare cash dividends on any shares of Series B preferred stock at a rate to be established by the Board. Whenever dividends upon any issued and outstanding Series B preferred stock have been paid in full, the Board may declare cash dividends on the issued and outstanding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and Dissolution Rights.</w:t>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the event of any liquidation, dissolution or winding up of Lifetime’s affairs, each issued and outstanding share of Series A preferred stock shall entitle its holder to payment at the rate of $10,000 per share plus all accrued and unpaid dividends. After payment in full of the Series A preferential amount, each issued and outstanding share of</w:t>
      </w:r>
    </w:p>
    <w:p>
      <w:pPr>
        <w:sectPr>
          <w:pgSz w:w="11900" w:h="16838" w:orient="portrait"/>
          <w:cols w:equalWidth="0" w:num="1">
            <w:col w:w="11240"/>
          </w:cols>
          <w:pgMar w:left="320" w:top="1417" w:right="339" w:bottom="1440" w:gutter="0" w:footer="0" w:header="0"/>
        </w:sectPr>
      </w:pPr>
    </w:p>
    <w:bookmarkStart w:id="104" w:name="page105"/>
    <w:bookmarkEnd w:id="104"/>
    <w:p>
      <w:pPr>
        <w:ind w:right="520"/>
        <w:spacing w:after="0" w:line="261" w:lineRule="auto"/>
        <w:rPr>
          <w:sz w:val="20"/>
          <w:szCs w:val="20"/>
          <w:color w:val="auto"/>
        </w:rPr>
      </w:pPr>
      <w:r>
        <w:rPr>
          <w:rFonts w:ascii="Arial" w:cs="Arial" w:eastAsia="Arial" w:hAnsi="Arial"/>
          <w:sz w:val="18"/>
          <w:szCs w:val="18"/>
          <w:color w:val="auto"/>
        </w:rPr>
        <w:t>Series B preferred stock shall entitle its holder to payment at the rate of the par value per share plus all accrued and unpaid dividends. Thereafter, the remaining assets, if any, shall be distributed to the holders of common stock, ratably.</w:t>
      </w:r>
    </w:p>
    <w:p>
      <w:pPr>
        <w:spacing w:after="0" w:line="19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Except as any provision of law may otherwise require, no shares of Series A preferred stock or Series B preferred stock shall entitle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thereof to any voting power.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Anti-Takeover Provisions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Provisions of Delaware law could make the acquisition of Lifetime through a tender offer, a proxy contest or other means more difficult and could make the removal of incumbent officers and directors more difficult. Lifetime expects these provisions to discourage coercive takeover practices and inadequate takeover bids and to encourage persons seeking to acquire control of Lifetime to first negotiate with our Board. Lifetime believes that the benefits provided by its ability to negotiate with the proponent of an unfriendly or unsolicited bid outweigh the disadvantages of discouraging these bids. Lifetime believes the negotiation of an unfriendly or unsolicited bid could result in an improvement of its terms.</w:t>
      </w:r>
    </w:p>
    <w:p>
      <w:pPr>
        <w:spacing w:after="0" w:line="20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Lifetime is subject to Section 203 of the Delaware General Corporation Law (the “DGCL”),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222" w:lineRule="exact"/>
        <w:rPr>
          <w:sz w:val="20"/>
          <w:szCs w:val="20"/>
          <w:color w:val="auto"/>
        </w:rPr>
      </w:pPr>
    </w:p>
    <w:p>
      <w:pPr>
        <w:ind w:left="660" w:right="380" w:hanging="328"/>
        <w:spacing w:after="0" w:line="237"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30" w:lineRule="exact"/>
        <w:rPr>
          <w:rFonts w:ascii="Arial" w:cs="Arial" w:eastAsia="Arial" w:hAnsi="Arial"/>
          <w:sz w:val="20"/>
          <w:szCs w:val="20"/>
          <w:color w:val="auto"/>
        </w:rPr>
      </w:pPr>
    </w:p>
    <w:p>
      <w:pPr>
        <w:ind w:left="660" w:right="160" w:hanging="328"/>
        <w:spacing w:after="0" w:line="236"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18"/>
          <w:szCs w:val="18"/>
          <w:color w:val="auto"/>
        </w:rPr>
        <w:t>the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29" w:lineRule="exact"/>
        <w:rPr>
          <w:rFonts w:ascii="Arial" w:cs="Arial" w:eastAsia="Arial" w:hAnsi="Arial"/>
          <w:sz w:val="20"/>
          <w:szCs w:val="20"/>
          <w:color w:val="auto"/>
        </w:rPr>
      </w:pPr>
    </w:p>
    <w:p>
      <w:pPr>
        <w:ind w:left="660" w:right="60" w:hanging="328"/>
        <w:spacing w:after="0" w:line="236"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18"/>
          <w:szCs w:val="18"/>
          <w:color w:val="auto"/>
        </w:rPr>
        <w:t>on or subsequent to the date of the transaction, the business combination is approved by the board of directors of the corporation and authorized at an annual or special meeting of stockholders, and not by written consent, by the affirmative vote of at least 66% of the outstanding voting stock which is not owned by the interested stockholder.</w:t>
      </w:r>
    </w:p>
    <w:p>
      <w:pPr>
        <w:spacing w:after="0" w:line="21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Generally, a “business combination” for these purposes includes a merger, asset or stock sale, or other transaction resulting in a financial benefit to the interested stockholder. An “interested stockholder” for these purposes is a person who, together with affiliates and associates, owns or, within three years prior to the determination of interested stockholder status, did own 15% or more of a corporation’s outstanding voting securities. Lifetime expects the existence of this provision to have an anti-takeover effect with respect to transactions the Board does not approve in advance. Lifetime also anticipates that Section 203 may discourage attempts that might result in a premium over the market price for the shares of common stock held by stockholders.</w:t>
      </w:r>
    </w:p>
    <w:p>
      <w:pPr>
        <w:spacing w:after="0" w:line="186"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While Section 203 is the default provision under the DGCL, the DGCL allows companies to opt out of Section 203 through approval by their board of directors of either the business combination or the transaction that results in the person becoming an interested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Certificate of Incorporation and Bylaws</w:t>
      </w:r>
    </w:p>
    <w:p>
      <w:pPr>
        <w:spacing w:after="0" w:line="24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Some provisions of our Certificate of Incorporation and Bylaws could make the acquisition of control of Lifetime and/or the removal of our existing management more difficult, including those that provide as follows:</w:t>
      </w:r>
    </w:p>
    <w:p>
      <w:pPr>
        <w:sectPr>
          <w:pgSz w:w="11900" w:h="16838" w:orient="portrait"/>
          <w:cols w:equalWidth="0" w:num="1">
            <w:col w:w="11240"/>
          </w:cols>
          <w:pgMar w:left="320" w:top="1421" w:right="339" w:bottom="1440" w:gutter="0" w:footer="0" w:header="0"/>
        </w:sectPr>
      </w:pPr>
    </w:p>
    <w:bookmarkStart w:id="105" w:name="page106"/>
    <w:bookmarkEnd w:id="105"/>
    <w:p>
      <w:pPr>
        <w:ind w:left="640" w:hanging="308"/>
        <w:spacing w:after="0"/>
        <w:tabs>
          <w:tab w:leader="none" w:pos="640" w:val="left"/>
        </w:tabs>
        <w:numPr>
          <w:ilvl w:val="0"/>
          <w:numId w:val="45"/>
        </w:numPr>
        <w:rPr>
          <w:rFonts w:ascii="Arial" w:cs="Arial" w:eastAsia="Arial" w:hAnsi="Arial"/>
          <w:sz w:val="19"/>
          <w:szCs w:val="19"/>
          <w:color w:val="auto"/>
        </w:rPr>
      </w:pPr>
      <w:r>
        <w:rPr>
          <w:rFonts w:ascii="Arial" w:cs="Arial" w:eastAsia="Arial" w:hAnsi="Arial"/>
          <w:sz w:val="17"/>
          <w:szCs w:val="17"/>
          <w:color w:val="auto"/>
        </w:rPr>
        <w:t>we have advance notice procedures with respect to stockholder proposals and the nomination of candidates for election as directors;</w:t>
      </w:r>
    </w:p>
    <w:p>
      <w:pPr>
        <w:spacing w:after="0" w:line="240" w:lineRule="exact"/>
        <w:rPr>
          <w:rFonts w:ascii="Arial" w:cs="Arial" w:eastAsia="Arial" w:hAnsi="Arial"/>
          <w:sz w:val="19"/>
          <w:szCs w:val="19"/>
          <w:color w:val="auto"/>
        </w:rPr>
      </w:pPr>
    </w:p>
    <w:p>
      <w:pPr>
        <w:ind w:left="660" w:right="620" w:hanging="328"/>
        <w:spacing w:after="0" w:line="237" w:lineRule="auto"/>
        <w:tabs>
          <w:tab w:leader="none" w:pos="648" w:val="left"/>
        </w:tabs>
        <w:numPr>
          <w:ilvl w:val="0"/>
          <w:numId w:val="45"/>
        </w:numPr>
        <w:rPr>
          <w:rFonts w:ascii="Arial" w:cs="Arial" w:eastAsia="Arial" w:hAnsi="Arial"/>
          <w:sz w:val="20"/>
          <w:szCs w:val="20"/>
          <w:color w:val="auto"/>
        </w:rPr>
      </w:pPr>
      <w:r>
        <w:rPr>
          <w:rFonts w:ascii="Arial" w:cs="Arial" w:eastAsia="Arial" w:hAnsi="Arial"/>
          <w:sz w:val="18"/>
          <w:szCs w:val="18"/>
          <w:color w:val="auto"/>
        </w:rPr>
        <w:t>cumulative voting in the election of our Board, which would otherwise allow holders of less than a majority of our shares to elect director candidates, is not permitted;</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our Board may amend or repeal our Bylaws, or adopt new bylaws without stockholder approval;</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our Board can increase or decrease the size of the Board without stockholder approval; and</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45"/>
        </w:numPr>
        <w:rPr>
          <w:rFonts w:ascii="Arial" w:cs="Arial" w:eastAsia="Arial" w:hAnsi="Arial"/>
          <w:sz w:val="20"/>
          <w:szCs w:val="20"/>
          <w:color w:val="auto"/>
        </w:rPr>
      </w:pPr>
      <w:r>
        <w:rPr>
          <w:rFonts w:ascii="Arial" w:cs="Arial" w:eastAsia="Arial" w:hAnsi="Arial"/>
          <w:sz w:val="18"/>
          <w:szCs w:val="18"/>
          <w:color w:val="auto"/>
        </w:rPr>
        <w:t>stockholders do not have the right to call a special meeting of stockholders.</w:t>
      </w: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These provisions may discourage coercive takeover practices and inadequate takeover bids. They may also encourage persons seeking to acquire control of Lifetime to first negotiate with our Board. We believe that the benefits of our increased protection give us the potential ability to negotiate with the proponent of an unfriendly or unsolicited proposal to acquire or restructure us, and that these benefits outweigh the disadvantages of discouraging the proposals. Negotiating with the proponent could result in an improvement of the terms of the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Stock Market under the symbol “LCUT.”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transfer agent and registrar is Computershare Investor Services, P.O. Box 505000, Louisville, KY 40233-5000.</w:t>
      </w:r>
    </w:p>
    <w:p>
      <w:pPr>
        <w:sectPr>
          <w:pgSz w:w="11900" w:h="16838" w:orient="portrait"/>
          <w:cols w:equalWidth="0" w:num="1">
            <w:col w:w="11180"/>
          </w:cols>
          <w:pgMar w:left="320" w:top="1435" w:right="399" w:bottom="1440" w:gutter="0" w:footer="0" w:header="0"/>
        </w:sectPr>
      </w:pPr>
    </w:p>
    <w:bookmarkStart w:id="106" w:name="page107"/>
    <w:bookmarkEnd w:id="106"/>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200" w:type="dxa"/>
            <w:vAlign w:val="bottom"/>
            <w:vMerge w:val="restart"/>
          </w:tcPr>
          <w:p>
            <w:pPr>
              <w:spacing w:after="0"/>
              <w:rPr>
                <w:sz w:val="20"/>
                <w:szCs w:val="20"/>
                <w:color w:val="auto"/>
              </w:rPr>
            </w:pPr>
            <w:r>
              <w:rPr>
                <w:rFonts w:ascii="Arial" w:cs="Arial" w:eastAsia="Arial" w:hAnsi="Arial"/>
                <w:sz w:val="22"/>
                <w:szCs w:val="22"/>
                <w:b w:val="1"/>
                <w:bCs w:val="1"/>
                <w:color w:val="auto"/>
              </w:rPr>
              <w:t>Subsidiaries of the Registrant</w:t>
            </w:r>
          </w:p>
        </w:tc>
        <w:tc>
          <w:tcPr>
            <w:tcW w:w="3720" w:type="dxa"/>
            <w:vAlign w:val="bottom"/>
          </w:tcPr>
          <w:p>
            <w:pPr>
              <w:spacing w:after="0"/>
              <w:rPr>
                <w:sz w:val="24"/>
                <w:szCs w:val="24"/>
                <w:color w:val="auto"/>
              </w:rPr>
            </w:pPr>
          </w:p>
        </w:tc>
        <w:tc>
          <w:tcPr>
            <w:tcW w:w="1320" w:type="dxa"/>
            <w:vAlign w:val="bottom"/>
          </w:tcPr>
          <w:p>
            <w:pPr>
              <w:ind w:left="200"/>
              <w:spacing w:after="0"/>
              <w:rPr>
                <w:sz w:val="20"/>
                <w:szCs w:val="20"/>
                <w:color w:val="auto"/>
              </w:rPr>
            </w:pPr>
            <w:r>
              <w:rPr>
                <w:rFonts w:ascii="Arial" w:cs="Arial" w:eastAsia="Arial" w:hAnsi="Arial"/>
                <w:sz w:val="22"/>
                <w:szCs w:val="22"/>
                <w:b w:val="1"/>
                <w:bCs w:val="1"/>
                <w:color w:val="auto"/>
                <w:w w:val="89"/>
              </w:rPr>
              <w:t>Exhibit 21.1</w:t>
            </w:r>
          </w:p>
        </w:tc>
        <w:tc>
          <w:tcPr>
            <w:tcW w:w="0" w:type="dxa"/>
            <w:vAlign w:val="bottom"/>
          </w:tcPr>
          <w:p>
            <w:pPr>
              <w:spacing w:after="0"/>
              <w:rPr>
                <w:sz w:val="1"/>
                <w:szCs w:val="1"/>
                <w:color w:val="auto"/>
              </w:rPr>
            </w:pPr>
          </w:p>
        </w:tc>
      </w:tr>
      <w:tr>
        <w:trPr>
          <w:trHeight w:val="243"/>
        </w:trPr>
        <w:tc>
          <w:tcPr>
            <w:tcW w:w="6200" w:type="dxa"/>
            <w:vAlign w:val="bottom"/>
            <w:vMerge w:val="continue"/>
          </w:tcPr>
          <w:p>
            <w:pPr>
              <w:spacing w:after="0"/>
              <w:rPr>
                <w:sz w:val="21"/>
                <w:szCs w:val="21"/>
                <w:color w:val="auto"/>
              </w:rPr>
            </w:pPr>
          </w:p>
        </w:tc>
        <w:tc>
          <w:tcPr>
            <w:tcW w:w="3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6"/>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37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w w:val="96"/>
              </w:rPr>
              <w:t>State/Country of Incorporation</w:t>
            </w: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Creative Tops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Creative Tops NL B.V</w:t>
            </w:r>
          </w:p>
        </w:tc>
        <w:tc>
          <w:tcPr>
            <w:tcW w:w="3720" w:type="dxa"/>
            <w:vAlign w:val="bottom"/>
          </w:tcPr>
          <w:p>
            <w:pPr>
              <w:ind w:left="1680"/>
              <w:spacing w:after="0"/>
              <w:rPr>
                <w:sz w:val="20"/>
                <w:szCs w:val="20"/>
                <w:color w:val="auto"/>
              </w:rPr>
            </w:pPr>
            <w:r>
              <w:rPr>
                <w:rFonts w:ascii="Arial" w:cs="Arial" w:eastAsia="Arial" w:hAnsi="Arial"/>
                <w:sz w:val="18"/>
                <w:szCs w:val="18"/>
                <w:color w:val="auto"/>
              </w:rPr>
              <w:t>Netherlands</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Grand Venture Enterprises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Kitchen Craft (Asia)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La Cafetiere (UK)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(Jersey)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Jersey, Channel Islands</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do Brasil Participacoes Ltda.</w:t>
            </w:r>
          </w:p>
        </w:tc>
        <w:tc>
          <w:tcPr>
            <w:tcW w:w="3720" w:type="dxa"/>
            <w:vAlign w:val="bottom"/>
          </w:tcPr>
          <w:p>
            <w:pPr>
              <w:ind w:left="1680"/>
              <w:spacing w:after="0"/>
              <w:rPr>
                <w:sz w:val="20"/>
                <w:szCs w:val="20"/>
                <w:color w:val="auto"/>
              </w:rPr>
            </w:pPr>
            <w:r>
              <w:rPr>
                <w:rFonts w:ascii="Arial" w:cs="Arial" w:eastAsia="Arial" w:hAnsi="Arial"/>
                <w:sz w:val="18"/>
                <w:szCs w:val="18"/>
                <w:color w:val="auto"/>
              </w:rPr>
              <w:t>Brazil</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Europe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Global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Global Trading (Shanghai) Company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China</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Holdings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Lifetime Brands UK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New Goal Development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Pfaltzgraff Factory Stores, Inc.</w:t>
            </w:r>
          </w:p>
        </w:tc>
        <w:tc>
          <w:tcPr>
            <w:tcW w:w="372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The Chef’n Corporation</w:t>
            </w:r>
          </w:p>
        </w:tc>
        <w:tc>
          <w:tcPr>
            <w:tcW w:w="3720" w:type="dxa"/>
            <w:vAlign w:val="bottom"/>
          </w:tcPr>
          <w:p>
            <w:pPr>
              <w:ind w:left="1680"/>
              <w:spacing w:after="0"/>
              <w:rPr>
                <w:sz w:val="20"/>
                <w:szCs w:val="20"/>
                <w:color w:val="auto"/>
              </w:rPr>
            </w:pPr>
            <w:r>
              <w:rPr>
                <w:rFonts w:ascii="Arial" w:cs="Arial" w:eastAsia="Arial" w:hAnsi="Arial"/>
                <w:sz w:val="18"/>
                <w:szCs w:val="18"/>
                <w:color w:val="auto"/>
              </w:rPr>
              <w:t>Washington</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Thomas Plant (Birmingham) Holdings Limited</w:t>
            </w:r>
          </w:p>
        </w:tc>
        <w:tc>
          <w:tcPr>
            <w:tcW w:w="3720" w:type="dxa"/>
            <w:vAlign w:val="bottom"/>
          </w:tcPr>
          <w:p>
            <w:pPr>
              <w:ind w:left="1680"/>
              <w:spacing w:after="0"/>
              <w:rPr>
                <w:sz w:val="20"/>
                <w:szCs w:val="20"/>
                <w:color w:val="auto"/>
              </w:rPr>
            </w:pPr>
            <w:r>
              <w:rPr>
                <w:rFonts w:ascii="Arial" w:cs="Arial" w:eastAsia="Arial" w:hAnsi="Arial"/>
                <w:sz w:val="18"/>
                <w:szCs w:val="18"/>
                <w:color w:val="auto"/>
              </w:rPr>
              <w:t>United Kingdom</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TMC Acquisition Inc.</w:t>
            </w:r>
          </w:p>
        </w:tc>
        <w:tc>
          <w:tcPr>
            <w:tcW w:w="3720" w:type="dxa"/>
            <w:vAlign w:val="bottom"/>
          </w:tcPr>
          <w:p>
            <w:pPr>
              <w:ind w:left="1680"/>
              <w:spacing w:after="0"/>
              <w:rPr>
                <w:sz w:val="20"/>
                <w:szCs w:val="20"/>
                <w:color w:val="auto"/>
              </w:rPr>
            </w:pPr>
            <w:r>
              <w:rPr>
                <w:rFonts w:ascii="Arial" w:cs="Arial" w:eastAsia="Arial" w:hAnsi="Arial"/>
                <w:sz w:val="18"/>
                <w:szCs w:val="18"/>
                <w:color w:val="auto"/>
              </w:rPr>
              <w:t>Delaware</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Trinity Sourcing (Shenzhen) Ltd.</w:t>
            </w:r>
          </w:p>
        </w:tc>
        <w:tc>
          <w:tcPr>
            <w:tcW w:w="3720" w:type="dxa"/>
            <w:vAlign w:val="bottom"/>
          </w:tcPr>
          <w:p>
            <w:pPr>
              <w:ind w:left="1680"/>
              <w:spacing w:after="0"/>
              <w:rPr>
                <w:sz w:val="20"/>
                <w:szCs w:val="20"/>
                <w:color w:val="auto"/>
              </w:rPr>
            </w:pPr>
            <w:r>
              <w:rPr>
                <w:rFonts w:ascii="Arial" w:cs="Arial" w:eastAsia="Arial" w:hAnsi="Arial"/>
                <w:sz w:val="18"/>
                <w:szCs w:val="18"/>
                <w:color w:val="auto"/>
              </w:rPr>
              <w:t>China</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Trinity Sourcing Ltd.</w:t>
            </w:r>
          </w:p>
        </w:tc>
        <w:tc>
          <w:tcPr>
            <w:tcW w:w="3720" w:type="dxa"/>
            <w:vAlign w:val="bottom"/>
          </w:tcPr>
          <w:p>
            <w:pPr>
              <w:ind w:left="1680"/>
              <w:spacing w:after="0"/>
              <w:rPr>
                <w:sz w:val="20"/>
                <w:szCs w:val="20"/>
                <w:color w:val="auto"/>
              </w:rPr>
            </w:pPr>
            <w:r>
              <w:rPr>
                <w:rFonts w:ascii="Arial" w:cs="Arial" w:eastAsia="Arial" w:hAnsi="Arial"/>
                <w:sz w:val="18"/>
                <w:szCs w:val="18"/>
                <w:color w:val="auto"/>
              </w:rPr>
              <w:t>Hong Kong</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Wallace Silversmiths de Puerto Rico Ltd.</w:t>
            </w:r>
          </w:p>
        </w:tc>
        <w:tc>
          <w:tcPr>
            <w:tcW w:w="3720" w:type="dxa"/>
            <w:vAlign w:val="bottom"/>
          </w:tcPr>
          <w:p>
            <w:pPr>
              <w:ind w:left="1680"/>
              <w:spacing w:after="0"/>
              <w:rPr>
                <w:sz w:val="20"/>
                <w:szCs w:val="20"/>
                <w:color w:val="auto"/>
              </w:rPr>
            </w:pPr>
            <w:r>
              <w:rPr>
                <w:rFonts w:ascii="Arial" w:cs="Arial" w:eastAsia="Arial" w:hAnsi="Arial"/>
                <w:sz w:val="18"/>
                <w:szCs w:val="18"/>
                <w:color w:val="auto"/>
              </w:rPr>
              <w:t>Cayman Islands</w:t>
            </w:r>
          </w:p>
        </w:tc>
        <w:tc>
          <w:tcPr>
            <w:tcW w:w="1320" w:type="dxa"/>
            <w:vAlign w:val="bottom"/>
          </w:tcPr>
          <w:p>
            <w:pPr>
              <w:ind w:lef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18"/>
                <w:szCs w:val="18"/>
                <w:color w:val="auto"/>
              </w:rPr>
              <w:t>LTB de México, S.A. de C.V.</w:t>
            </w:r>
          </w:p>
        </w:tc>
        <w:tc>
          <w:tcPr>
            <w:tcW w:w="3720" w:type="dxa"/>
            <w:vAlign w:val="bottom"/>
          </w:tcPr>
          <w:p>
            <w:pPr>
              <w:ind w:left="1680"/>
              <w:spacing w:after="0"/>
              <w:rPr>
                <w:sz w:val="20"/>
                <w:szCs w:val="20"/>
                <w:color w:val="auto"/>
              </w:rPr>
            </w:pPr>
            <w:r>
              <w:rPr>
                <w:rFonts w:ascii="Arial" w:cs="Arial" w:eastAsia="Arial" w:hAnsi="Arial"/>
                <w:sz w:val="18"/>
                <w:szCs w:val="18"/>
                <w:color w:val="auto"/>
              </w:rPr>
              <w:t>Mexico</w:t>
            </w:r>
          </w:p>
        </w:tc>
        <w:tc>
          <w:tcPr>
            <w:tcW w:w="1320" w:type="dxa"/>
            <w:vAlign w:val="bottom"/>
          </w:tcPr>
          <w:p>
            <w:pPr>
              <w:ind w:left="60"/>
              <w:spacing w:after="0"/>
              <w:rPr>
                <w:sz w:val="20"/>
                <w:szCs w:val="20"/>
                <w:color w:val="auto"/>
              </w:rPr>
            </w:pPr>
            <w:r>
              <w:rPr>
                <w:rFonts w:ascii="Arial" w:cs="Arial" w:eastAsia="Arial" w:hAnsi="Arial"/>
                <w:sz w:val="18"/>
                <w:szCs w:val="18"/>
                <w:color w:val="auto"/>
              </w:rPr>
              <w:t>99.99 %</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7" w:name="page108"/>
    <w:bookmarkEnd w:id="107"/>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jc w:val="both"/>
        <w:ind w:right="180"/>
        <w:spacing w:after="0" w:line="284" w:lineRule="auto"/>
        <w:rPr>
          <w:sz w:val="20"/>
          <w:szCs w:val="20"/>
          <w:color w:val="auto"/>
        </w:rPr>
      </w:pPr>
      <w:r>
        <w:rPr>
          <w:rFonts w:ascii="Arial" w:cs="Arial" w:eastAsia="Arial" w:hAnsi="Arial"/>
          <w:sz w:val="16"/>
          <w:szCs w:val="16"/>
          <w:color w:val="auto"/>
        </w:rPr>
        <w:t>We consent to the incorporation by reference in the Registration Statements on Form S-8 (Nos. 333-105382, 333-146017, 333-162734, 333-186208, 333-208961, 333-221613, 333-226666) pertaining to the Amended and Restated 2000 Long-Term Incentive Plan of Lifetime Brands, Inc. of our reports dated March 13, 2020, with respect to the consolidated financial statements and schedule of Lifetime Brands, Inc., and the effectiveness of internal control over financial reporting of Lifetime Brands, Inc. included in this Annual Report (Form 10-K) for the year ended December 31, 2019.</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Jericho, New York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1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Avenida 16 de septiembre #346</w:t>
      </w:r>
    </w:p>
    <w:p>
      <w:pPr>
        <w:spacing w:after="0" w:line="234" w:lineRule="auto"/>
        <w:rPr>
          <w:sz w:val="20"/>
          <w:szCs w:val="20"/>
          <w:color w:val="auto"/>
        </w:rPr>
      </w:pPr>
      <w:r>
        <w:rPr>
          <w:rFonts w:ascii="Arial" w:cs="Arial" w:eastAsia="Arial" w:hAnsi="Arial"/>
          <w:sz w:val="18"/>
          <w:szCs w:val="18"/>
          <w:b w:val="1"/>
          <w:bCs w:val="1"/>
          <w:color w:val="auto"/>
        </w:rPr>
        <w:t>Colonia El Partidor</w:t>
      </w:r>
    </w:p>
    <w:p>
      <w:pPr>
        <w:spacing w:after="0" w:line="235" w:lineRule="auto"/>
        <w:rPr>
          <w:sz w:val="20"/>
          <w:szCs w:val="20"/>
          <w:color w:val="auto"/>
        </w:rPr>
      </w:pPr>
      <w:r>
        <w:rPr>
          <w:rFonts w:ascii="Arial" w:cs="Arial" w:eastAsia="Arial" w:hAnsi="Arial"/>
          <w:sz w:val="18"/>
          <w:szCs w:val="18"/>
          <w:b w:val="1"/>
          <w:bCs w:val="1"/>
          <w:color w:val="auto"/>
        </w:rPr>
        <w:t>Cuautitlán, Estado de México,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 54879</w:t>
      </w:r>
    </w:p>
    <w:p>
      <w:pPr>
        <w:spacing w:after="0" w:line="22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on Form S-8 (Nos. 333-105382, 333-146017, 333-162734, 333-186208, 333-208961, 333-221613, 333-226666) of Lifetime Brands, Inc. of our report dated March 13, 2020 relating to the consolidated financial statements (not presented separately herein) of Grupo Vasconia, S.A.B. and subsidiaries (the “Company”) included in the December 31, 2019 annual report on Form 10-K of Lifetime Brands, Inc.</w:t>
      </w:r>
    </w:p>
    <w:p>
      <w:pPr>
        <w:spacing w:after="0" w:line="21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report dated March 13, 2020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24 to the consolidated financial statements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Castillo Miranda y Compañía, S.C. (BDO Mexico)</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C.P.C. Jose Luis Villalobos Zuazua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82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C.P.C. Jose Luis Villalobos Zuazua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Partner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Mexico City, Mexico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23"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We consent to the incorporation by reference in the registration statements [No. 333-105382, 333-146017, 33-162734, 333-186208, 333-208961, 333-221613 and 333-226666 on Forms S-8] of Lifetime Brands, Inc., of our report dated March 15, 2018, with respect to the consolidated statements of comprehensive income, cash flows and</w:t>
      </w:r>
    </w:p>
    <w:p>
      <w:pPr>
        <w:spacing w:after="0" w:line="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changes in stockholders’ equity of Grupo Vasconia, S.A.B. and subsidiaries (the “Company”) for the year ended December 31, 2017 and the related notes, not included herein, which report appears in the December 31, 2019 annual report on Form 10-K of Lifetime Brands, Inc.</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report dated March 15, 2018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24 to the consolidated financial statements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41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600" w:hanging="187"/>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jc w:val="both"/>
        <w:ind w:left="420" w:right="220" w:hanging="7"/>
        <w:spacing w:after="0" w:line="26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left="420" w:right="400" w:hanging="7"/>
        <w:spacing w:after="0" w:line="342"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20" w:right="300" w:hanging="7"/>
        <w:spacing w:after="0" w:line="263"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20" w:right="80" w:hanging="2"/>
        <w:spacing w:after="0" w:line="263" w:lineRule="auto"/>
        <w:tabs>
          <w:tab w:leader="none" w:pos="9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jc w:val="both"/>
        <w:ind w:left="820" w:right="460" w:hanging="2"/>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right="580" w:hanging="2"/>
        <w:spacing w:after="0" w:line="342" w:lineRule="auto"/>
        <w:tabs>
          <w:tab w:leader="none" w:pos="9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20" w:hanging="2"/>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20" w:right="260" w:hanging="7"/>
        <w:spacing w:after="0" w:line="342"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20" w:right="820" w:hanging="2"/>
        <w:spacing w:after="0" w:line="342" w:lineRule="auto"/>
        <w:tabs>
          <w:tab w:leader="none" w:pos="9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20" w:right="500" w:hanging="2"/>
        <w:spacing w:after="0" w:line="27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13,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774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17" w:lineRule="exact"/>
        <w:rPr>
          <w:sz w:val="20"/>
          <w:szCs w:val="20"/>
          <w:color w:val="auto"/>
        </w:rPr>
      </w:pPr>
    </w:p>
    <w:p>
      <w:pPr>
        <w:ind w:left="600" w:hanging="187"/>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Lifetime Brands, Inc. (“the registrant”);</w:t>
      </w:r>
    </w:p>
    <w:p>
      <w:pPr>
        <w:spacing w:after="0" w:line="117" w:lineRule="exact"/>
        <w:rPr>
          <w:rFonts w:ascii="Arial" w:cs="Arial" w:eastAsia="Arial" w:hAnsi="Arial"/>
          <w:sz w:val="18"/>
          <w:szCs w:val="18"/>
          <w:color w:val="auto"/>
        </w:rPr>
      </w:pPr>
    </w:p>
    <w:p>
      <w:pPr>
        <w:jc w:val="both"/>
        <w:ind w:left="420" w:right="220" w:hanging="7"/>
        <w:spacing w:after="0" w:line="263"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Arial" w:cs="Arial" w:eastAsia="Arial" w:hAnsi="Arial"/>
          <w:sz w:val="18"/>
          <w:szCs w:val="18"/>
          <w:color w:val="auto"/>
        </w:rPr>
      </w:pPr>
    </w:p>
    <w:p>
      <w:pPr>
        <w:ind w:left="420" w:right="400" w:hanging="7"/>
        <w:spacing w:after="0" w:line="342"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left="420" w:right="300" w:hanging="7"/>
        <w:spacing w:after="0" w:line="263"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20" w:right="80" w:hanging="2"/>
        <w:spacing w:after="0" w:line="263" w:lineRule="auto"/>
        <w:tabs>
          <w:tab w:leader="none" w:pos="9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5" w:lineRule="exact"/>
        <w:rPr>
          <w:rFonts w:ascii="Arial" w:cs="Arial" w:eastAsia="Arial" w:hAnsi="Arial"/>
          <w:sz w:val="18"/>
          <w:szCs w:val="18"/>
          <w:color w:val="auto"/>
        </w:rPr>
      </w:pPr>
    </w:p>
    <w:p>
      <w:pPr>
        <w:jc w:val="both"/>
        <w:ind w:left="820" w:right="460" w:hanging="2"/>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right="580" w:hanging="2"/>
        <w:spacing w:after="0" w:line="342" w:lineRule="auto"/>
        <w:tabs>
          <w:tab w:leader="none" w:pos="9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20" w:hanging="2"/>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20" w:right="260" w:hanging="7"/>
        <w:spacing w:after="0" w:line="342" w:lineRule="auto"/>
        <w:tabs>
          <w:tab w:leader="none" w:pos="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820" w:right="820" w:hanging="2"/>
        <w:spacing w:after="0" w:line="342" w:lineRule="auto"/>
        <w:tabs>
          <w:tab w:leader="none" w:pos="9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820" w:right="500" w:hanging="2"/>
        <w:spacing w:after="0" w:line="27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13,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989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-Finance,Treasurer and Chief Financial Officer</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 Robert B. Kay, Chief Executive Officer, and I, Laurence Winoker, Senior Vice President - Finance, Treasurer and Chief Financial Officer, of Lifetime Brands, Inc., a Delaware corporation (the “Company”), each hereby certifies that:</w:t>
      </w:r>
    </w:p>
    <w:p>
      <w:pPr>
        <w:spacing w:after="0" w:line="62" w:lineRule="exact"/>
        <w:rPr>
          <w:sz w:val="20"/>
          <w:szCs w:val="20"/>
          <w:color w:val="auto"/>
        </w:rPr>
      </w:pPr>
    </w:p>
    <w:p>
      <w:pPr>
        <w:ind w:left="660" w:right="180" w:hanging="328"/>
        <w:spacing w:after="0" w:line="277"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(the “Form 10-K”)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Robert B. Kay</w:t>
            </w:r>
          </w:p>
        </w:tc>
        <w:tc>
          <w:tcPr>
            <w:tcW w:w="5520" w:type="dxa"/>
            <w:vAlign w:val="bottom"/>
          </w:tcPr>
          <w:p>
            <w:pPr>
              <w:ind w:left="20"/>
              <w:spacing w:after="0"/>
              <w:rPr>
                <w:sz w:val="20"/>
                <w:szCs w:val="20"/>
                <w:color w:val="auto"/>
              </w:rPr>
            </w:pPr>
            <w:r>
              <w:rPr>
                <w:rFonts w:ascii="Arial" w:cs="Arial" w:eastAsia="Arial" w:hAnsi="Arial"/>
                <w:sz w:val="18"/>
                <w:szCs w:val="18"/>
                <w:color w:val="auto"/>
              </w:rPr>
              <w:t>/s/ Laurence Winoker</w:t>
            </w:r>
          </w:p>
        </w:tc>
      </w:tr>
      <w:tr>
        <w:trPr>
          <w:trHeight w:val="27"/>
        </w:trPr>
        <w:tc>
          <w:tcPr>
            <w:tcW w:w="5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22"/>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Robert B. Kay</w:t>
            </w:r>
          </w:p>
        </w:tc>
        <w:tc>
          <w:tcPr>
            <w:tcW w:w="5520" w:type="dxa"/>
            <w:vAlign w:val="bottom"/>
          </w:tcPr>
          <w:p>
            <w:pPr>
              <w:ind w:left="20"/>
              <w:spacing w:after="0"/>
              <w:rPr>
                <w:sz w:val="20"/>
                <w:szCs w:val="20"/>
                <w:color w:val="auto"/>
              </w:rPr>
            </w:pPr>
            <w:r>
              <w:rPr>
                <w:rFonts w:ascii="Arial" w:cs="Arial" w:eastAsia="Arial" w:hAnsi="Arial"/>
                <w:sz w:val="18"/>
                <w:szCs w:val="18"/>
                <w:color w:val="auto"/>
              </w:rPr>
              <w:t>Laurence Winoker</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5520" w:type="dxa"/>
            <w:vAlign w:val="bottom"/>
          </w:tcPr>
          <w:p>
            <w:pPr>
              <w:ind w:left="20"/>
              <w:spacing w:after="0"/>
              <w:rPr>
                <w:sz w:val="20"/>
                <w:szCs w:val="20"/>
                <w:color w:val="auto"/>
              </w:rPr>
            </w:pPr>
            <w:r>
              <w:rPr>
                <w:rFonts w:ascii="Arial" w:cs="Arial" w:eastAsia="Arial" w:hAnsi="Arial"/>
                <w:sz w:val="18"/>
                <w:szCs w:val="18"/>
                <w:color w:val="auto"/>
              </w:rPr>
              <w:t>Senior Vice President- Finance, Treasurer</w:t>
            </w:r>
          </w:p>
        </w:tc>
      </w:tr>
      <w:tr>
        <w:trPr>
          <w:trHeight w:val="230"/>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52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Date: March 13, 2020</w:t>
            </w:r>
          </w:p>
        </w:tc>
        <w:tc>
          <w:tcPr>
            <w:tcW w:w="5520" w:type="dxa"/>
            <w:vAlign w:val="bottom"/>
          </w:tcPr>
          <w:p>
            <w:pPr>
              <w:ind w:left="20"/>
              <w:spacing w:after="0"/>
              <w:rPr>
                <w:sz w:val="20"/>
                <w:szCs w:val="20"/>
                <w:color w:val="auto"/>
              </w:rPr>
            </w:pPr>
            <w:r>
              <w:rPr>
                <w:rFonts w:ascii="Arial" w:cs="Arial" w:eastAsia="Arial" w:hAnsi="Arial"/>
                <w:sz w:val="18"/>
                <w:szCs w:val="18"/>
                <w:color w:val="auto"/>
              </w:rPr>
              <w:t>Date: March 13, 2020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sectPr>
          <w:pgSz w:w="11900" w:h="16838" w:orient="portrait"/>
          <w:cols w:equalWidth="0" w:num="1">
            <w:col w:w="11240"/>
          </w:cols>
          <w:pgMar w:left="320" w:top="113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have audited the accompanying consolidated statement of financial position of Grupo Vasconia S.A.B. and subsidiaries (the “Company”) as of December 31, 2019 and 2018, and the related consolidated statements of comprehensive income, changes in equity, and cash flows for each of the two years in the period ended December 31, 2019, and the related notes (collectively referred to as the “consolidated financial statements”) (not present herein). In our opinion, the consolidated financial statements present fairly, in all material respects, the financial position of the Company as of December 31, 2019 and 2018, and the consolidated results of operations and its cash flows for each of the two years in the period ended December 31, 2019, in conformity with International Financial Reporting Standards as issued by the International Accounting Standards Board (“IASB”).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discussed in Note 2 to the consolidated financial statements, effective on January 1, 2019, the Company changed its method of accounting for leases due to the adoption of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from U.S. generally accepted accounting principles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nature and effect of such differences is presented in Note 24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We conducted our audit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CASTILLO MIRANDA Y COMPAÑÍA, S.C.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Jose Luis Villalobos Zuazua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Jose Luis Villalobos Zuazua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ectPr>
          <w:pgSz w:w="11900" w:h="16838" w:orient="portrait"/>
          <w:cols w:equalWidth="0" w:num="1">
            <w:col w:w="11240"/>
          </w:cols>
          <w:pgMar w:left="320" w:top="141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99.2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auto"/>
        <w:rPr>
          <w:sz w:val="20"/>
          <w:szCs w:val="20"/>
          <w:color w:val="auto"/>
        </w:rPr>
      </w:pPr>
      <w:r>
        <w:rPr>
          <w:rFonts w:ascii="Arial" w:cs="Arial" w:eastAsia="Arial" w:hAnsi="Arial"/>
          <w:sz w:val="18"/>
          <w:szCs w:val="18"/>
          <w:color w:val="auto"/>
        </w:rPr>
        <w:t>To the Stockholders and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Grupo Vasconia, S.A.B.:</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39"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color w:val="auto"/>
        </w:rPr>
        <w:t>We have audited the accompanying consolidated statements of comprehensive income, cash flows, and changes in stockholders’ equity of Grupo Vasconia, S.A.B. and subsidiaries (the “Company”) for the year ended December 31, 2017, and the related notes (collectively, the consolidated financial statements). In our opinion, the consolidated financial statements present fairly, in all material respects, the results of operations and cash flows of the Company for the year ended December 31, 2017, in conformity with International Financial Reporting Standards as issued by the International Accounting Standards Board (“IASB”).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Differences from U.S. Generally Accepted Accounting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 by the IASB vary in certain significant respects from U.S. generally accepted accounting principles.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the nature and effect of such differences is presented in note 24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9"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We believe that our audit provide a reasonable basis for our opinion.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KPMG CARDENAS DOSAL, S.C.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Erick G. Aguilar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Erick G. Aguilar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Mexico City, Mexico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lowerRoman"/>
      <w:start w:val="8"/>
    </w:lvl>
  </w:abstractNum>
  <w:abstractNum w:abstractNumId="11">
    <w:nsid w:val="8138641"/>
    <w:multiLevelType w:val="hybridMultilevel"/>
    <w:lvl w:ilvl="0">
      <w:lvlJc w:val="left"/>
      <w:lvlText w:val="(%1)"/>
      <w:numFmt w:val="decimal"/>
      <w:start w:val="4"/>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3"/>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2"/>
    </w:lvl>
    <w:lvl w:ilvl="1">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Letter"/>
      <w:start w:val="2"/>
    </w:lvl>
    <w:lvl w:ilvl="1">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Letter"/>
      <w:start w:val="2"/>
    </w:lvl>
    <w:lvl w:ilvl="1">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Letter"/>
      <w:start w:val="2"/>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103" Type="http://schemas.openxmlformats.org/officeDocument/2006/relationships/image" Target="media/image76.png"/><Relationship Id="rId120"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82" Type="http://schemas.openxmlformats.org/officeDocument/2006/relationships/hyperlink" Target="http://www.sec.gov/Archives/edgar/data/874396/000119312517383700/d467423dex21.htm" TargetMode="External"/><Relationship Id="rId83" Type="http://schemas.openxmlformats.org/officeDocument/2006/relationships/hyperlink" Target="http://www.sec.gov/Archives/edgar/data/874396/000091068006000214/ex3_2-f10k123105.txt" TargetMode="External"/><Relationship Id="rId84" Type="http://schemas.openxmlformats.org/officeDocument/2006/relationships/hyperlink" Target="http://www.sec.gov/Archives/edgar/data/874396/000119312516618978/d191127dex31.htm" TargetMode="External"/><Relationship Id="rId85" Type="http://schemas.openxmlformats.org/officeDocument/2006/relationships/hyperlink" Target="http://www.sec.gov/Archives/edgar/data/874396/000119312516788456/d255324dex31.htm" TargetMode="External"/><Relationship Id="rId86" Type="http://schemas.openxmlformats.org/officeDocument/2006/relationships/hyperlink" Target="http://www.sec.gov/Archives/edgar/data/874396/000119312519186032/d37933dex101.htm" TargetMode="External"/><Relationship Id="rId87" Type="http://schemas.openxmlformats.org/officeDocument/2006/relationships/hyperlink" Target="http://www.sec.gov/Archives/edgar/data/874396/000119312519267308/d789732dex106.htm" TargetMode="External"/><Relationship Id="rId89" Type="http://schemas.openxmlformats.org/officeDocument/2006/relationships/hyperlink" Target="http://www.sec.gov/Archives/edgar/data/874396/000091068006001070/ex10-1_f10q093006.htm" TargetMode="External"/><Relationship Id="rId90" Type="http://schemas.openxmlformats.org/officeDocument/2006/relationships/hyperlink" Target="http://www.sec.gov/Archives/edgar/data/874396/000119312518209648/d841646dex101.htm" TargetMode="External"/><Relationship Id="rId91" Type="http://schemas.openxmlformats.org/officeDocument/2006/relationships/hyperlink" Target="http://www.sec.gov/Archives/edgar/data/874396/000119312515283316/d82287dex101.htm" TargetMode="External"/><Relationship Id="rId92" Type="http://schemas.openxmlformats.org/officeDocument/2006/relationships/hyperlink" Target="http://www.sec.gov/Archives/edgar/data/874396/000119312515283316/d82287dex102.htm" TargetMode="External"/><Relationship Id="rId93" Type="http://schemas.openxmlformats.org/officeDocument/2006/relationships/hyperlink" Target="http://www.sec.gov/Archives/edgar/data/874396/000119312517211662/d403365dex101.htm" TargetMode="External"/><Relationship Id="rId94" Type="http://schemas.openxmlformats.org/officeDocument/2006/relationships/hyperlink" Target="http://www.sec.gov/Archives/edgar/data/874396/000119312515321240/d95014dex101.htm" TargetMode="External"/><Relationship Id="rId95" Type="http://schemas.openxmlformats.org/officeDocument/2006/relationships/hyperlink" Target="http://www.sec.gov/Archives/edgar/data/874396/000119312517338917/d473962dex103.htm" TargetMode="External"/><Relationship Id="rId96" Type="http://schemas.openxmlformats.org/officeDocument/2006/relationships/hyperlink" Target="http://www.sec.gov/Archives/edgar/data/874396/000119312519267308/d789732dex104.htm" TargetMode="External"/><Relationship Id="rId97" Type="http://schemas.openxmlformats.org/officeDocument/2006/relationships/hyperlink" Target="http://www.sec.gov/Archives/edgar/data/874396/000091068007000540/ex99-1_f8k061107.htm" TargetMode="External"/><Relationship Id="rId98" Type="http://schemas.openxmlformats.org/officeDocument/2006/relationships/hyperlink" Target="http://www.sec.gov/Archives/edgar/data/874396/000091068009000143/ex10_17-f10k12312008.htm" TargetMode="External"/><Relationship Id="rId99" Type="http://schemas.openxmlformats.org/officeDocument/2006/relationships/hyperlink" Target="http://www.sec.gov/Archives/edgar/data/874396/000091068009000143/ex10_20-f10k12312008.htm" TargetMode="External"/><Relationship Id="rId100" Type="http://schemas.openxmlformats.org/officeDocument/2006/relationships/hyperlink" Target="http://www.sec.gov/Archives/edgar/data/874396/000091068008000573/ex99-1_f10q63008.htm" TargetMode="External"/><Relationship Id="rId101" Type="http://schemas.openxmlformats.org/officeDocument/2006/relationships/hyperlink" Target="http://www.sec.gov/Archives/edgar/data/874396/000091068011000410/ex99_2-f8k11042011.htm" TargetMode="External"/><Relationship Id="rId102" Type="http://schemas.openxmlformats.org/officeDocument/2006/relationships/hyperlink" Target="http://www.sec.gov/Archives/edgar/data/874396/000119312513435524/d608281dex106.htm" TargetMode="External"/><Relationship Id="rId104" Type="http://schemas.openxmlformats.org/officeDocument/2006/relationships/hyperlink" Target="http://www.sec.gov/Archives/edgar/data/874396/000119312513274118/d560820dex993.htm" TargetMode="External"/><Relationship Id="rId105" Type="http://schemas.openxmlformats.org/officeDocument/2006/relationships/hyperlink" Target="http://www.sec.gov/Archives/edgar/data/874396/000119312513274118/d560820dex991.htm" TargetMode="External"/><Relationship Id="rId106" Type="http://schemas.openxmlformats.org/officeDocument/2006/relationships/hyperlink" Target="http://www.sec.gov/Archives/edgar/data/874396/000119312514014321/d659261dex992.htm" TargetMode="External"/><Relationship Id="rId107" Type="http://schemas.openxmlformats.org/officeDocument/2006/relationships/hyperlink" Target="http://www.sec.gov/Archives/edgar/data/874396/000119312515179708/d897959dex101.htm" TargetMode="External"/><Relationship Id="rId108" Type="http://schemas.openxmlformats.org/officeDocument/2006/relationships/hyperlink" Target="http://www.sec.gov/Archives/edgar/data/874396/000119312517338917/d473962dex104.htm" TargetMode="External"/><Relationship Id="rId109" Type="http://schemas.openxmlformats.org/officeDocument/2006/relationships/hyperlink" Target="http://www.sec.gov/Archives/edgar/data/874396/000119312519267308/d789732dex105.htm" TargetMode="External"/><Relationship Id="rId110" Type="http://schemas.openxmlformats.org/officeDocument/2006/relationships/hyperlink" Target="http://www.sec.gov/Archives/edgar/data/874396/000119312516440068/d21586dex101.htm" TargetMode="External"/><Relationship Id="rId111" Type="http://schemas.openxmlformats.org/officeDocument/2006/relationships/hyperlink" Target="http://www.sec.gov/Archives/edgar/data/874396/000119312516730047/d228608dex101.htm" TargetMode="External"/><Relationship Id="rId112" Type="http://schemas.openxmlformats.org/officeDocument/2006/relationships/hyperlink" Target="http://www.sec.gov/Archives/edgar/data/874396/000119312517164340/d381143dex101.htm" TargetMode="External"/><Relationship Id="rId113" Type="http://schemas.openxmlformats.org/officeDocument/2006/relationships/hyperlink" Target="http://www.sec.gov/Archives/edgar/data/874396/000119312517383700/d467423dex101.htm" TargetMode="External"/><Relationship Id="rId114" Type="http://schemas.openxmlformats.org/officeDocument/2006/relationships/hyperlink" Target="http://www.sec.gov/Archives/edgar/data/874396/000119312517383700/d467423dex102.htm" TargetMode="External"/><Relationship Id="rId115" Type="http://schemas.openxmlformats.org/officeDocument/2006/relationships/hyperlink" Target="http://www.sec.gov/Archives/edgar/data/874396/000119312519267308/d789732dex102.htm" TargetMode="External"/><Relationship Id="rId116" Type="http://schemas.openxmlformats.org/officeDocument/2006/relationships/hyperlink" Target="http://www.sec.gov/Archives/edgar/data/874396/000119312518072132/d543564dex1001.htm" TargetMode="External"/><Relationship Id="rId117" Type="http://schemas.openxmlformats.org/officeDocument/2006/relationships/hyperlink" Target="http://www.sec.gov/Archives/edgar/data/874396/000119312519267308/d789732dex101.htm" TargetMode="External"/><Relationship Id="rId118" Type="http://schemas.openxmlformats.org/officeDocument/2006/relationships/hyperlink" Target="http://www.sec.gov/Archives/edgar/data/874396/000119312518327948/d619485dex1001.htm" TargetMode="External"/><Relationship Id="rId119" Type="http://schemas.openxmlformats.org/officeDocument/2006/relationships/hyperlink" Target="http://www.sec.gov/Archives/edgar/data/874396/000119312518072132/d543564dex1002.htm" TargetMode="External"/><Relationship Id="rId121" Type="http://schemas.openxmlformats.org/officeDocument/2006/relationships/hyperlink" Target="http://www.sec.gov/Archives/edgar/data/874396/000119312518072132/d543564d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2020-03-13T15:57:53Z</dcterms:created>
  <dcterms:modified xsi:type="dcterms:W3CDTF">2020-03-13T15:57:53Z</dcterms:modified>
</cp:coreProperties>
</file>