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fd1c4b0c070444f84c4839dc0dfee77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0-19254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1000 Stewart Avenue, Garden City, New York 11530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(516) 683-6000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192" w:type="dxa"/>
        <w:jc w:val="center"/>
        <w:tblInd w:w="0" w:type="dxa"/>
        <w:tblLayout w:type="fixed"/>
        <w:tblCellMar>
          <w:top w:w="28" w:type="dxa"/>
          <w:left w:w="28" w:type="dxa"/>
          <w:bottom w:w="28" w:type="dxa"/>
          <w:right w:w="28" w:type="dxa"/>
        </w:tblCellMar>
      </w:tblPr>
      <w:tblGrid>
        <w:gridCol w:w="981"/>
        <w:gridCol w:w="861"/>
        <w:gridCol w:w="872"/>
        <w:gridCol w:w="109"/>
        <w:gridCol w:w="109"/>
        <w:gridCol w:w="109"/>
        <w:gridCol w:w="274"/>
        <w:gridCol w:w="274"/>
        <w:gridCol w:w="276"/>
        <w:gridCol w:w="109"/>
        <w:gridCol w:w="109"/>
        <w:gridCol w:w="109"/>
        <w:gridCol w:w="878"/>
        <w:gridCol w:w="878"/>
        <w:gridCol w:w="124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27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July 31, 2026 was 22,988,836.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4"/>
        <w:gridCol w:w="250"/>
        <w:gridCol w:w="254"/>
        <w:gridCol w:w="2909"/>
        <w:gridCol w:w="2843"/>
        <w:gridCol w:w="2852"/>
        <w:gridCol w:w="237"/>
        <w:gridCol w:w="237"/>
        <w:gridCol w:w="339"/>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 No.</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0">
              <w:r>
                <w:rPr>
                  <w:rStyle w:val="InternetLink"/>
                  <w:rFonts w:ascii="Times New Roman;serif" w:hAnsi="Times New Roman;serif"/>
                  <w:b/>
                  <w:color w:val="0000FF"/>
                  <w:sz w:val="20"/>
                  <w:u w:val="single"/>
                </w:rPr>
                <w:t>Financial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3">
              <w:r>
                <w:rPr>
                  <w:rStyle w:val="InternetLink"/>
                  <w:rFonts w:ascii="Times New Roman;serif" w:hAnsi="Times New Roman;serif"/>
                  <w:b w:val="false"/>
                  <w:color w:val="0000FF"/>
                  <w:sz w:val="20"/>
                  <w:u w:val="single"/>
                </w:rPr>
                <w:t>Financial Statements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6">
              <w:r>
                <w:rPr>
                  <w:rStyle w:val="InternetLink"/>
                  <w:rFonts w:ascii="Times New Roman;serif" w:hAnsi="Times New Roman;serif"/>
                  <w:b w:val="false"/>
                  <w:color w:val="000080"/>
                  <w:sz w:val="20"/>
                  <w:u w:val="single"/>
                </w:rPr>
                <w:t xml:space="preserve">Condensed Consolidated Balance Sheets – </w:t>
              </w:r>
            </w:hyperlink>
            <w:r>
              <w:rPr>
                <w:rFonts w:ascii="Times New Roman;serif" w:hAnsi="Times New Roman;serif"/>
                <w:b w:val="false"/>
                <w:color w:val="0000FF"/>
                <w:sz w:val="20"/>
                <w:u w:val="single"/>
              </w:rPr>
              <w:t>June 30, 2026</w:t>
            </w:r>
            <w:hyperlink w:anchor="i0fd1c4b0c070444f84c4839dc0dfee77_16">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FF"/>
                <w:sz w:val="20"/>
                <w:u w:val="single"/>
              </w:rPr>
              <w:t>December 31, 2025</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16">
              <w:r>
                <w:rPr>
                  <w:rStyle w:val="InternetLink"/>
                  <w:rFonts w:ascii="Times New Roman;serif" w:hAnsi="Times New Roman;serif"/>
                  <w:b w:val="false"/>
                  <w:color w:val="0000FF"/>
                  <w:sz w:val="20"/>
                  <w:u w:val="single"/>
                </w:rPr>
                <w:t>2</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9">
              <w:r>
                <w:rPr>
                  <w:rStyle w:val="InternetLink"/>
                  <w:rFonts w:ascii="Times New Roman;serif" w:hAnsi="Times New Roman;serif"/>
                  <w:b w:val="false"/>
                  <w:color w:val="000080"/>
                  <w:sz w:val="20"/>
                  <w:u w:val="single"/>
                </w:rPr>
                <w:t xml:space="preserve">Condensed Consolidated Statements of Operations (unaudited) – </w:t>
              </w:r>
            </w:hyperlink>
            <w:r>
              <w:rPr>
                <w:rFonts w:ascii="Times New Roman;serif" w:hAnsi="Times New Roman;serif"/>
                <w:b w:val="false"/>
                <w:color w:val="0000FF"/>
                <w:sz w:val="20"/>
                <w:u w:val="single"/>
              </w:rPr>
              <w:t>Three and Six Months Ended</w:t>
            </w:r>
            <w:hyperlink w:anchor="i0fd1c4b0c070444f84c4839dc0dfee77_1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June 30, 2026</w:t>
            </w:r>
            <w:hyperlink w:anchor="i0fd1c4b0c070444f84c4839dc0dfee77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2025</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19">
              <w:r>
                <w:rPr>
                  <w:rStyle w:val="InternetLink"/>
                  <w:rFonts w:ascii="Times New Roman;serif" w:hAnsi="Times New Roman;serif"/>
                  <w:b w:val="false"/>
                  <w:color w:val="0000FF"/>
                  <w:sz w:val="20"/>
                  <w:u w:val="single"/>
                </w:rPr>
                <w:t>3</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22">
              <w:r>
                <w:rPr>
                  <w:rStyle w:val="InternetLink"/>
                  <w:rFonts w:ascii="Times New Roman;serif" w:hAnsi="Times New Roman;serif"/>
                  <w:b w:val="false"/>
                  <w:color w:val="000080"/>
                  <w:sz w:val="20"/>
                  <w:u w:val="single"/>
                </w:rPr>
                <w:t xml:space="preserve">Condensed Consolidated Statements of Comprehensive </w:t>
              </w:r>
            </w:hyperlink>
            <w:r>
              <w:rPr>
                <w:rFonts w:ascii="Times New Roman;serif" w:hAnsi="Times New Roman;serif"/>
                <w:b w:val="false"/>
                <w:color w:val="0000FF"/>
                <w:sz w:val="20"/>
                <w:u w:val="single"/>
              </w:rPr>
              <w:t>Income (Loss) (unaudited) – Three and Six Months Ended June 30, 2026 and 2025</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22">
              <w:r>
                <w:rPr>
                  <w:rStyle w:val="InternetLink"/>
                  <w:rFonts w:ascii="Times New Roman;serif" w:hAnsi="Times New Roman;serif"/>
                  <w:b w:val="false"/>
                  <w:color w:val="0000FF"/>
                  <w:sz w:val="20"/>
                  <w:u w:val="single"/>
                </w:rPr>
                <w:t>4</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25">
              <w:r>
                <w:rPr>
                  <w:rStyle w:val="InternetLink"/>
                  <w:rFonts w:ascii="Times New Roman;serif" w:hAnsi="Times New Roman;serif"/>
                  <w:b w:val="false"/>
                  <w:color w:val="000080"/>
                  <w:sz w:val="20"/>
                  <w:u w:val="single"/>
                </w:rPr>
                <w:t>Condensed Consolidated Statements of Stockholders’ Equity (unaudited) –</w:t>
              </w:r>
            </w:hyperlink>
            <w:r>
              <w:rPr>
                <w:rFonts w:ascii="Times New Roman;serif" w:hAnsi="Times New Roman;serif"/>
                <w:b w:val="false"/>
                <w:color w:val="0000FF"/>
                <w:sz w:val="20"/>
                <w:u w:val="single"/>
              </w:rPr>
              <w:t>Three and Six Months Ended June 30, 2026 and 2025</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25">
              <w:r>
                <w:rPr>
                  <w:rStyle w:val="InternetLink"/>
                  <w:rFonts w:ascii="Times New Roman;serif" w:hAnsi="Times New Roman;serif"/>
                  <w:b w:val="false"/>
                  <w:color w:val="0000FF"/>
                  <w:sz w:val="20"/>
                  <w:u w:val="single"/>
                </w:rPr>
                <w:t>5</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28">
              <w:r>
                <w:rPr>
                  <w:rStyle w:val="InternetLink"/>
                  <w:rFonts w:ascii="Times New Roman;serif" w:hAnsi="Times New Roman;serif"/>
                  <w:b w:val="false"/>
                  <w:color w:val="000080"/>
                  <w:sz w:val="20"/>
                  <w:u w:val="single"/>
                </w:rPr>
                <w:t>Condensed Consolidated Statements of Cash Flows (unaudited) –</w:t>
              </w:r>
            </w:hyperlink>
            <w:r>
              <w:rPr>
                <w:rFonts w:ascii="Times New Roman;serif" w:hAnsi="Times New Roman;serif"/>
                <w:b w:val="false"/>
                <w:color w:val="0000FF"/>
                <w:sz w:val="20"/>
                <w:u w:val="single"/>
              </w:rPr>
              <w:t xml:space="preserve"> Six Months Ended June 30, 2026 and 2025</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28">
              <w:r>
                <w:rPr>
                  <w:rStyle w:val="InternetLink"/>
                  <w:rFonts w:ascii="Times New Roman;serif" w:hAnsi="Times New Roman;serif"/>
                  <w:b w:val="false"/>
                  <w:color w:val="0000FF"/>
                  <w:sz w:val="20"/>
                  <w:u w:val="single"/>
                </w:rPr>
                <w:t>6</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31">
              <w:r>
                <w:rPr>
                  <w:rStyle w:val="InternetLink"/>
                  <w:rFonts w:ascii="Times New Roman;serif" w:hAnsi="Times New Roman;serif"/>
                  <w:b w:val="false"/>
                  <w:color w:val="0000FF"/>
                  <w:sz w:val="20"/>
                  <w:u w:val="single"/>
                </w:rPr>
                <w:t>Notes to Condensed Consolidated Financial Statements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31">
              <w:r>
                <w:rPr>
                  <w:rStyle w:val="InternetLink"/>
                  <w:rFonts w:ascii="Times New Roman;serif" w:hAnsi="Times New Roman;serif"/>
                  <w:b w:val="false"/>
                  <w:color w:val="0000FF"/>
                  <w:sz w:val="20"/>
                  <w:u w:val="single"/>
                </w:rPr>
                <w:t>7</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79">
              <w:r>
                <w:rPr>
                  <w:rStyle w:val="InternetLink"/>
                  <w:rFonts w:ascii="Times New Roman;serif" w:hAnsi="Times New Roman;serif"/>
                  <w:b w:val="false"/>
                  <w:color w:val="0000FF"/>
                  <w:sz w:val="20"/>
                  <w:u w:val="single"/>
                </w:rPr>
                <w:t>30</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09">
              <w:r>
                <w:rPr>
                  <w:rStyle w:val="InternetLink"/>
                  <w:rFonts w:ascii="Times New Roman;serif" w:hAnsi="Times New Roman;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109">
              <w:r>
                <w:rPr>
                  <w:rStyle w:val="InternetLink"/>
                  <w:rFonts w:ascii="Times New Roman;serif" w:hAnsi="Times New Roman;serif"/>
                  <w:b w:val="false"/>
                  <w:color w:val="0000FF"/>
                  <w:sz w:val="20"/>
                  <w:u w:val="single"/>
                </w:rPr>
                <w:t>45</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12">
              <w:r>
                <w:rPr>
                  <w:rStyle w:val="InternetLink"/>
                  <w:rFonts w:ascii="Times New Roman;serif" w:hAnsi="Times New Roman;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112">
              <w:r>
                <w:rPr>
                  <w:rStyle w:val="InternetLink"/>
                  <w:rFonts w:ascii="Times New Roman;serif" w:hAnsi="Times New Roman;serif"/>
                  <w:b w:val="false"/>
                  <w:color w:val="0000FF"/>
                  <w:sz w:val="20"/>
                  <w:u w:val="single"/>
                </w:rPr>
                <w:t>45</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15">
              <w:r>
                <w:rPr>
                  <w:rStyle w:val="InternetLink"/>
                  <w:rFonts w:ascii="Times New Roman;serif" w:hAnsi="Times New Roman;serif"/>
                  <w:b/>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18">
              <w:r>
                <w:rPr>
                  <w:rStyle w:val="InternetLink"/>
                  <w:rFonts w:ascii="Times New Roman;serif" w:hAnsi="Times New Roman;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115">
              <w:r>
                <w:rPr>
                  <w:rStyle w:val="InternetLink"/>
                  <w:rFonts w:ascii="Times New Roman;serif" w:hAnsi="Times New Roman;serif"/>
                  <w:b w:val="false"/>
                  <w:color w:val="0000FF"/>
                  <w:sz w:val="20"/>
                  <w:u w:val="single"/>
                </w:rPr>
                <w:t>45</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04" w:type="dxa"/>
            <w:gridSpan w:val="3"/>
            <w:tcBorders/>
            <w:tcMar>
              <w:top w:w="0" w:type="dxa"/>
              <w:left w:w="0" w:type="dxa"/>
              <w:bottom w:w="0" w:type="dxa"/>
              <w:right w:w="0" w:type="dxa"/>
            </w:tcMar>
            <w:vAlign w:val="center"/>
          </w:tcPr>
          <w:p>
            <w:pPr>
              <w:pStyle w:val="TableContents"/>
              <w:bidi w:val="0"/>
              <w:spacing w:lineRule="auto" w:line="240" w:before="360" w:after="283"/>
              <w:jc w:val="left"/>
              <w:rPr/>
            </w:pPr>
            <w:hyperlink w:anchor="i0fd1c4b0c070444f84c4839dc0dfee77_121">
              <w:r>
                <w:rPr>
                  <w:rStyle w:val="InternetLink"/>
                  <w:rFonts w:ascii="Times New Roman;serif" w:hAnsi="Times New Roman;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121">
              <w:r>
                <w:rPr>
                  <w:rStyle w:val="InternetLink"/>
                  <w:rFonts w:ascii="Times New Roman;serif" w:hAnsi="Times New Roman;serif"/>
                  <w:b w:val="false"/>
                  <w:color w:val="0000FF"/>
                  <w:sz w:val="20"/>
                  <w:u w:val="single"/>
                </w:rPr>
                <w:t>45</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8604"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8604"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8604"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27">
              <w:r>
                <w:rPr>
                  <w:rStyle w:val="InternetLink"/>
                  <w:rFonts w:ascii="Times New Roman;serif" w:hAnsi="Times New Roman;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127">
              <w:r>
                <w:rPr>
                  <w:rStyle w:val="InternetLink"/>
                  <w:rFonts w:ascii="Times New Roman;serif" w:hAnsi="Times New Roman;serif"/>
                  <w:b w:val="false"/>
                  <w:color w:val="0000FF"/>
                  <w:sz w:val="20"/>
                  <w:u w:val="single"/>
                </w:rPr>
                <w:t>45</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30">
              <w:r>
                <w:rPr>
                  <w:rStyle w:val="InternetLink"/>
                  <w:rFonts w:ascii="Times New Roman;serif" w:hAnsi="Times New Roman;serif"/>
                  <w:b w:val="false"/>
                  <w:color w:val="0000FF"/>
                  <w:sz w:val="20"/>
                  <w:u w:val="singl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130">
              <w:r>
                <w:rPr>
                  <w:rStyle w:val="InternetLink"/>
                  <w:rFonts w:ascii="Times New Roman;serif" w:hAnsi="Times New Roman;serif"/>
                  <w:b w:val="false"/>
                  <w:color w:val="0000FF"/>
                  <w:sz w:val="20"/>
                  <w:u w:val="single"/>
                </w:rPr>
                <w:t>46</w:t>
              </w:r>
            </w:hyperlink>
          </w:p>
        </w:tc>
      </w:tr>
      <w:tr>
        <w:trPr/>
        <w:tc>
          <w:tcPr>
            <w:tcW w:w="93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fd1c4b0c070444f84c4839dc0dfee77_133">
              <w:r>
                <w:rPr>
                  <w:rStyle w:val="InternetLink"/>
                  <w:rFonts w:ascii="Times New Roman;serif" w:hAnsi="Times New Roman;serif"/>
                  <w:b w:val="false"/>
                  <w:color w:val="0000FF"/>
                  <w:sz w:val="20"/>
                  <w:u w:val="single"/>
                </w:rPr>
                <w:t>Signatures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1c4b0c070444f84c4839dc0dfee77_133">
              <w:r>
                <w:rPr>
                  <w:rStyle w:val="InternetLink"/>
                  <w:rFonts w:ascii="Times New Roman;serif" w:hAnsi="Times New Roman;serif"/>
                  <w:b w:val="false"/>
                  <w:color w:val="0000FF"/>
                  <w:sz w:val="20"/>
                  <w:u w:val="single"/>
                </w:rPr>
                <w:t>47</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23"/>
        <w:gridCol w:w="2253"/>
        <w:gridCol w:w="2263"/>
        <w:gridCol w:w="211"/>
        <w:gridCol w:w="826"/>
        <w:gridCol w:w="109"/>
        <w:gridCol w:w="109"/>
        <w:gridCol w:w="109"/>
        <w:gridCol w:w="109"/>
        <w:gridCol w:w="211"/>
        <w:gridCol w:w="826"/>
        <w:gridCol w:w="156"/>
      </w:tblGrid>
      <w:tr>
        <w:trPr/>
        <w:tc>
          <w:tcPr>
            <w:tcW w:w="3023"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$10,538 at June 30, 2026 and $11,970 at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373,893 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maturity of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maturity of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131,303 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$1.00 par value, shares authorized: 100 shares of Series A and 2,000,000 shares of Series B; none issued and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shares authorized: 50,000,000 at June 30, 2026 and December 31, 2025; shares issued and outstanding: 22,988,836 at June 30, 2026 and 22,654,207 at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35"/>
        <w:gridCol w:w="1418"/>
        <w:gridCol w:w="14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5"/>
      </w:tblGrid>
      <w:tr>
        <w:trPr/>
        <w:tc>
          <w:tcPr>
            <w:tcW w:w="163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gain (loss) on interest rate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INCOME (LOSS) PER COMMON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INCOME (LOSS) PER COMMON SHARE</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389" w:type="dxa"/>
        <w:jc w:val="center"/>
        <w:tblInd w:w="0" w:type="dxa"/>
        <w:tblLayout w:type="fixed"/>
        <w:tblCellMar>
          <w:top w:w="28" w:type="dxa"/>
          <w:left w:w="28" w:type="dxa"/>
          <w:bottom w:w="28" w:type="dxa"/>
          <w:right w:w="28" w:type="dxa"/>
        </w:tblCellMar>
      </w:tblPr>
      <w:tblGrid>
        <w:gridCol w:w="1466"/>
        <w:gridCol w:w="1286"/>
        <w:gridCol w:w="1297"/>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flow hedges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retirement benefit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(63,354)</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(18,045)</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202,277 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(69,132)</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(17,906)</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197,496 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285,571 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(50,533)</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(17,791)</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217,477 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(32,550)</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(18,315)</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229,923 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22,414 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(37,736)</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(18,023)</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225,676 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22,657 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282,252 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(78,426)</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(18,285)</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185,768 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Cash dividends declared per share of common stock were $0.085 and $0.085 in the six months ended June 30, 2026 and 2025, respectively.</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LIFETIME BRANDS,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728" w:type="dxa"/>
        <w:jc w:val="center"/>
        <w:tblInd w:w="0" w:type="dxa"/>
        <w:tblLayout w:type="fixed"/>
        <w:tblCellMar>
          <w:top w:w="28" w:type="dxa"/>
          <w:left w:w="28" w:type="dxa"/>
          <w:bottom w:w="28" w:type="dxa"/>
          <w:right w:w="28" w:type="dxa"/>
        </w:tblCellMar>
      </w:tblPr>
      <w:tblGrid>
        <w:gridCol w:w="2609"/>
        <w:gridCol w:w="2292"/>
        <w:gridCol w:w="2298"/>
        <w:gridCol w:w="211"/>
        <w:gridCol w:w="721"/>
        <w:gridCol w:w="109"/>
        <w:gridCol w:w="109"/>
        <w:gridCol w:w="109"/>
        <w:gridCol w:w="109"/>
        <w:gridCol w:w="211"/>
        <w:gridCol w:w="796"/>
        <w:gridCol w:w="154"/>
      </w:tblGrid>
      <w:tr>
        <w:trPr/>
        <w:tc>
          <w:tcPr>
            <w:tcW w:w="260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(gain) loss on interest rate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assets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20"/>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 withholding for 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on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 AND SUMMARY OF ACCOUNTING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Organization and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 (“the Company”) designs, sources and sells branded kitchenware, tableware and other home solution products used in the home and markets its products under a number of widely-recognized brand names and trademarks, which are either owned or licensed by the Company or through retailers’ private labels and their licensed brands. The Company’s products, which are targeted primarily to consumers purchasing moderately priced kitchenware, tableware and housewares, are sold through nearly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selection of its products directly to consumers through its own websites.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consolidated financial statements and footnotes thereto included in the Company’s Annual Report on Form 10-K for the fiscal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results for the three and six months ended June 30, 2026 are not necessarily indicative of the results that may be expected for the year ending December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2025 and 2024, net sales for the third and fourth quarters accounted for 58% of total annual net sales, for both periods. In anticipation of the pre-holiday shipping season, inventory levels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laws and regulations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U.S. Supreme Court held that the U.S. administration’s imposition of tariffs pursuant to the International Emergency Economic Powers Act (“IEEPA”) was unlawful. The U.S. Customs and Border Protection ("CBP") has launched Phase One and Phase Two of the IEEPA refunds claims process. During the three months ended June 30, 2026, the Company concluded that $40.1 million of tariff refunds were probable of being recovered and recognized the refund as a reduction to cost of goods sold of $40.1 million in the condensed consolidated financial statements. Awarded interest related to tariff refunds is recognized in the period in which it is realized. As of June 30, 2026, the Company received $3.5 million and recorded $36.6 million of outstanding IEEPA tariff receivables within prepaid and other current assets in the condensed consolidated balance sheet. Subsequent to the balance sheet date, the Company received an additional $32.9 million in tariff refunds.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consumers. Wholesale sales and retail sales are primarily recognized at the point in time when the customer obtains control of the products, in an amount that reflects the consideration the Company expects to be entitled to in exchange for those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sales consist primarily of costs associated with the production and procurement of product, inbound freight costs, purchasing costs, handling costs, duties and tariffs, royalties, and other product procurement related charges.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consist primarily of warehousing expenses and freight-out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maintains an allowance for anticipated customer deductions. Contractual deductions for incentives and promotions granted to customers such as cooperative advertising, are recorded as a reduction to accounts receivable at the time of sale. These deductions are primarily fixed amounts; however, in certain cases, these deductions are not fixed and, therefore, the allowance is estimated based on currently available information and historical trends of deductions.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Receivable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and six months ended June 30, 2026 and June 30,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$16.8 million of accounts receivable were available for sale to HSBC, net of applicable charges.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costs of completion, disposal and transportation.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were as follows (in thousands):</w:t>
      </w:r>
    </w:p>
    <w:tbl>
      <w:tblPr>
        <w:tblW w:w="4441"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73"/>
        <w:gridCol w:w="1072"/>
        <w:gridCol w:w="19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185,157 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197,074 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194,046 </w:t>
            </w:r>
          </w:p>
        </w:tc>
        <w:tc>
          <w:tcPr>
            <w:tcW w:w="1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5 — DEBT to the unaudited condensed consolidated financial statements included in this Quarterly Report on Form 10-Q) approximate fair value since such borrowings bear interest at variable market rates.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rPr/>
      </w:pPr>
      <w:r>
        <w:rPr>
          <w:rFonts w:ascii="Times New Roman;serif" w:hAnsi="Times New Roman;serif"/>
          <w:b w:val="false"/>
          <w:color w:val="000000"/>
          <w:sz w:val="20"/>
        </w:rPr>
        <w:t xml:space="preserve">The Company accounts for derivative instruments in accordance with Accounting Standard Codification (“ASC”) Topic 815, </w:t>
      </w:r>
      <w:r>
        <w:rPr>
          <w:rFonts w:ascii="Times New Roman;serif" w:hAnsi="Times New Roman;serif"/>
          <w:b w:val="false"/>
          <w:i/>
          <w:color w:val="000000"/>
          <w:sz w:val="20"/>
        </w:rPr>
        <w:t>Derivatives and Hedging (</w:t>
      </w:r>
      <w:r>
        <w:rPr>
          <w:color w:val="000000"/>
        </w:rPr>
        <w:t>“</w:t>
      </w:r>
      <w:r>
        <w:rPr>
          <w:rFonts w:ascii="Times New Roman;serif" w:hAnsi="Times New Roman;serif"/>
          <w:b w:val="false"/>
          <w:color w:val="000000"/>
          <w:sz w:val="20"/>
        </w:rPr>
        <w:t>ASC 815”</w:t>
      </w:r>
      <w:r>
        <w:rPr>
          <w:rFonts w:ascii="Times New Roman;serif" w:hAnsi="Times New Roman;serif"/>
          <w:b w:val="false"/>
          <w:i/>
          <w:color w:val="000000"/>
          <w:sz w:val="20"/>
        </w:rPr>
        <w:t>)</w:t>
      </w:r>
      <w:r>
        <w:rPr>
          <w:rFonts w:ascii="Times New Roman;serif" w:hAnsi="Times New Roman;serif"/>
          <w:b w:val="false"/>
          <w:color w:val="000000"/>
          <w:sz w:val="20"/>
        </w:rPr>
        <w:t>. ASC 815 requires that all derivative instruments be recognized on the balance sheet at fair value as either an asset or liability. Changes in the fair value of derivatives that qualify as hedges and have been designated as part of a hedging relationship for accounting purposes are included in accumulated other comprehensive loss and are subsequently recognized in the Company’s unaudited condensed consolidated statements of operations in the same period that the hedged items are recognized in earnings. Changes in fair value of derivatives that do not qualify as hedging instruments for accounting purposes are recorded in the Company’s unaudited condensed consolidated statements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intangible assets and long-lived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had no recorded goodwill as of June 30,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 4 — INTANGIBLE ASSETS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incremental borrowing rate represents the rate required to borrow funds over a similar term to purchase the leased asset and is based on an unsecured borrowing rate and risk-adjusted to approximate a collateralized rate at the commencement date of the lease.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operating lease ROU asset may also include any lease payments made, adjusted for any prepaid or accrued rent payments, lease incentives, and initial direct costs incurred. Certain leases may include options to extend or terminate the lease. Periods to extend the lease are included in the lease term when the Company is reasonably certain that the extension option would be exercised, and the associated lease payments for such periods are reflected in the ROU asset and lease liability. Lease expense for minimum lease payments is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certain equipment leases, the Company applies a portfolio approach to effectively account for its ROU assets and lease liabilities. Leases with an initial term of twelve months or less are not recorded on the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expenses</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are recognized at fair value when the related liability is incurred. For severance and other employee-related costs, a liability is generally incurred on the date the restructuring plan is communicated to affected employees. In certain situations, severance or other employee-related benefits require employees to render service over a specified period in order to be eligible to receive the benefit, and that service period extends beyond a minimum retention period. In these circumstances, the fair value of the termination benefits is recognized ratably over the required service period, beginning on the communication date.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restructuring expenses for the three and six months ended June 30, 2026 related to the following activities: </w:t>
      </w:r>
    </w:p>
    <w:tbl>
      <w:tblPr>
        <w:tblW w:w="7261" w:type="dxa"/>
        <w:jc w:val="left"/>
        <w:tblInd w:w="0" w:type="dxa"/>
        <w:tblLayout w:type="fixed"/>
        <w:tblCellMar>
          <w:top w:w="28" w:type="dxa"/>
          <w:left w:w="28" w:type="dxa"/>
          <w:bottom w:w="28" w:type="dxa"/>
          <w:right w:w="28" w:type="dxa"/>
        </w:tblCellMar>
      </w:tblPr>
      <w:tblGrid>
        <w:gridCol w:w="946"/>
        <w:gridCol w:w="831"/>
        <w:gridCol w:w="833"/>
        <w:gridCol w:w="362"/>
        <w:gridCol w:w="1056"/>
        <w:gridCol w:w="187"/>
        <w:gridCol w:w="109"/>
        <w:gridCol w:w="1411"/>
        <w:gridCol w:w="109"/>
        <w:gridCol w:w="109"/>
        <w:gridCol w:w="109"/>
        <w:gridCol w:w="211"/>
        <w:gridCol w:w="616"/>
        <w:gridCol w:w="109"/>
        <w:gridCol w:w="109"/>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26" w:type="dxa"/>
            <w:gridSpan w:val="8"/>
            <w:tcBorders/>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526" w:type="dxa"/>
            <w:gridSpan w:val="8"/>
            <w:tcBorders/>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segment</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 facility relocation</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operations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segment</w:t>
            </w:r>
          </w:p>
        </w:tc>
        <w:tc>
          <w:tcPr>
            <w:tcW w:w="14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 Concord</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expenses</w:t>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Distribution Facility Relocation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announced the relocation of the Company’s East Coast distribution operations currently located in Robbinsville, NJ (the “Robbinsville Facility”) to Hagerstown, Maryland (the “Hagerstown Facility”). As a result of the relocation the Company will exit the Robbinsville Facility. During the three and six months ended June 30, 2026, the Company incurred $1.2 million and $2.4 million, respectively, related to employee severance expenses. The Company expects to complete the exit of the Robbinsville Facility by the fourth quarter of 2026 and expects additional exit costs of approximately $0.6 million related to employee severance and $2.7 million for other related costs.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Manufacturing Operations - Sterling Flatware &amp; Mexico Operations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2026, the Company approved a plan to close its manufacturing operations of its sterling flatware products. During the three months ended June 30, 2026, the Company incurred less than $0.1 million of employee severance expenses. During the six months ended June 30, 2026, the Company incurred $0.1 million of employee severance expenses and $0.6 million of other costs which consisted of an inventory provision on remaining raw materials inventory. The Company has completed the actions under this 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the Company approved a plan to close its manufacturing operations in Mexico. During the three and six months ended June 30, 2026, the Company incurred $0.3 million of employee severance expenses and $0.4 million of other costs which consisted of an inventory provision on remaining raw materials inventory and write-off of fixed assets that will be disposed.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Project Concord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International segment incurred severance expenses associated with the reorganization of the International segment's workforce. The reorganization is related to Project Concord and primarily affects the structure of the International segment's merchandising and sales workforce. During the three and six months ended June 30, 2026, the Company incurred less than $0.1 million and $0.2 million, respectively, of employee severance expenses. As of June 30, 2026, the Company expects that restructuring activities related to this project to be completed by the end of the fourth quarter of 2026 and expects to incur additional costs of $0.3 million related to employee severance.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accrued restructuring liability was $1.8 million, which was related to distribution facility relocation expenses. The accrued restructuring is expected to be paid by the end of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Updates not listed below were assessed and either determined not to be applicable or are expected to have a minimal effect on the Company’s financial position, results of operations, and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2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$0.6 million and $1.3 million, respectively, for the three and six months ended June 30, 2026 and $0.8 million and $1.4 million, respectively, for the three and six months ended June 30, 2025. Net sales exclude taxes that are collected from customers and remitted to the taxing authorities.</w:t>
      </w:r>
    </w:p>
    <w:p>
      <w:pPr>
        <w:pStyle w:val="TextBody"/>
        <w:bidi w:val="0"/>
        <w:spacing w:lineRule="auto" w:line="288" w:before="240" w:after="283"/>
        <w:jc w:val="left"/>
        <w:rPr/>
      </w:pPr>
      <w:r>
        <w:rPr>
          <w:rFonts w:ascii="Times New Roman;serif" w:hAnsi="Times New Roman;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unaudited condensed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w:t>
      </w:r>
      <w:r>
        <w:rPr>
          <w:rFonts w:ascii="Times New Roman;serif" w:hAnsi="Times New Roman;serif"/>
          <w:b w:val="false"/>
          <w:color w:val="000000"/>
          <w:sz w:val="20"/>
          <w:shd w:fill="FFFFFF" w:val="clear"/>
        </w:rPr>
        <w:t>Payment terms vary by customer, but generally range from 30 to 90 days or at the point of sale for the Company’s retail direct sale</w:t>
      </w:r>
      <w:r>
        <w:rPr>
          <w:rFonts w:ascii="Times New Roman;serif" w:hAnsi="Times New Roman;serif"/>
          <w:b w:val="false"/>
          <w:color w:val="000000"/>
          <w:sz w:val="20"/>
        </w:rPr>
        <w:t>s.</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incurs certain direct incremental costs to obtain contracts with customers, such as sales-related co</w:t>
      </w:r>
      <w:r>
        <w:rPr>
          <w:rFonts w:ascii="Times New Roman;serif" w:hAnsi="Times New Roman;serif"/>
          <w:b w:val="false"/>
          <w:color w:val="000000"/>
          <w:sz w:val="20"/>
        </w:rPr>
        <w:t xml:space="preserve">mmissions, where the recognition period for the related revenue is less than one year. These costs are expensed as incurred and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within selling, general and administrative expenses in the unaudited condensed consolidated statements of operations. Incidental items that are immaterial in the context of the contract are expensed as incurred.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net sales disaggregated by segment, product category and geographic region for the three and six months ended June 30, 2026 and 2025 (in thousands):</w:t>
      </w:r>
    </w:p>
    <w:tbl>
      <w:tblPr>
        <w:tblW w:w="7589"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segment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corporate offices, distribution facilities, a manufacturing plant, and certain vehicles.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and six months ended June 30, 2026 and 2025 were as follows (in thousands):</w:t>
      </w:r>
    </w:p>
    <w:tbl>
      <w:tblPr>
        <w:tblW w:w="7364"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Expenses are recorded within distribution expenses and selling, general and administrative expenses on the unaudited condensed consolidated statement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for lease related liabilities and assets for the six months ended June 30, 2026 and 2025 were as follows (in thousands):</w:t>
      </w:r>
    </w:p>
    <w:tbl>
      <w:tblPr>
        <w:tblW w:w="8532" w:type="dxa"/>
        <w:jc w:val="left"/>
        <w:tblInd w:w="0" w:type="dxa"/>
        <w:tblLayout w:type="fixed"/>
        <w:tblCellMar>
          <w:top w:w="28" w:type="dxa"/>
          <w:left w:w="28" w:type="dxa"/>
          <w:bottom w:w="28" w:type="dxa"/>
          <w:right w:w="28" w:type="dxa"/>
        </w:tblCellMar>
      </w:tblPr>
      <w:tblGrid>
        <w:gridCol w:w="2197"/>
        <w:gridCol w:w="1933"/>
        <w:gridCol w:w="1944"/>
        <w:gridCol w:w="211"/>
        <w:gridCol w:w="721"/>
        <w:gridCol w:w="109"/>
        <w:gridCol w:w="109"/>
        <w:gridCol w:w="109"/>
        <w:gridCol w:w="109"/>
        <w:gridCol w:w="109"/>
        <w:gridCol w:w="211"/>
        <w:gridCol w:w="616"/>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981" w:type="dxa"/>
            <w:gridSpan w:val="3"/>
            <w:tcBorders/>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Cash paid for amounts included in the measurement of</w:t>
            </w:r>
            <w:r>
              <w:rPr>
                <w:color w:val="000000"/>
              </w:rPr>
              <w:t xml:space="preserve"> </w:t>
            </w:r>
            <w:r>
              <w:rPr>
                <w:rFonts w:ascii="Times New Roman;serif" w:hAnsi="Times New Roman;serif"/>
                <w:b/>
                <w:color w:val="000000"/>
                <w:sz w:val="20"/>
              </w:rPr>
              <w:t>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618" w:type="dxa"/>
        <w:jc w:val="left"/>
        <w:tblInd w:w="0" w:type="dxa"/>
        <w:tblLayout w:type="fixed"/>
        <w:tblCellMar>
          <w:top w:w="28" w:type="dxa"/>
          <w:left w:w="28" w:type="dxa"/>
          <w:bottom w:w="28" w:type="dxa"/>
          <w:right w:w="28" w:type="dxa"/>
        </w:tblCellMar>
      </w:tblPr>
      <w:tblGrid>
        <w:gridCol w:w="1923"/>
        <w:gridCol w:w="1691"/>
        <w:gridCol w:w="1696"/>
        <w:gridCol w:w="211"/>
        <w:gridCol w:w="721"/>
        <w:gridCol w:w="109"/>
        <w:gridCol w:w="109"/>
        <w:gridCol w:w="109"/>
        <w:gridCol w:w="109"/>
        <w:gridCol w:w="109"/>
        <w:gridCol w:w="211"/>
        <w:gridCol w:w="466"/>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831" w:type="dxa"/>
            <w:gridSpan w:val="3"/>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right-of-use assets obtained include the right-of-use asset for the Hagerstown Facility lease, which commenced on April 30, 2026. The lease included a tenant improvement allowance of $5.1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future lease payments for operating leases as of June 30, 2026 were as follows (in thousands):</w:t>
      </w:r>
    </w:p>
    <w:tbl>
      <w:tblPr>
        <w:tblW w:w="5675" w:type="dxa"/>
        <w:jc w:val="left"/>
        <w:tblInd w:w="0" w:type="dxa"/>
        <w:tblLayout w:type="fixed"/>
        <w:tblCellMar>
          <w:top w:w="28" w:type="dxa"/>
          <w:left w:w="28" w:type="dxa"/>
          <w:bottom w:w="28" w:type="dxa"/>
          <w:right w:w="28" w:type="dxa"/>
        </w:tblCellMar>
      </w:tblPr>
      <w:tblGrid>
        <w:gridCol w:w="1623"/>
        <w:gridCol w:w="1426"/>
        <w:gridCol w:w="1435"/>
        <w:gridCol w:w="211"/>
        <w:gridCol w:w="82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Average lease terms and discount rates were as follows:</w:t>
      </w:r>
    </w:p>
    <w:tbl>
      <w:tblPr>
        <w:tblW w:w="5084" w:type="dxa"/>
        <w:jc w:val="left"/>
        <w:tblInd w:w="0" w:type="dxa"/>
        <w:tblLayout w:type="fixed"/>
        <w:tblCellMar>
          <w:top w:w="28" w:type="dxa"/>
          <w:left w:w="28" w:type="dxa"/>
          <w:bottom w:w="28" w:type="dxa"/>
          <w:right w:w="28" w:type="dxa"/>
        </w:tblCellMar>
      </w:tblPr>
      <w:tblGrid>
        <w:gridCol w:w="1416"/>
        <w:gridCol w:w="1243"/>
        <w:gridCol w:w="1255"/>
        <w:gridCol w:w="239"/>
        <w:gridCol w:w="239"/>
        <w:gridCol w:w="692"/>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637"/>
        <w:gridCol w:w="541"/>
        <w:gridCol w:w="546"/>
        <w:gridCol w:w="196"/>
        <w:gridCol w:w="736"/>
        <w:gridCol w:w="109"/>
        <w:gridCol w:w="109"/>
        <w:gridCol w:w="109"/>
        <w:gridCol w:w="109"/>
        <w:gridCol w:w="109"/>
        <w:gridCol w:w="109"/>
        <w:gridCol w:w="196"/>
        <w:gridCol w:w="794"/>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94"/>
        <w:gridCol w:w="109"/>
        <w:gridCol w:w="109"/>
        <w:gridCol w:w="109"/>
        <w:gridCol w:w="109"/>
        <w:gridCol w:w="196"/>
        <w:gridCol w:w="736"/>
        <w:gridCol w:w="157"/>
      </w:tblGrid>
      <w:tr>
        <w:trPr/>
        <w:tc>
          <w:tcPr>
            <w:tcW w:w="6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842" w:type="dxa"/>
            <w:gridSpan w:val="1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Goodwill</w:t>
            </w:r>
            <w:r>
              <w:rPr>
                <w:rFonts w:ascii="Times New Roman;serif" w:hAnsi="Times New Roman;serif"/>
                <w:b/>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132,922 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net value at June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6"/>
        </w:rPr>
        <w:t>December 31, 2025 reflect a reduction of $113.0 million impairment charges within U.S. segment and $11.9 million impairment charges within International segment.</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Goodwill impairment test</w:t>
      </w:r>
    </w:p>
    <w:p>
      <w:pPr>
        <w:pStyle w:val="TextBody"/>
        <w:bidi w:val="0"/>
        <w:spacing w:lineRule="auto" w:line="288" w:before="120" w:after="283"/>
        <w:jc w:val="left"/>
        <w:rPr/>
      </w:pPr>
      <w:r>
        <w:rPr>
          <w:rFonts w:ascii="Times New Roman;serif" w:hAnsi="Times New Roman;serif"/>
          <w:b w:val="false"/>
          <w:color w:val="000000"/>
          <w:sz w:val="20"/>
          <w:shd w:fill="FFFFFF" w:val="clear"/>
        </w:rPr>
        <w:t>In the second quarter of 2025, the Company observed a sustained decline in the market valuation of the Company</w:t>
      </w:r>
      <w:r>
        <w:rPr>
          <w:color w:val="000000"/>
        </w:rPr>
        <w:t>’</w:t>
      </w:r>
      <w:r>
        <w:rPr>
          <w:rFonts w:ascii="Times New Roman;serif" w:hAnsi="Times New Roman;serif"/>
          <w:b w:val="false"/>
          <w:color w:val="000000"/>
          <w:sz w:val="20"/>
          <w:shd w:fill="FFFFFF" w:val="clear"/>
        </w:rPr>
        <w:t>s common stock. Additionally, the Company</w:t>
      </w:r>
      <w:r>
        <w:rPr>
          <w:color w:val="000000"/>
        </w:rPr>
        <w:t>’</w:t>
      </w:r>
      <w:r>
        <w:rPr>
          <w:rFonts w:ascii="Times New Roman;serif" w:hAnsi="Times New Roman;serif"/>
          <w:b w:val="false"/>
          <w:color w:val="000000"/>
          <w:sz w:val="20"/>
          <w:shd w:fill="FFFFFF" w:val="clear"/>
        </w:rPr>
        <w:t xml:space="preserve">s near term forecasts for the U.S. reporting unit were revised downward due to changes in retailer and consumer buying patterns, which were impacted by the recent changes in the U.S. tariff policies. Based on these factors the Company concluded that impairment indicators for the U.S. reporting unit were present as of June 30, 2025. </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performed an interim impairment test of the goodwill in the U.S. reporting unit as of June 30, 2025 by comparing its fair value with its carrying value. The analysis was performed by using a discounted cash flow and market multiple method. Accordingly, this fair value measurement is classified as Level 3 since it is based primarily on unobservable inputs. Based upon the analysis per</w:t>
      </w:r>
      <w:r>
        <w:rPr>
          <w:rFonts w:ascii="Times New Roman;serif" w:hAnsi="Times New Roman;serif"/>
          <w:b w:val="false"/>
          <w:color w:val="000000"/>
          <w:sz w:val="20"/>
        </w:rPr>
        <w:t>formed, the Company’s U.S. reporting unit goodwill was fully impaired and a $33.2 million non-cash goodwill impairment charge was recognized. The goodwill impairment charge was the result of the decline in the Company’s near term forecasts that were revised downward due to the changes in retailer and consumer buying patterns and an increase to the company-specific risk premium, which is an input to the cost of capital assumption, to address the potential risks in the long-term forecast.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 The ABL Agreement is subject to an earlier springing maturity date of May 28, 2027, 90 days prior to the Term Loan maturity date of August 26, 2027, if the Company’s Term Loan has not been repaid or refinanced by such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had an initial principal amount of $150.0 million, and matures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requires the Company to make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Under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maximum borrowing amount under the ABL Agreement may be increased up to $250.0 million if certain conditions are met. One or more tranches of additional term loans (the “Incremental Term Facilities”) may be added under the Term Loan if certain conditions are met. The Incremental Term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total availability under the ABL Agreement were as follows (in thousands):</w:t>
      </w:r>
    </w:p>
    <w:tbl>
      <w:tblPr>
        <w:tblW w:w="7344" w:type="dxa"/>
        <w:jc w:val="left"/>
        <w:tblInd w:w="0" w:type="dxa"/>
        <w:tblLayout w:type="fixed"/>
        <w:tblCellMar>
          <w:top w:w="28" w:type="dxa"/>
          <w:left w:w="28" w:type="dxa"/>
          <w:bottom w:w="28" w:type="dxa"/>
          <w:right w:w="28" w:type="dxa"/>
        </w:tblCellMar>
      </w:tblPr>
      <w:tblGrid>
        <w:gridCol w:w="1429"/>
        <w:gridCol w:w="1254"/>
        <w:gridCol w:w="1262"/>
        <w:gridCol w:w="109"/>
        <w:gridCol w:w="109"/>
        <w:gridCol w:w="109"/>
        <w:gridCol w:w="217"/>
        <w:gridCol w:w="817"/>
        <w:gridCol w:w="121"/>
        <w:gridCol w:w="109"/>
        <w:gridCol w:w="109"/>
        <w:gridCol w:w="109"/>
        <w:gridCol w:w="287"/>
        <w:gridCol w:w="1077"/>
        <w:gridCol w:w="226"/>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179,936 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185,588 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Outstanding borrowings under the ABL Agreement</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128,264 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119,919 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(1) At June 30, 2026, the outstanding principal under the ABL Agreement is classified as current in the condensed consolidated balance sheet as the springing maturity of the ABL Agreement falls due in the next 12 months.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June 30, 2026, the availability under the ABL Agreement was $128.3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included in the condensed consolidated balance sheets were as follows (in thousands):</w:t>
      </w:r>
    </w:p>
    <w:tbl>
      <w:tblPr>
        <w:tblW w:w="6872"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217"/>
        <w:gridCol w:w="817"/>
        <w:gridCol w:w="121"/>
        <w:gridCol w:w="109"/>
        <w:gridCol w:w="109"/>
        <w:gridCol w:w="109"/>
        <w:gridCol w:w="291"/>
        <w:gridCol w:w="1093"/>
        <w:gridCol w:w="161"/>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110,332 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made a voluntary prepayment under the Term Loan of $20.0 million. The prepayment was applied to reduce the outstanding principal and satisfied remaining quarterly payments due under the loan. Subsequent to June 30, 2026, the Company made a second voluntary prepayment of $20.0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estimates that no Excess Cash Flow payment will be due for 2026. For the year ended December 31, 2025, there was no Excess Cash Flow payment due for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June 30, 2026 was between 5.10% and 7.13%. The Company paid a commitment fee of 0.25% on the unused portion of the ABL Agreement during the six months ended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June 30, 2026 was 9.27%.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to borrow, subject to availability, and repay funds under the ABL Agreement based on working capital and other corporate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NOTE 6</w:t>
      </w:r>
      <w:r>
        <w:rPr>
          <w:color w:val="000000"/>
        </w:rPr>
        <w:t xml:space="preserve"> — </w:t>
      </w:r>
      <w:r>
        <w:rPr>
          <w:rFonts w:ascii="Times New Roman;serif" w:hAnsi="Times New Roman;serif"/>
          <w:b/>
          <w:color w:val="000000"/>
          <w:sz w:val="20"/>
        </w:rPr>
        <w:t xml:space="preserve">DERIVATIVES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of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interest rate swap agreements, each with an aggregate notional value of $25.0 million and expiring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June 30,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Exchange Contracts </w:t>
      </w:r>
    </w:p>
    <w:p>
      <w:pPr>
        <w:pStyle w:val="TextBody"/>
        <w:bidi w:val="0"/>
        <w:spacing w:lineRule="auto" w:line="288" w:before="120" w:after="283"/>
        <w:jc w:val="left"/>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w:t>
      </w:r>
      <w:r>
        <w:rPr>
          <w:color w:val="000000"/>
        </w:rPr>
        <w:t xml:space="preserve"> </w:t>
      </w:r>
      <w:r>
        <w:rPr>
          <w:rFonts w:ascii="Times New Roman;serif" w:hAnsi="Times New Roman;serif"/>
          <w:b w:val="false"/>
          <w:color w:val="000000"/>
          <w:sz w:val="20"/>
        </w:rPr>
        <w:t>The Company designates these contracts for accounting purposes as cash flow hedges. The Company purchases foreign currency forward contracts with terms of less than 18 months. The aggregate gross notional value of foreign exchange contracts at June 30, 2026 was zero.</w:t>
      </w:r>
    </w:p>
    <w:p>
      <w:pPr>
        <w:pStyle w:val="TextBody"/>
        <w:bidi w:val="0"/>
        <w:spacing w:before="120" w:after="283"/>
        <w:jc w:val="left"/>
        <w:rPr/>
      </w:pPr>
      <w:r>
        <w:rPr/>
      </w:r>
    </w:p>
    <w:tbl>
      <w:tblPr>
        <w:tblW w:w="8975" w:type="dxa"/>
        <w:jc w:val="left"/>
        <w:tblInd w:w="0" w:type="dxa"/>
        <w:tblLayout w:type="fixed"/>
        <w:tblCellMar>
          <w:top w:w="28" w:type="dxa"/>
          <w:left w:w="28" w:type="dxa"/>
          <w:bottom w:w="28" w:type="dxa"/>
          <w:right w:w="28" w:type="dxa"/>
        </w:tblCellMar>
      </w:tblPr>
      <w:tblGrid>
        <w:gridCol w:w="1352"/>
        <w:gridCol w:w="1189"/>
        <w:gridCol w:w="1193"/>
        <w:gridCol w:w="639"/>
        <w:gridCol w:w="639"/>
        <w:gridCol w:w="641"/>
        <w:gridCol w:w="109"/>
        <w:gridCol w:w="109"/>
        <w:gridCol w:w="109"/>
        <w:gridCol w:w="303"/>
        <w:gridCol w:w="652"/>
        <w:gridCol w:w="169"/>
        <w:gridCol w:w="109"/>
        <w:gridCol w:w="109"/>
        <w:gridCol w:w="109"/>
        <w:gridCol w:w="399"/>
        <w:gridCol w:w="828"/>
        <w:gridCol w:w="317"/>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of gains and losses, realized and unrealized, related to the Company’s derivative financial instruments designated as hedging instruments are recognized in other comprehensive income (loss), net of taxes, as follows (in thousands):</w:t>
      </w:r>
    </w:p>
    <w:tbl>
      <w:tblPr>
        <w:tblW w:w="7664" w:type="dxa"/>
        <w:jc w:val="left"/>
        <w:tblInd w:w="0" w:type="dxa"/>
        <w:tblLayout w:type="fixed"/>
        <w:tblCellMar>
          <w:top w:w="28" w:type="dxa"/>
          <w:left w:w="28" w:type="dxa"/>
          <w:bottom w:w="28" w:type="dxa"/>
          <w:right w:w="28" w:type="dxa"/>
        </w:tblCellMar>
      </w:tblPr>
      <w:tblGrid>
        <w:gridCol w:w="1338"/>
        <w:gridCol w:w="1172"/>
        <w:gridCol w:w="1179"/>
        <w:gridCol w:w="196"/>
        <w:gridCol w:w="406"/>
        <w:gridCol w:w="109"/>
        <w:gridCol w:w="109"/>
        <w:gridCol w:w="109"/>
        <w:gridCol w:w="109"/>
        <w:gridCol w:w="196"/>
        <w:gridCol w:w="496"/>
        <w:gridCol w:w="109"/>
        <w:gridCol w:w="109"/>
        <w:gridCol w:w="109"/>
        <w:gridCol w:w="109"/>
        <w:gridCol w:w="196"/>
        <w:gridCol w:w="331"/>
        <w:gridCol w:w="109"/>
        <w:gridCol w:w="109"/>
        <w:gridCol w:w="109"/>
        <w:gridCol w:w="109"/>
        <w:gridCol w:w="196"/>
        <w:gridCol w:w="496"/>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Realized gains and losses on foreign exchange contracts that are reported in other comprehensive income (loss) are reclassified into cost of sales as the underlying inventory purchased is sold.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reclassified less than $0.1 million of cash flow hedges in accumulated other comprehensive losses to earnings, related to foreign exchange contracts recognized in cost of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reclassified $0.02 million and $0.1 million, respectively, of cash flow hedges in accumulated other comprehensive losses to earnings, related to foreign exchange contracts recognized in cost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 to market gain (loss) related to the Company’s derivative financial instruments not designated as hedging instruments that were recognized in earnings are as follows (in thousands):</w:t>
      </w:r>
    </w:p>
    <w:tbl>
      <w:tblPr>
        <w:tblW w:w="10205" w:type="dxa"/>
        <w:jc w:val="left"/>
        <w:tblInd w:w="0" w:type="dxa"/>
        <w:tblLayout w:type="fixed"/>
        <w:tblCellMar>
          <w:top w:w="28" w:type="dxa"/>
          <w:left w:w="28" w:type="dxa"/>
          <w:bottom w:w="28" w:type="dxa"/>
          <w:right w:w="28" w:type="dxa"/>
        </w:tblCellMar>
      </w:tblPr>
      <w:tblGrid>
        <w:gridCol w:w="1021"/>
        <w:gridCol w:w="895"/>
        <w:gridCol w:w="900"/>
        <w:gridCol w:w="1008"/>
        <w:gridCol w:w="1008"/>
        <w:gridCol w:w="1011"/>
        <w:gridCol w:w="109"/>
        <w:gridCol w:w="109"/>
        <w:gridCol w:w="109"/>
        <w:gridCol w:w="196"/>
        <w:gridCol w:w="421"/>
        <w:gridCol w:w="109"/>
        <w:gridCol w:w="109"/>
        <w:gridCol w:w="109"/>
        <w:gridCol w:w="109"/>
        <w:gridCol w:w="196"/>
        <w:gridCol w:w="472"/>
        <w:gridCol w:w="109"/>
        <w:gridCol w:w="109"/>
        <w:gridCol w:w="109"/>
        <w:gridCol w:w="109"/>
        <w:gridCol w:w="196"/>
        <w:gridCol w:w="421"/>
        <w:gridCol w:w="109"/>
        <w:gridCol w:w="109"/>
        <w:gridCol w:w="109"/>
        <w:gridCol w:w="109"/>
        <w:gridCol w:w="196"/>
        <w:gridCol w:w="472"/>
        <w:gridCol w:w="157"/>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3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0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gain (loss)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vAlign w:val="center"/>
          </w:tcPr>
          <w:p>
            <w:pPr>
              <w:pStyle w:val="TableContents"/>
              <w:bidi w:val="0"/>
              <w:spacing w:before="0" w:after="283"/>
              <w:jc w:val="left"/>
              <w:rPr>
                <w:sz w:val="4"/>
                <w:szCs w:val="4"/>
              </w:rPr>
            </w:pPr>
            <w:r>
              <w:rPr>
                <w:sz w:val="4"/>
                <w:szCs w:val="4"/>
              </w:rPr>
            </w:r>
          </w:p>
        </w:tc>
        <w:tc>
          <w:tcPr>
            <w:tcW w:w="3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7</w:t>
      </w:r>
      <w:r>
        <w:rPr>
          <w:color w:val="000000"/>
        </w:rPr>
        <w:t xml:space="preserve"> — </w:t>
      </w:r>
      <w:r>
        <w:rPr>
          <w:rFonts w:ascii="Times New Roman;serif" w:hAnsi="Times New Roman;serif"/>
          <w:b/>
          <w:color w:val="000000"/>
          <w:sz w:val="20"/>
        </w:rPr>
        <w:t>STOCK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18, 2026, the stockholders of the Company approved an amendment and restatement of the Company's Amended and Restated 2000 Long Term Incentive Plan (the "Plan"). The amendment and restatement of the Plan revised the terms and conditions of the Plan to, among other things, increase the shares available for grant under the Plan by 1,000,000 shares. As of June 30, 2026, there were 1,468,979 shares available for the grant of awards under the Plan, assuming maximum performance of performance-based awards.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Option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and related information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1835"/>
        <w:gridCol w:w="1597"/>
        <w:gridCol w:w="1600"/>
        <w:gridCol w:w="233"/>
        <w:gridCol w:w="503"/>
        <w:gridCol w:w="109"/>
        <w:gridCol w:w="109"/>
        <w:gridCol w:w="109"/>
        <w:gridCol w:w="109"/>
        <w:gridCol w:w="252"/>
        <w:gridCol w:w="717"/>
        <w:gridCol w:w="142"/>
        <w:gridCol w:w="109"/>
        <w:gridCol w:w="109"/>
        <w:gridCol w:w="109"/>
        <w:gridCol w:w="325"/>
        <w:gridCol w:w="325"/>
        <w:gridCol w:w="326"/>
        <w:gridCol w:w="109"/>
        <w:gridCol w:w="109"/>
        <w:gridCol w:w="109"/>
        <w:gridCol w:w="319"/>
        <w:gridCol w:w="686"/>
        <w:gridCol w:w="255"/>
      </w:tblGrid>
      <w:tr>
        <w:trPr/>
        <w:tc>
          <w:tcPr>
            <w:tcW w:w="1835"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 xml:space="preserve">value </w:t>
              <w:br/>
              <w:t>(in thousands)</w:t>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Options outstanding, January 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Expirations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Options outstanding, June 30, 2026</w:t>
            </w:r>
            <w:r>
              <w:rPr>
                <w:rFonts w:ascii="Times New Roman;serif" w:hAnsi="Times New Roman;serif"/>
                <w:b/>
                <w:color w:val="000000"/>
                <w:sz w:val="12"/>
              </w:rPr>
              <w:t>(1)</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769,125 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Options exercisable, June 30, 2026</w:t>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stock option expense remaining (in thousands)</w:t>
            </w:r>
          </w:p>
        </w:tc>
        <w:tc>
          <w:tcPr>
            <w:tcW w:w="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a non-plan stock option award of 15,000 stock options granted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total pre-tax intrinsic value that would have been received by the option holders had all option holders exercised their exercisable, in-the-money stock options on June 30, 2026. The intrinsic value is calculated for each in-the-money stock option as the difference between the closing price of the Company’s common stock on June 30, 2026 and the exercise price.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activity and related information for the six months ended June 30, 2026 is as follows:</w:t>
      </w:r>
    </w:p>
    <w:tbl>
      <w:tblPr>
        <w:tblW w:w="7791" w:type="dxa"/>
        <w:jc w:val="left"/>
        <w:tblInd w:w="0" w:type="dxa"/>
        <w:tblLayout w:type="fixed"/>
        <w:tblCellMar>
          <w:top w:w="28" w:type="dxa"/>
          <w:left w:w="28" w:type="dxa"/>
          <w:bottom w:w="28" w:type="dxa"/>
          <w:right w:w="28" w:type="dxa"/>
        </w:tblCellMar>
      </w:tblPr>
      <w:tblGrid>
        <w:gridCol w:w="1934"/>
        <w:gridCol w:w="1698"/>
        <w:gridCol w:w="1708"/>
        <w:gridCol w:w="210"/>
        <w:gridCol w:w="600"/>
        <w:gridCol w:w="113"/>
        <w:gridCol w:w="109"/>
        <w:gridCol w:w="109"/>
        <w:gridCol w:w="109"/>
        <w:gridCol w:w="288"/>
        <w:gridCol w:w="685"/>
        <w:gridCol w:w="228"/>
      </w:tblGrid>
      <w:tr>
        <w:trPr/>
        <w:tc>
          <w:tcPr>
            <w:tcW w:w="193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restricted shares, January 1, 2026</w:t>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885,925 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(486,977)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Forfeitures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restricted shares, June 30, 2026</w:t>
            </w:r>
          </w:p>
        </w:tc>
        <w:tc>
          <w:tcPr>
            <w:tcW w:w="8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743,132 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21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3,628 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that vested during the six months ended June 30, 2026 was $2.9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performance award represents the right to receive up to 150% of the target number of shares of common stock. The number of shares of common stock earned will be determined at the end of the performance period, based on the attainment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specified performance goals at the time of grant, as determined by the Compensation Committee of the Company’s board of directors (the “Board of Directors”). The shares are subject to the terms and conditions of the Company’s Plan.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award activity and related information for the six months ended June 30, 2026 is as follows:</w:t>
      </w:r>
    </w:p>
    <w:tbl>
      <w:tblPr>
        <w:tblW w:w="8007" w:type="dxa"/>
        <w:jc w:val="left"/>
        <w:tblInd w:w="0" w:type="dxa"/>
        <w:tblLayout w:type="fixed"/>
        <w:tblCellMar>
          <w:top w:w="28" w:type="dxa"/>
          <w:left w:w="28" w:type="dxa"/>
          <w:bottom w:w="28" w:type="dxa"/>
          <w:right w:w="28" w:type="dxa"/>
        </w:tblCellMar>
      </w:tblPr>
      <w:tblGrid>
        <w:gridCol w:w="1935"/>
        <w:gridCol w:w="1699"/>
        <w:gridCol w:w="1706"/>
        <w:gridCol w:w="259"/>
        <w:gridCol w:w="736"/>
        <w:gridCol w:w="144"/>
        <w:gridCol w:w="109"/>
        <w:gridCol w:w="109"/>
        <w:gridCol w:w="109"/>
        <w:gridCol w:w="288"/>
        <w:gridCol w:w="685"/>
        <w:gridCol w:w="228"/>
      </w:tblGrid>
      <w:tr>
        <w:trPr/>
        <w:tc>
          <w:tcPr>
            <w:tcW w:w="193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Performance-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based stock</w:t>
            </w:r>
          </w:p>
          <w:p>
            <w:pPr>
              <w:pStyle w:val="TableContents"/>
              <w:bidi w:val="0"/>
              <w:spacing w:lineRule="auto" w:line="240" w:before="0" w:after="0"/>
              <w:jc w:val="center"/>
              <w:rPr/>
            </w:pPr>
            <w:r>
              <w:rPr>
                <w:rFonts w:ascii="Times New Roman;serif" w:hAnsi="Times New Roman;serif"/>
                <w:b/>
                <w:color w:val="000000"/>
                <w:sz w:val="18"/>
              </w:rPr>
              <w:t xml:space="preserve">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performance-based awards, January 1, 2026</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730,797 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Forfeitures</w:t>
            </w:r>
            <w:r>
              <w:rPr>
                <w:rFonts w:ascii="Times New Roman;serif" w:hAnsi="Times New Roman;serif"/>
                <w:b w:val="false"/>
                <w:color w:val="000000"/>
                <w:sz w:val="12"/>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(187,280)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performance-based awards, June 30, 2026</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803,248 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the target number of shares to be issued for each performance-based award.</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Includes the forfeiture of performance-based awards granted in 2023 as the performance metric was not attained.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stock compensation expense as follows (in thousands):</w:t>
      </w:r>
    </w:p>
    <w:tbl>
      <w:tblPr>
        <w:tblW w:w="8549" w:type="dxa"/>
        <w:jc w:val="left"/>
        <w:tblInd w:w="0" w:type="dxa"/>
        <w:tblLayout w:type="fixed"/>
        <w:tblCellMar>
          <w:top w:w="28" w:type="dxa"/>
          <w:left w:w="28" w:type="dxa"/>
          <w:bottom w:w="28" w:type="dxa"/>
          <w:right w:w="28" w:type="dxa"/>
        </w:tblCellMar>
      </w:tblPr>
      <w:tblGrid>
        <w:gridCol w:w="1526"/>
        <w:gridCol w:w="1342"/>
        <w:gridCol w:w="1346"/>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 Components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based stock option expense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and performance-based stock awards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 for equity based awards</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based stock option expense</w:t>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 Compensation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—INCOME (LOSS) PER COMMON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income (loss) per common share has been computed by dividing net income (loss) by the weighted-average number of shares of the Company’s common stock outstanding during the relevant period. Diluted income (loss) per common share adjusts net income (loss) and basic income (loss) per common share for the effect of all potentially dilutive shares of the Company’s common stock. Anti-dilutive securities are not included in the computation of diluted earnings per share under the treasury stock method.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calculations of basic and diluted income (loss) per common share for the three and six months ended June 30, 2026 and 2025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745" w:type="dxa"/>
        <w:jc w:val="left"/>
        <w:tblInd w:w="0" w:type="dxa"/>
        <w:tblLayout w:type="fixed"/>
        <w:tblCellMar>
          <w:top w:w="28" w:type="dxa"/>
          <w:left w:w="28" w:type="dxa"/>
          <w:bottom w:w="28" w:type="dxa"/>
          <w:right w:w="28" w:type="dxa"/>
        </w:tblCellMar>
      </w:tblPr>
      <w:tblGrid>
        <w:gridCol w:w="1362"/>
        <w:gridCol w:w="1198"/>
        <w:gridCol w:w="1205"/>
        <w:gridCol w:w="196"/>
        <w:gridCol w:w="646"/>
        <w:gridCol w:w="109"/>
        <w:gridCol w:w="109"/>
        <w:gridCol w:w="109"/>
        <w:gridCol w:w="109"/>
        <w:gridCol w:w="196"/>
        <w:gridCol w:w="721"/>
        <w:gridCol w:w="109"/>
        <w:gridCol w:w="109"/>
        <w:gridCol w:w="109"/>
        <w:gridCol w:w="109"/>
        <w:gridCol w:w="196"/>
        <w:gridCol w:w="646"/>
        <w:gridCol w:w="109"/>
        <w:gridCol w:w="109"/>
        <w:gridCol w:w="109"/>
        <w:gridCol w:w="109"/>
        <w:gridCol w:w="196"/>
        <w:gridCol w:w="721"/>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Weighted-average shares outstanding – Basic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dilutive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Stock options and other stock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outstanding – Diluted</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Basic income (loss) per common share</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Diluted income (loss) per common share</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Antidilutive Securities</w:t>
            </w:r>
            <w:r>
              <w:rPr>
                <w:rFonts w:ascii="Times New Roman;serif" w:hAnsi="Times New Roman;serif"/>
                <w:b/>
                <w:color w:val="000000"/>
                <w:sz w:val="12"/>
              </w:rPr>
              <w:t>(1)</w:t>
            </w:r>
          </w:p>
        </w:tc>
        <w:tc>
          <w:tcPr>
            <w:tcW w:w="95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of $8.1 million and $6.4 million for the three and six months ended June 30, 2026, respectively, represent taxes on both U.S. and foreign earnings at a combined effective income tax rate of 29.2% and 30.2%, respectively. The effective tax rate for the three months ended June 30, 2026 differs from the federal statutory income tax rate of 21.0% primarily due to the impact of non-deductible expenses. The effective tax rate for the six months ended June 30, 2026 differs from the federal statutory income tax rate of 21.0% primarily due to foreign losses for which no tax benefit is recognized as such amounts are fully offset with a valuation allowance.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of $2.8 million and $2.9 million for the three and six months ended June 30, 2025, respectively, represent taxes on both U.S. and foreign earnings at a combined effective income tax benefit rate of 6.5% and 6.2%, respectively. The effective tax rate for the three and six months ended June 30, 2025 differs from the federal statutory income tax rate of 21.0% primarily due to a partial valuation allowance on U.S. deferred tax assets that are not more likely than not to be realized as a result of the goodwill impairment in the second quarter.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identified the following jurisdictions as “major” tax jurisdictions: U.S. Federal, California, New Jersey, New York and the United Kingdom.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its tax positions on a quarterly basis and revises its estimates accordingly. There were no material changes to the Company’s uncertain tax positions, interest, or penalties during the three-month periods ended June 30, 2026 and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(“OBBBA”) was enacted on July 4, 2025 with various provisions impacting the Company, none of which are material to the 2026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 BUSINESS SEGMENTS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Company’s Chief Executive Officer. The Company has segmented its operations to reflect the manner in which the CODM reviews and evaluates the results of its operations. The CODM allocates operating and capital resources and evaluates the performance of the Company’s segments based on segment net sales, segment gross margin, and segment income (loss) from operations. Such measures give recognition to specifically identifiable operating costs. Significant segment expenses that are included in segment operating income consist of cost of sales, distribution expenses (which include freight-out expenses and warehouse expenses) and selling, general and administrative expenses.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general and administrative expenses are not allocated to the Company’s segments as these represent corporate level activities and are reflected below as unallocated corporate expenses. These costs primarily include senior executive salaries and benefits, stock compensation, director fees and accounting, legal fees and consulting fees.</w:t>
      </w:r>
    </w:p>
    <w:tbl>
      <w:tblPr>
        <w:tblW w:w="8519" w:type="dxa"/>
        <w:jc w:val="left"/>
        <w:tblInd w:w="0" w:type="dxa"/>
        <w:tblLayout w:type="fixed"/>
        <w:tblCellMar>
          <w:top w:w="28" w:type="dxa"/>
          <w:left w:w="28" w:type="dxa"/>
          <w:bottom w:w="28" w:type="dxa"/>
          <w:right w:w="28" w:type="dxa"/>
        </w:tblCellMar>
      </w:tblPr>
      <w:tblGrid>
        <w:gridCol w:w="1054"/>
        <w:gridCol w:w="926"/>
        <w:gridCol w:w="92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Performance Measures:</w:t>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Unallocated corporate expense for the six months ended June 30, 2025 included a net legal settlement gain of $6.4 million. Details see NOTE 11 —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34"/>
        <w:gridCol w:w="1516"/>
        <w:gridCol w:w="1523"/>
        <w:gridCol w:w="211"/>
        <w:gridCol w:w="721"/>
        <w:gridCol w:w="109"/>
        <w:gridCol w:w="109"/>
        <w:gridCol w:w="109"/>
        <w:gridCol w:w="109"/>
        <w:gridCol w:w="211"/>
        <w:gridCol w:w="721"/>
        <w:gridCol w:w="109"/>
        <w:gridCol w:w="109"/>
        <w:gridCol w:w="109"/>
        <w:gridCol w:w="109"/>
        <w:gridCol w:w="226"/>
        <w:gridCol w:w="826"/>
        <w:gridCol w:w="109"/>
        <w:gridCol w:w="109"/>
        <w:gridCol w:w="109"/>
        <w:gridCol w:w="109"/>
        <w:gridCol w:w="226"/>
        <w:gridCol w:w="826"/>
        <w:gridCol w:w="156"/>
      </w:tblGrid>
      <w:tr>
        <w:trPr/>
        <w:tc>
          <w:tcPr>
            <w:tcW w:w="173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information for significant segment expenses:</w:t>
            </w:r>
          </w:p>
        </w:tc>
        <w:tc>
          <w:tcPr>
            <w:tcW w:w="54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Freight-out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freight-out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warehouse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 impairment: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Restructuring expenses: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left"/>
        <w:tblInd w:w="0" w:type="dxa"/>
        <w:tblLayout w:type="fixed"/>
        <w:tblCellMar>
          <w:top w:w="28" w:type="dxa"/>
          <w:left w:w="28" w:type="dxa"/>
          <w:bottom w:w="28" w:type="dxa"/>
          <w:right w:w="28" w:type="dxa"/>
        </w:tblCellMar>
      </w:tblPr>
      <w:tblGrid>
        <w:gridCol w:w="1103"/>
        <w:gridCol w:w="969"/>
        <w:gridCol w:w="97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4583" w:type="dxa"/>
        <w:jc w:val="left"/>
        <w:tblInd w:w="0" w:type="dxa"/>
        <w:tblLayout w:type="fixed"/>
        <w:tblCellMar>
          <w:top w:w="28" w:type="dxa"/>
          <w:left w:w="28" w:type="dxa"/>
          <w:bottom w:w="28" w:type="dxa"/>
          <w:right w:w="28" w:type="dxa"/>
        </w:tblCellMar>
      </w:tblPr>
      <w:tblGrid>
        <w:gridCol w:w="693"/>
        <w:gridCol w:w="611"/>
        <w:gridCol w:w="615"/>
        <w:gridCol w:w="211"/>
        <w:gridCol w:w="826"/>
        <w:gridCol w:w="109"/>
        <w:gridCol w:w="109"/>
        <w:gridCol w:w="109"/>
        <w:gridCol w:w="109"/>
        <w:gridCol w:w="211"/>
        <w:gridCol w:w="826"/>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11</w:t>
      </w:r>
      <w:r>
        <w:rPr>
          <w:color w:val="000000"/>
        </w:rPr>
        <w:t xml:space="preserve"> — </w:t>
      </w:r>
      <w:r>
        <w:rPr>
          <w:rFonts w:ascii="Times New Roman;serif" w:hAnsi="Times New Roman;serif"/>
          <w:b/>
          <w:color w:val="000000"/>
          <w:sz w:val="20"/>
        </w:rPr>
        <w:t>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Wallace EPA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volatile organic compounds (“VOCs”) present in the local drinking water supply.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In order to protect the health of its employees and continue its business operations, WSPR has implemented corrective action measures to respond to vapor intrusion, such as sealing the floors of the building and conducting periodic air monitoring to address potential exposure.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December 11, 2015, the EPA issued the Record of Decision (“ROD”) for an initial operable unit (“OU-1”), electing to implement its preferred remedy, which consists of soil vapor extraction (“SVE”) and dual-phase extraction/in-situ treatment. This selected remedy includes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investigation to a second operable unit (“OU-2”) to determine the nature and extent of the groundwater damage at and from the Site and to determine the nature of the remedial action needed to address the damage. The EPA requested access to the property occupied by WSPR to install monitoring wells and to undertake groundwater sampling as part of this expanded investigation. WSPR consented to the EPA’s access request, provided that the EPA received PRIDCO’s consent as the property owner. The EPA has also issued notices of potential liability to a number of other entities that historically used VOCs at the site.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expires on November 10, 2026.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2021, WSPR received a Notice of Liability for the Site from the Department of Justice on behalf of the EPA, and in September 2021, WSPR responded with a good faith offer to conduct additional testing and remedial design work for OU-1. WSPR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(“Decree”). On July 26, 2023, the U.S. Government filed a complaint in United States District Court for the District of Puerto Rico for the purpose of seeking judicial approval of the Decree. As required by applicable regulations, the U.S. Government simultaneously lodged the Decree for public comment. No comments were received during the public comment period. On September 6, 2023, at the conclusion of the public comment period, the U.S. Government filed a Motion to Enter the Decree, and the court entered the Decree on December 14, 2023, thereby effectuating the Decree. On January 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pPr>
      <w:r>
        <w:rPr>
          <w:rFonts w:ascii="Times New Roman;serif" w:hAnsi="Times New Roman;serif"/>
          <w:b w:val="false"/>
          <w:color w:val="000000"/>
          <w:sz w:val="20"/>
        </w:rPr>
        <w:t>2024, the EPA issued a notice to proceed with the OU-1 remedial work.</w:t>
      </w:r>
      <w:r>
        <w:rPr>
          <w:color w:val="000000"/>
        </w:rPr>
        <w:t xml:space="preserve"> </w:t>
      </w:r>
      <w:r>
        <w:rPr>
          <w:rFonts w:ascii="Times New Roman;serif" w:hAnsi="Times New Roman;serif"/>
          <w:b w:val="false"/>
          <w:color w:val="000000"/>
          <w:sz w:val="20"/>
        </w:rPr>
        <w:t xml:space="preserve">The Company thereafter commenced remedial work on OU-1 in accordance with the Decree. WSPR submitted the final draft Remedial Design Work Plan, Supplemental Pre-Design Investigation Work Plan, and Pilot Study Work Plan to the EPA on May 30, 2025, and awaits the EPA’s approval on those documents to move forward with the remediation.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reserved $5.6 million to cover probable and estimable liabilities with respect to the above remedial design and remedial action for OU-1.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 As of June 30, 2026, the remaining probable and reasonably estimable liability related to the above remedial design and remedial action for OU-1 is $5.2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Legal Settlement Gain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2015, Taylor Precision Products, Inc. (“Taylor” and/or the “Plaintiff”), which was acquired by the Company on March 2, 2018, commenced a legal action related to a 2013 acquisition, alleging that the seller failed to sufficiently disclose certain adverse information as part of the acquisition. In February 2025, the Company received a net settlement of $6.4 million, which consisted of a $7.0 million settlement less $0.6 million in legal fees related to this case. The Company recognized the gain in selling, general and administrative expenses in the condensed consolidated statement of operations for the quarter ended March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involved in other legal proceedings. The Company believes that other such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12 </w:t>
      </w:r>
      <w:r>
        <w:rPr>
          <w:color w:val="000000"/>
        </w:rPr>
        <w:t>— </w:t>
      </w:r>
      <w:r>
        <w:rPr>
          <w:rFonts w:ascii="Times New Roman;serif" w:hAnsi="Times New Roman;serif"/>
          <w:b/>
          <w:color w:val="000000"/>
          <w:sz w:val="20"/>
        </w:rPr>
        <w:t>OTHER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declared in the six months ended June 30, 2026 were as follows: </w:t>
      </w:r>
    </w:p>
    <w:tbl>
      <w:tblPr>
        <w:tblW w:w="6130"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385"/>
        <w:gridCol w:w="385"/>
        <w:gridCol w:w="386"/>
        <w:gridCol w:w="109"/>
        <w:gridCol w:w="109"/>
        <w:gridCol w:w="109"/>
        <w:gridCol w:w="400"/>
        <w:gridCol w:w="400"/>
        <w:gridCol w:w="401"/>
        <w:gridCol w:w="109"/>
        <w:gridCol w:w="109"/>
        <w:gridCol w:w="109"/>
        <w:gridCol w:w="351"/>
        <w:gridCol w:w="351"/>
        <w:gridCol w:w="499"/>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Payment date</w:t>
            </w:r>
          </w:p>
        </w:tc>
      </w:tr>
      <w:tr>
        <w:trPr/>
        <w:tc>
          <w:tcPr>
            <w:tcW w:w="15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5/15/2026</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8/14/2026</w:t>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paid dividends of $2.0 million. This included payments made on February 13, 2026 and May 15, 2026 of $0.9 million and $0.9 million to stockholders of record on January 30, 2026 and May 1, 2026, and payments of $0.2 million for dividends payable upon the vesting of restricted shares.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the Company reduced retained earnings for the accrual of $1.0 million relating to the dividend payable on August 14,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4, 2026, the Board declared a quarterly dividend of $0.0425 per share of common stock payable on November 13, 2026 to stockholders of record on October 30,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14, 2022, the Company announced that its Board of Directors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six months ended June 30, 2026. As of June 30, 2026, the remaining dollar amount available for repurchases under the Board of Directors’ authorized plan was $11.1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bl>
      <w:tblPr>
        <w:tblW w:w="7013" w:type="dxa"/>
        <w:jc w:val="left"/>
        <w:tblInd w:w="0" w:type="dxa"/>
        <w:tblLayout w:type="fixed"/>
        <w:tblCellMar>
          <w:top w:w="28" w:type="dxa"/>
          <w:left w:w="28" w:type="dxa"/>
          <w:bottom w:w="28" w:type="dxa"/>
          <w:right w:w="28" w:type="dxa"/>
        </w:tblCellMar>
      </w:tblPr>
      <w:tblGrid>
        <w:gridCol w:w="1784"/>
        <w:gridCol w:w="1563"/>
        <w:gridCol w:w="1572"/>
        <w:gridCol w:w="196"/>
        <w:gridCol w:w="556"/>
        <w:gridCol w:w="109"/>
        <w:gridCol w:w="109"/>
        <w:gridCol w:w="109"/>
        <w:gridCol w:w="109"/>
        <w:gridCol w:w="196"/>
        <w:gridCol w:w="556"/>
        <w:gridCol w:w="154"/>
      </w:tblGrid>
      <w:tr>
        <w:trPr/>
        <w:tc>
          <w:tcPr>
            <w:tcW w:w="178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 net of refunds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 funded by tenant improvement allowances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bl>
      <w:tblPr>
        <w:tblW w:w="5553" w:type="dxa"/>
        <w:jc w:val="left"/>
        <w:tblInd w:w="0" w:type="dxa"/>
        <w:tblLayout w:type="fixed"/>
        <w:tblCellMar>
          <w:top w:w="28" w:type="dxa"/>
          <w:left w:w="28" w:type="dxa"/>
          <w:bottom w:w="28" w:type="dxa"/>
          <w:right w:w="28" w:type="dxa"/>
        </w:tblCellMar>
      </w:tblPr>
      <w:tblGrid>
        <w:gridCol w:w="1118"/>
        <w:gridCol w:w="985"/>
        <w:gridCol w:w="987"/>
        <w:gridCol w:w="196"/>
        <w:gridCol w:w="646"/>
        <w:gridCol w:w="109"/>
        <w:gridCol w:w="109"/>
        <w:gridCol w:w="109"/>
        <w:gridCol w:w="109"/>
        <w:gridCol w:w="233"/>
        <w:gridCol w:w="769"/>
        <w:gridCol w:w="183"/>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Tariff receivables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prepaid expenses and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12,147 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accumulated other comprehensive loss, net</w:t>
      </w:r>
    </w:p>
    <w:tbl>
      <w:tblPr>
        <w:tblW w:w="10154" w:type="dxa"/>
        <w:jc w:val="left"/>
        <w:tblInd w:w="0" w:type="dxa"/>
        <w:tblLayout w:type="fixed"/>
        <w:tblCellMar>
          <w:top w:w="28" w:type="dxa"/>
          <w:left w:w="28" w:type="dxa"/>
          <w:bottom w:w="28" w:type="dxa"/>
          <w:right w:w="28" w:type="dxa"/>
        </w:tblCellMar>
      </w:tblPr>
      <w:tblGrid>
        <w:gridCol w:w="1818"/>
        <w:gridCol w:w="1601"/>
        <w:gridCol w:w="1605"/>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Accumulated translation adjustment: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 during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Accumulated deferred gains (losses) on cash flow hedges: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unrealized gains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Settlement of cash flow hedge </w:t>
            </w:r>
            <w:r>
              <w:rPr>
                <w:rFonts w:ascii="Times New Roman;serif" w:hAnsi="Times New Roman;serif"/>
                <w:b w:val="false"/>
                <w:color w:val="000000"/>
                <w:sz w:val="12"/>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in cash flow hedges, net of taxes of $0, $0, $0, $0</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Accumulated effect of retirement benefit obligations: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Amounts reclassified from accumulated other comprehensive loss:</w:t>
            </w:r>
            <w:r>
              <w:rPr>
                <w:color w:val="000000"/>
              </w:rPr>
              <w:t xml:space="preserve"> </w:t>
            </w:r>
            <w:r>
              <w:rPr>
                <w:rFonts w:ascii="Times New Roman;serif" w:hAnsi="Times New Roman;serif"/>
                <w:b w:val="false"/>
                <w:color w:val="000000"/>
                <w:sz w:val="12"/>
              </w:rPr>
              <w:t>(2)</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 net of taxes of $(2), $(2), $(4), $(3)</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accumulated other comprehensive loss at end of period</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(17,791)</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(18,285)</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(17,791)</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(18,285)</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Amounts reclassified are recorded in cost of sales on the unaudited condensed consolidated statement of operations.</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Amounts are recorded in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erif" w:hAnsi="Times New Roman;serif"/>
          <w:b w:val="false"/>
          <w:color w:val="000000"/>
          <w:sz w:val="20"/>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rPr/>
      </w:pPr>
      <w:r>
        <w:rPr>
          <w:rFonts w:ascii="Times New Roman;serif" w:hAnsi="Times New Roman;serif"/>
          <w:b w:val="false"/>
          <w:color w:val="000000"/>
          <w:sz w:val="20"/>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2025 (the “2025 Annual Report on Form 10-K”) in Part I, Item 1A under the heading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and in the Company’s subsequent filings with the U.S. Securities and Exchange Commission (the “SEC”). Such risks, uncertainties and other important factors include, among others, risks related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Macroeconomic conditions, including labor disputes, depreciation of the U.S. dollar, volatility in the capital markets, inflationary impacts and disruptions to the global supply chain;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 in supply chain costs, including raw materials, sourcing, transportation and energy;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tariffs and trade policies, particularly with respect to China, including the risk of frequent changes, legal challenges, or reinstatement in modified form;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Indebtedness, compliance with credit agreements, and access to credit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Access to the capital markets and credit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seasonality of the Company’s cash flows;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Company’s ability to complete acquisitions or successfully integrate acquisitions;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Intense market competition, changing customer practices or preferences and inventory rationalization among retailers;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Dependence on third-party manufacturers;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Technology, cybersecurity and data privacy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Geopolitical conditions, including political instability in the U.S. and abroad, unrest, sanctions, war and armed conflicts, increasing regional and global tensions, and associated disruptions and volatility in energy and oil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Legislative and regulatory risk;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liability claims;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Reputational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jc w:val="left"/>
        <w:rPr/>
      </w:pPr>
      <w:r>
        <w:rPr>
          <w:rFonts w:ascii="Times New Roman;serif" w:hAnsi="Times New Roman;serif"/>
          <w:b w:val="false"/>
          <w:color w:val="000000"/>
          <w:sz w:val="20"/>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Times New Roman;serif" w:hAnsi="Times New Roman;serif"/>
          <w:b w:val="false"/>
          <w:i/>
          <w:color w:val="000000"/>
          <w:sz w:val="20"/>
          <w:u w:val="single"/>
        </w:rPr>
        <w:t>http://www.lifetimebrands.com</w:t>
      </w:r>
      <w:r>
        <w:rPr>
          <w:rFonts w:ascii="Times New Roman;serif" w:hAnsi="Times New Roman;serif"/>
          <w:b w:val="false"/>
          <w:color w:val="000000"/>
          <w:sz w:val="20"/>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Company’s website. The SEC also maintains a website that contains reports, proxy and information statements, and other information regarding the Company’s electronic filings with the SEC at </w:t>
      </w:r>
      <w:r>
        <w:rPr>
          <w:rFonts w:ascii="Times New Roman;serif" w:hAnsi="Times New Roman;serif"/>
          <w:b w:val="false"/>
          <w:i/>
          <w:color w:val="000000"/>
          <w:sz w:val="20"/>
          <w:u w:val="single"/>
        </w:rPr>
        <w:t>http://www.sec.gov.</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designs, sources and sells branded kitchenware, tableware and other products used in the home. The Company’s product categories include two categories of products used to prepare, serve, and consume foods: Kitchenware (kitchen tools,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rPr/>
      </w:pPr>
      <w:r>
        <w:rPr>
          <w:rFonts w:ascii="Times New Roman;serif" w:hAnsi="Times New Roman;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serif" w:hAnsi="Times New Roman;serif"/>
          <w:b w:val="false"/>
          <w:color w:val="000000"/>
          <w:sz w:val="13"/>
        </w:rPr>
        <w:t>®</w:t>
      </w:r>
      <w:r>
        <w:rPr>
          <w:rFonts w:ascii="Times New Roman;serif" w:hAnsi="Times New Roman;serif"/>
          <w:b w:val="false"/>
          <w:color w:val="000000"/>
          <w:sz w:val="20"/>
        </w:rPr>
        <w:t>, KitchenAid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Mikasa</w:t>
      </w:r>
      <w:r>
        <w:rPr>
          <w:rFonts w:ascii="Times New Roman;serif" w:hAnsi="Times New Roman;serif"/>
          <w:b w:val="false"/>
          <w:color w:val="000000"/>
          <w:sz w:val="13"/>
        </w:rPr>
        <w:t>®</w:t>
      </w:r>
      <w:r>
        <w:rPr>
          <w:rFonts w:ascii="Times New Roman;serif" w:hAnsi="Times New Roman;serif"/>
          <w:b w:val="false"/>
          <w:color w:val="000000"/>
          <w:sz w:val="20"/>
        </w:rPr>
        <w:t>, Taylor</w:t>
      </w:r>
      <w:r>
        <w:rPr>
          <w:rFonts w:ascii="Times New Roman;serif" w:hAnsi="Times New Roman;serif"/>
          <w:b w:val="false"/>
          <w:color w:val="000000"/>
          <w:sz w:val="13"/>
        </w:rPr>
        <w:t>®</w:t>
      </w:r>
      <w:r>
        <w:rPr>
          <w:rFonts w:ascii="Times New Roman;serif" w:hAnsi="Times New Roman;serif"/>
          <w:b w:val="false"/>
          <w:color w:val="000000"/>
          <w:sz w:val="20"/>
        </w:rPr>
        <w:t>, Pfaltzgraff</w:t>
      </w:r>
      <w:r>
        <w:rPr>
          <w:rFonts w:ascii="Times New Roman;serif" w:hAnsi="Times New Roman;serif"/>
          <w:b w:val="false"/>
          <w:color w:val="000000"/>
          <w:sz w:val="13"/>
        </w:rPr>
        <w:t>®</w:t>
      </w:r>
      <w:r>
        <w:rPr>
          <w:rFonts w:ascii="Times New Roman;serif" w:hAnsi="Times New Roman;serif"/>
          <w:b w:val="false"/>
          <w:color w:val="000000"/>
          <w:sz w:val="20"/>
        </w:rPr>
        <w:t>, Built NY</w:t>
      </w:r>
      <w:r>
        <w:rPr>
          <w:rFonts w:ascii="Times New Roman;serif" w:hAnsi="Times New Roman;serif"/>
          <w:b w:val="false"/>
          <w:color w:val="000000"/>
          <w:sz w:val="13"/>
        </w:rPr>
        <w:t>®</w:t>
      </w:r>
      <w:r>
        <w:rPr>
          <w:rFonts w:ascii="Times New Roman;serif" w:hAnsi="Times New Roman;serif"/>
          <w:b w:val="false"/>
          <w:color w:val="000000"/>
          <w:sz w:val="20"/>
        </w:rPr>
        <w:t>, S’well</w:t>
      </w:r>
      <w:r>
        <w:rPr>
          <w:rFonts w:ascii="Times New Roman;serif" w:hAnsi="Times New Roman;serif"/>
          <w:b w:val="false"/>
          <w:color w:val="000000"/>
          <w:sz w:val="13"/>
        </w:rPr>
        <w:t>®</w:t>
      </w:r>
      <w:r>
        <w:rPr>
          <w:rFonts w:ascii="Times New Roman;serif" w:hAnsi="Times New Roman;serif"/>
          <w:b w:val="false"/>
          <w:color w:val="000000"/>
          <w:sz w:val="20"/>
        </w:rPr>
        <w:t>, Fred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&amp; Friends, KitchenCraft</w:t>
      </w:r>
      <w:r>
        <w:rPr>
          <w:rFonts w:ascii="Times New Roman;serif" w:hAnsi="Times New Roman;serif"/>
          <w:b w:val="false"/>
          <w:color w:val="000000"/>
          <w:sz w:val="13"/>
        </w:rPr>
        <w:t xml:space="preserve">® </w:t>
      </w:r>
      <w:r>
        <w:rPr>
          <w:rFonts w:ascii="Times New Roman;serif" w:hAnsi="Times New Roman;serif"/>
          <w:b w:val="false"/>
          <w:color w:val="000000"/>
          <w:sz w:val="20"/>
        </w:rPr>
        <w:t>, Rabbit</w:t>
      </w:r>
      <w:r>
        <w:rPr>
          <w:rFonts w:ascii="Times New Roman;serif" w:hAnsi="Times New Roman;serif"/>
          <w:b w:val="false"/>
          <w:color w:val="000000"/>
          <w:sz w:val="13"/>
        </w:rPr>
        <w:t>®</w:t>
      </w:r>
      <w:r>
        <w:rPr>
          <w:rFonts w:ascii="Times New Roman;serif" w:hAnsi="Times New Roman;serif"/>
          <w:b w:val="false"/>
          <w:color w:val="000000"/>
          <w:sz w:val="20"/>
        </w:rPr>
        <w:t>, Kamenstein</w:t>
      </w:r>
      <w:r>
        <w:rPr>
          <w:rFonts w:ascii="Times New Roman;serif" w:hAnsi="Times New Roman;serif"/>
          <w:b w:val="false"/>
          <w:color w:val="000000"/>
          <w:sz w:val="13"/>
        </w:rPr>
        <w:t>®</w:t>
      </w:r>
      <w:r>
        <w:rPr>
          <w:rFonts w:ascii="Times New Roman;serif" w:hAnsi="Times New Roman;serif"/>
          <w:b w:val="false"/>
          <w:color w:val="000000"/>
          <w:sz w:val="20"/>
        </w:rPr>
        <w:t>, and Dolly</w:t>
      </w:r>
      <w:r>
        <w:rPr>
          <w:rFonts w:ascii="Times New Roman;serif" w:hAnsi="Times New Roman;serif"/>
          <w:b w:val="false"/>
          <w:color w:val="000000"/>
          <w:sz w:val="13"/>
        </w:rPr>
        <w:t>®</w:t>
      </w:r>
      <w:r>
        <w:rPr>
          <w:rFonts w:ascii="Times New Roman;serif" w:hAnsi="Times New Roman;serif"/>
          <w:b w:val="false"/>
          <w:color w:val="000000"/>
          <w:sz w:val="20"/>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Tariff and Supply Chain Considerations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Tariffs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sources almost all of its products from third-party manufacturers outside the U.S., primarily in China. This geographic concentration in suppliers exposes the Company to risks associated with doing business globally, including risks relating to changes in U.S. tariff and trade policies. New or increased tariffs, quotas, embargoes, or other trade barriers could adversely impact our supply chain and cost structure. In 2025, the Company implemented several actions to mitigate the impact of the tariffs imposed by the U.S. administration. For example, the Company negotiated price increases to its U.S. customers which went into effect in the third quarter of 2025. The Company’s tariff mitigation strategy was intended to maintain the Company’s gross margin dollars and therefore, may result in a decline in gross margin percentage.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U.S. Supreme Court held that the U.S. administration’s imposition of tariffs pursuant to the International Emergency Economic Powers Act (“IEEPA”) was unlawful, striking down the 10% global baseline tariff, as well as the higher tariffs imposed on certain U.S. trading partners. The U.S. Supreme Court’s ruling did not affect all of the recently imposed tariffs, including those imposed following trade remedy investigations by the Department of Commerce or the U.S. Trade Representative. Nor did it prohibit the imposition of future tariffs through alternative trade authorities available to the U.S. administration. On February 20, 2026, shortly after the announced U.S. Supreme Court decision, the U.S. administration announced that it would be imposing a new 10% global tariff for a period of 150 days pursuant to a balance-of-payments provision in Section 122 of the Trade Act of 1974, to become effective February 24, 2026. The U.S. administration also initiated additional trade remedy investigations pursuant to Section 301 of the Trade Act of 1974, one affecting 60 trading partners with respect to the prohibition of forced labor and another affecting 16 trading partners with respect to excess manufacturing capacity. The administration further announced that it would be initiating additional investigations with respect to certain unidentified product sectors pursuant to Section 232 of the Trade Expansion Act of 1962. In April 2026, the CBP launched Phase One of the Consolidated Administration and Processing of Entries ("CAPE") program to process refunds and begin making refund payments to importers of record in May 2026. As of June 29, 2026, the CBP has launched Phase Two of the IEEPA refund claims process. The Company has submitted all refunds claims under Phase One and continues to actively engage with its custom brokers and outside legal counsel for refunds that fall under Phase 2. The total refund claims related to the IEEPA tariff totaled $41.7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concluded that $40.1 million of tariff refunds were probable of being recovered and recognized the refund as a reduction to cost of goods sold of $40.1 million in the condensed consolidated financial statements. As of June 30, 2026, the Company received $3.5 million and recorded $36.6 million of outstanding IEEPA tariffs receivables within prepaid and other current assets in the condensed consolidated balance sheet. Subsequent to the balance sheet date, the Company received an additional $32.9 million in tariff refunds.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second quarter of 2026 U.S. sales were favorably impacted by higher selling prices and improved sales volume driven by club warehouse programs. For the second quarter of 2026, U.S. gross margin improved due to the benefit of the tariff refund, higher selling prices, partially offset by product mix.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temporary Section 122 tariffs expired on July 24, 2026, and are the subject of ongoing legal challenges after being initially invalidated at the Court of International Trade, adding further uncertainty to the tariff outlook. As the Section 122 tariffs were expiring, the U.S. administration announced completion of a Section 301 investigation into the prohibition and elimination of merchandise produced with forced labor, imposing additional tariffs of 10% or 12.5% on sixty trading partners, affecting the majority of U.S. imports. The tariffs became effective July 24, 2026, and litigation challenging those tariffs was filed later that same day.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cannot predict what additional changes to trade policy will be made by the U.S. administration or Congress, including whether existing tariff policies will be maintained or modified, what products may be subject to such policies, or whether the entry into new bilateral or multilateral trade agreements will occur, nor can it predict the effects that any such changes would have on the Company's business, capital expenditures, and results of operations. The Company is actively monitoring the rapidly evolving tariff and global trade policies that become effective, as well as potential retaliatory actions by other countries.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tariffs rates were to increase further and the Company is unable to mitigate the impact of the increase in cost, it would result in lower gross margin from the sale of its products. The broader macroeconomic impacts related to the changes in tariff policies including potential mitigation efforts by retailers may negatively impact consumer spending and buying patterns of the Company’s products. This could materially adversely affect the Company’s results of operations and financial condition.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Supply Chain</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Escalating geopolitical conflicts in the Middle East, including shipping disruptions in the Strait of Hormuz, </w:t>
      </w:r>
      <w:r>
        <w:rPr>
          <w:rFonts w:ascii="Times New Roman;serif" w:hAnsi="Times New Roman;serif"/>
          <w:b w:val="false"/>
          <w:color w:val="000000"/>
          <w:sz w:val="20"/>
        </w:rPr>
        <w:t>have led to increased volatility on global energy prices. Sustained increases in energy costs could materially increase the Company’s product and transportation costs, including through higher input costs and increased fuel prices, which typically lead to fuel surcharges and higher freight rates from third-party logistics providers. This could increase the Company’s distribution and inbound freight costs. T</w:t>
      </w:r>
      <w:r>
        <w:rPr>
          <w:rFonts w:ascii="Times New Roman;serif" w:hAnsi="Times New Roman;serif"/>
          <w:b w:val="false"/>
          <w:color w:val="000000"/>
          <w:sz w:val="20"/>
          <w:shd w:fill="FFFFFF" w:val="clear"/>
        </w:rPr>
        <w:t xml:space="preserve">he duration of the conflict and the potential for further escalation, including military actions, sanctions, or </w:t>
      </w:r>
      <w:r>
        <w:rPr>
          <w:rFonts w:ascii="Times New Roman;serif" w:hAnsi="Times New Roman;serif"/>
          <w:b w:val="false"/>
          <w:color w:val="000000"/>
          <w:sz w:val="20"/>
        </w:rPr>
        <w:t>disruptions to key trade routes, could adversely affect the global macroeconomic environment, and in turn, negatively impact consumer spending and demand for the Company’s products. The Company continues to monitor these developments; however the extent and duration of their impact remain uncertain. If energy prices remain elevated or if macroeconomic conditions deteriorate, the Company’s results of operations and financial condition could be materially adversely affected.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Hagerstown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announced the relocation of the Company’s east coast distribution operations currently located in Robbinsville, NJ (the “Robbinsville Facility”) to Hagerstown, Maryland (the “Hagerstown Facility”). The Company commenced operations at the Hagerstown Facility in the second quarter of 2026. The initial ramp-up resulted in unplanned expenses and shipping delays. Management has taken corrective actions and beginning in August, shipments are back to normal. While the Company believes the disruption has been completely ameliorated, if shipping delays re-occur or other transition challenges arise, the Company's results of operations and financial condition could be materially adversely affected.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new Hagerstown Facility requires capital expenditures for equipment and certain leasehold improvements that are estimated to be approximately $9.8 million, of which $3.2 million remains to be purchased as of June 30, 2026. The Company incurred capital expenditures related to this relocation of $4.3 million during the six months ended June 30, 2026 and $2.3 million during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the following expenses related to the closure of the Robbinsville Facility and the start-up of the Hagerstown Facility: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$1.2 million and $2.4 million for the three and six months ended June 30, 2026, respectively, related to employee severance. This expense has been recorded within restructuring expense in the condensed consolidated statement of operations.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$2.2 million and $2.4 million for the three and six months ended June 30, 2026, respectively, related to exit and start-up costs which include relocation of inventory, recruiting and training expenses, set up costs and lease expenses for the nonoperational portion of the old and new facilities. These expenses have been recorded within distribution expense in the condensed consolidated statement of operations.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For the remainder of 2026, the Company expects to incur remaining costs of approximately $0.6 million, in employee severance, $2.7 million in exit costs and $4.6 million in start-up costs.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in connection with the relocation to the Hagerstown Facility, the Company has received tax abatement and incentives over the term of the lease from the State of Maryland and Washington County, Maryland totaling approximately $13.1 million. This included a conditional grant of $1.4 million toward project and equipment costs. The Company's total capital expenditures estimated above are net of this amount. The remaining incentives primarily relate to real property tax credits that will applied against real estate taxes payable over the lease term.</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Project Concord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launched Project Concord, management’s comprehensive plan to propel growth and streamline the cost structure of its International operations. The Company expects this plan to improve future results of its International segment through sales growth and the identified costs efficiencies. This project resulted in several reorganizations and restructuring of the international workforce which have primarily affected the structure of the International segment’s merchandising and sale workforce. The following actions were taken under this plan: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On July 8, 2025, the Company announced a reorganization of its international workforce in connection with Project Concord. The restructuring expenses related to severance associated with the reorganization of $0.3 million was recorded in the third quarter of 2025.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On March 26, 2026, the Company announced a second reorganization of its international workforce in connection with Project Concord. The restructuring expenses related to severance associated with the reorganization of $0.2 million was recorded in the six months ended June 30,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expects that restructuring activities related to this project to be completed by the end of the fourth quarter of 2026 and expects to incur additional costs of $0.3 million related to employee severance.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the Company’s reportable segments is included in NOTE 10 – BUSINESS SEGMENTS of the Notes to the condensed consolidated financial statements included in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2025 and 2024, net sales for the third and fourth quarters accounted for 58% of total annual net sales, for both periods. In anticipation of the pre-holiday shipping season, inventory levels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Consistent with the seasonality of the Company’s net sales and inventory levels, the Company also experiences seasonality in its inventory turnover and turnover days from one quarter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pPr>
      <w:r>
        <w:rPr>
          <w:rFonts w:ascii="Times New Roman;serif" w:hAnsi="Times New Roman;serif"/>
          <w:b w:val="false"/>
          <w:color w:val="000000"/>
          <w:sz w:val="20"/>
        </w:rPr>
        <w:t xml:space="preserve">There have been no material changes to the Company’s critical accounting estimates discussed in the 2025 Annual Report on Form 10-K in Item 7 under the heading </w:t>
      </w:r>
      <w:r>
        <w:rPr>
          <w:rFonts w:ascii="Times New Roman;serif" w:hAnsi="Times New Roman;serif"/>
          <w:b w:val="false"/>
          <w:i/>
          <w:color w:val="000000"/>
          <w:sz w:val="20"/>
        </w:rPr>
        <w:t>Management’s Discussion and Analysis of Financial Condition and Results of Operations – Critical Accounting Policies and Estimates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statements of operations data of the Company as a percentage of net sales for the periods indicated:</w:t>
      </w:r>
    </w:p>
    <w:tbl>
      <w:tblPr>
        <w:tblW w:w="8775" w:type="dxa"/>
        <w:jc w:val="left"/>
        <w:tblInd w:w="0" w:type="dxa"/>
        <w:tblLayout w:type="fixed"/>
        <w:tblCellMar>
          <w:top w:w="28" w:type="dxa"/>
          <w:left w:w="28" w:type="dxa"/>
          <w:bottom w:w="28" w:type="dxa"/>
          <w:right w:w="28" w:type="dxa"/>
        </w:tblCellMar>
      </w:tblPr>
      <w:tblGrid>
        <w:gridCol w:w="1405"/>
        <w:gridCol w:w="1239"/>
        <w:gridCol w:w="1256"/>
        <w:gridCol w:w="278"/>
        <w:gridCol w:w="278"/>
        <w:gridCol w:w="352"/>
        <w:gridCol w:w="150"/>
        <w:gridCol w:w="150"/>
        <w:gridCol w:w="150"/>
        <w:gridCol w:w="278"/>
        <w:gridCol w:w="278"/>
        <w:gridCol w:w="352"/>
        <w:gridCol w:w="109"/>
        <w:gridCol w:w="109"/>
        <w:gridCol w:w="109"/>
        <w:gridCol w:w="278"/>
        <w:gridCol w:w="278"/>
        <w:gridCol w:w="310"/>
        <w:gridCol w:w="132"/>
        <w:gridCol w:w="132"/>
        <w:gridCol w:w="132"/>
        <w:gridCol w:w="278"/>
        <w:gridCol w:w="278"/>
        <w:gridCol w:w="310"/>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gain (loss) on interest rate derivatives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3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3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2026 COMPARED TO THE THREE MONTHS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 for the three months ended June 30, 2026 were $141.6 million, representing an increase of $9.7 million, or 7.4%, as compared to net sales of $131.9 million for the corresponding period in 2025. In constant currency, a non-GAAP financial measure, which excludes the impact of foreign exchange fluctuations and was determined by applying 2026 average rates to 2025 local currency amounts, consolidated net sales increased by $9.5 million, or 7.2%, as compared to consolidated net sales in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 for the three months ended June 30, 2026 were $128.2 million, an increase of $8.9 million, or 7.5%, as compared to net sales of $119.3 million for the corresponding period in 2025. For the three months ended June 30, 2026, net sales were favorably impacted by higher selling prices, reflecting the implementation of price increases for the Company’s U.S. customers that went into effect during the third quarter of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Kitchenware product category were $85.4 million for the three months ended June 30, 2026, an increase of $2.9 million, or 3.5%, as compared to $82.5 million for the corresponding period in 2025. The increase was driven by an increase in sales for kitchen tools and kitchen measurement products. These increases were partially offset by a decrease in sales for cutlery and boards and bakeware products.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Tableware product category were $23.6 million for the three months ended June 30, 2026, an increase of $2.3 million, or 10.8%, as compared to $21.3 million for the corresponding period in 2025. The increase was primarily attributable to higher sales in the warehouse club channel for dinnerware.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Home Solutions product category were $19.2 million for the three months ended June 30, 2026, an increase of $3.7 million, or 23.9%, as compared to $15.5 million for the corresponding period in 2025. The increase was primarily attributable to higher sales for home décor products in the warehouse club and dollar channel.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segment were $13.4 million for the three months ended June 30, 2026, an increase of $0.8 million, or 6.3%, as compared to net sales of $12.6 million for the corresponding period in 2025. In constant currency, a non-GAAP financial measure, which excludes the impact of foreign exchange fluctuations, net sales increased by $0.7 million, or 5.3%, as compared to consolidated net sales in the corresponding period in 2025. The increase was driven by higher selling prices in Asia-Pacific region, higher sales for retail customers in Australia and New Zealand, as well as higher sales in continental Europe. These increases were partially offset by lower sales in the U.K.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three months ended June 30, 2026 was $93.2 million, or 65.9%, as compared to $50.8 million, or 38.6%, for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U.S. segment was $87.5 million, or 68.3%, for the three months ended June 30, 2026, as compared to $46.7 million, or 39.1%, for the corresponding period in 2025. The increase was driven by a benefit in the current period from tariff refunds of $40.1 million related to prior periods, higher selling prices, partially offset by product mix.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International segment was $5.7 million, or 42.5%, for the three months ended June 30, 2026, as compared to $4.1 million, or 32.5%, for the corresponding period in 2025. The increase in gross margin percentage was driven by customer mix and higher selling prices for products sold in the Asia-Pacific region.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for the three months ended June 30, 2026 were $20.1 million, as compared to $17.3 million for the corresponding period in 2025. Distribution expenses as a percentage of net sales were 14.2% for the three months ended June 30, 2026, as compared to 13.1% for the three months ended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U.S. segment were 12.8% and 11.4% for the three months ended June 30, 2026 and 2025, respectively. Distribution expense during the three months ended June 30, 2026 and 2025 included $2.2 million and $0.1 million for relocation and redesign costs related to the Company’s warehouses. As a percentage of sales shipped from the Company’s U.S. warehouses, excluding non-recurring expenses, distribution expenses were 11.9% and 11.0%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respectively. The increase in expenses as a percentage of sales was attributable to an increase in employee expenses as a result of reduced labor management efficiencies, higher insurance expenses and facility supply expenses. The increase was partially offset by higher sales resulting in a favorable impact on fixed expenses, and lower freight-out expenses due to customer mix.</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as a percentage of net sales for the International segment were 27.3% for the three months ended June 30, 2026, compared to 29.8% for the corresponding period in 2025. As a percentage of sales shipped from the Company’s international warehouses distribution expenses were 24.2% and 26.8% for the three months ended June 30, 2026 and 2025, respectively. The decrease in expenses as a percentage of sales was attributable to higher sales resulting in a favorable impact of fixed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months ended June 30, 2026 were $39.5 million, an increase of $2.0 million, or 5.3%, as compared to $37.5 million for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U.S. segment were $31.2 million for the three months ended June 30, 2026, as compared to $29.5 million for the corresponding period in 2025. As a percentage of net sales, selling, general and administrative expenses were 24.3% and 24.7% for the three months ended June 30, 2026 and 2025, respectively. The increase in selling, general and administrative expenses was attributable to higher incentive compensation, partially offset by a decrease in the provision for doubtful accounts in the current period. The decrease in selling, general and administrative expenses as a percentage of net sales, was also attributable to the impact of fixed costs on higher sales volume.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International segment were $3.3 million for the three months ended June 30, 2026, as compared to $3.7 million for the corresponding period in 2025. As a percentage of net sales, selling, general and administrative expenses were 24.6% and 29.4% for the three months ended June 30, 2026 and 2025, respectively. The decrease in selling, general and administrative expenses was attributable to lower employee expenses and sales commissions. The decrease in selling, general and administrative expenses as a percentage of net sales, was attributable to the impact of fixed costs on higher sales volume.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for the three months ended June 30, 2026 was $5.1 million, as compared to expenses of $4.3 million for the corresponding period in 2025. The increase compared to the prior period was attributable to an increase in professional fees and legal expenses, and higher incentive compensation in the current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 for the three months ended June 30, 2026 were $2.0 million, which consist of employee severance expenses related to the east coast distribution facility relocation of $1.2 million, and restructuring expenses with the closure of certain manufacturing operations of $0.8 million. See NOTE 1 — BASIS OF PRESENTATION AND SUMMARY OF ACCOUNTING POLICIES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Company’s qualitative assessment of goodwill indicated triggering events had occurred in its U.S. reporting unit. The Company performed an interim impairment test of the goodwill in the U.S. reporting unit, that resulted in a $33.2 million non-cash goodwill impairment charge.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was $4.1 million and $5.1 million for the three months ended June 30, 2026 and 2025, respectively. The decrease in expense was a result of lower average outstanding borrowings in the current period, and lower interest rates on outstanding borrowings.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to market gain (loss) on interest rate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 to market gain on interest rate derivatives was $0.2 million for the three months ended June 30, 2026, as compared to mark to market loss of $0.2 million for the three months ended June 30, 2025. The gain (loss) recognized for the three months ended June 30, 2026 and 2025, respectively,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fixed interest rate on a portion of the Company’s variable interest rate debt. As of June 30, 2026, the intent of the Company is to hold these derivative contracts until their maturity.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of $8.1 million and income tax benefit of $2.8 million for the three months ended June 30, 2026 and 2025, respectively, represent taxes on both U.S. and foreign earnings at a combined effective income tax rate of 29.2% and benefit rate of 6.5%, respectively. The effective tax rate for the three months ended June 30, 2026 differs from the federal statutory income tax rate of 21.0% primarily due to the impact of non-deductible expenses. The effective tax rate for the three months ended June 30, 2025 differs from the federal statutory income tax rate of 21.0% primarily due to a partial valuation allowance on U.S. deferred tax assets that are not more likely than not to be realized as a result of the goodwill impairment in the second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 COMPARED TO THE SIX MONTHS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 for the six months ended June 30, 2026 were $285.1 million, an increase of $13.2 million, or 4.9%, as compared to net sales of $271.9 million for the corresponding period in 2025. In constant currency, a non-GAAP financial measure, which excludes the impact of foreign exchange fluctuations and was determined by applying 2026 average rates to 2025 local currency amounts, consolidated net sales increased by $12.0 million, or 4.4%, as compared to consolidated net sales in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 for the six months ended June 30, 2026 were $258.9 million, an increase of $11.1 million, or 4.5%, as compared to net sales of $247.8 million for the corresponding period in 2025. For the six months ended June 30, 2026, net sales were favorably impacted by higher selling prices, reflecting the implementation of price increases for the Company's U.S. customers that became effective during the third quarter of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Kitchenware product category were $163.9 million for the six months ended June 30, 2026, an increase of $1.9 million, or 1.2%, as compared to $162.0 million for the corresponding period in 2025. The increase was driven by higher sales for kitchen tools and kitchen measurement products, partially offset by lower sales for cutlery and boards, bakeware products and specialty kitchenware products.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Tableware product category were $49.5 million for the six months ended June 30, 2026, an increase of $0.6 million, or 1.2%, as compared to $48.9 million for the corresponding period in 2025. The increase was driven by warehouse club programs for flatware and dinnerware, partially offset by lower sales for dinnerware in the dollar channel.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Home Solutions product category were $45.5 million for the six months ended June 30, 2026, an increase of $8.6 million, or 23.3%, as compared to $36.9 million for the corresponding period in 2025. The increase was primarily attributable to higher sales for home décor products in the warehouse club and dollar channel.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segment were $26.2 million for the six months ended June 30, 2026, an increase of $2.1 million, or 8.7%, as compared to net sales of $24.1 million for the corresponding period in 2025. In constant currency, a non-GAAP financial measure, which excludes the impact of foreign exchange fluctuations, net sales increased by $1.0 million, or 3.9%, as compared to consolidated net sales in the corresponding period in 2025. The increase was driven by higher selling prices in Asia-Pacific region, higher sales for retail customers in Australia and New Zealand, as well as higher sales in continental Europe. These increases were partially offset by lower sales in the U.K.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six months ended June 30, 2026 was $147.4 million, or 51.7%, as compared to $101.5 million, or 37.3%, for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U.S. segment was $136.9 million, or 52.9%, for the six months ended June 30, 2026, as compared to $93.4 million, or 37.7%, for the corresponding period in 2025. The increase was driven by a benefit in the current period from tariff refunds of $40.1 million related to prior periods, higher selling prices, partially offset by product mix.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International segment was $10.5 million, or 40.1%, for the six months ended June 30, 2026, as compared to $8.1 million, or 33.6%, for the corresponding period in 2025. The increase in gross margin percentage was driven by customer mix and higher selling prices for products sold in the Asia-Pacific region.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for the six months ended June 30, 2026 were $37.7 million, as compared to $35.4 million for the corresponding period in 2025. Distribution expenses as a percentage of net sales were 13.2% for the six months ended June 30, 2026, as compared to 13.0% for the six months ended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as a percentage of net sales for the U.S. segment were 11.8% and 11.4% for the six months ended June 30, 2026 and 2025, respectively. Distribution expenses during the six months ended June 30, 2026 and 2025 included $2.4 million and $0.1 million, respectively, for relocation and redesign costs related to the Company's warehouses. As a percentage of sales shipped from the Company’s U.S. warehouses, excluding non-recurring expenses, distribution expenses were 11.4% and 11.5% for the six months ended June 30, 2026 and 2025, respectively. The decrease in expenses as a percentage of sales was attributable to lower volume due to sales mix resulting in a decrease of employee expenses, partially offset by higher insurance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International segment were 26.9% for the six months ended June 30, 2026, compared to 29.1% for the corresponding period in 2025. As a percentage of sales shipped from the Company’s international warehouses, distribution expenses were 23.7% and 25.9% for the six months ended June 30, 2026 and 2025, respectively. The decrease in expenses as a percentage of sales was primarily attributed to lower warehouse expenses, higher sales resulting in a favorable impact of fixed expenses, partially offset by an increase in freight-out expenses due to volume increase and customer mix.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six months ended June 30, 2026 were $76.3 million, an increase of $7.3 million, or 10.6%, as compared to $69.0 million for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U.S. segment were $59.4 million for the six months ended June 30, 2026, as compared to $59.5 million for the corresponding period in 2025. As a percentage of net sales, selling, general and administrative expenses were 22.9% and 24.0% for the six months ended June 30, 2026 and 2025, respectively. Selling, general and administrative expenses remained flat year-over-year, as decreases in employee expenses and provision for doubtful accounts in the current period were fully offset by higher incentive compensation. The decrease in selling, general and administrative expenses as a percentage of net sales, was attributable to the impact of fixed costs on higher sales volume.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International segment were $6.9 million for the six months ended June 30, 2026, as compared to $7.4 million for the corresponding period in 2025. As a percentage of net sales, selling, general and administrative expenses were 26.3% and 30.7% for the six months ended June 30, 2026 and 2025, respectively. The decrease was primarily attributable to lower employee expenses, sales commissions and advertising expenses, partially offset by unfavorable foreign currency exchange impacts.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for the six months ended June 30, 2026 were $10.0 million, as compared to expenses of $2.1 million for the corresponding period in 2025. The increase in expenses was driven by the recognition of a net legal settlement gain of $6.4 million in the prior period, an increase in professional fees and legal expenses, and higher incentive compensation in the current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88" w:before="120" w:after="283"/>
        <w:jc w:val="left"/>
        <w:rPr/>
      </w:pPr>
      <w:r>
        <w:rPr>
          <w:rFonts w:ascii="Times New Roman;serif" w:hAnsi="Times New Roman;serif"/>
          <w:b w:val="false"/>
          <w:color w:val="000000"/>
          <w:sz w:val="20"/>
        </w:rPr>
        <w:t xml:space="preserve">During the second quarter of 2025, the Company’s qualitative assessment of goodwill indicated triggering events had occurred in its U.S. reporting unit. The Company performed </w:t>
      </w:r>
      <w:r>
        <w:rPr>
          <w:rFonts w:ascii="Times New Roman;serif" w:hAnsi="Times New Roman;serif"/>
          <w:b w:val="false"/>
          <w:color w:val="000000"/>
          <w:sz w:val="20"/>
          <w:shd w:fill="FFFFFF" w:val="clear"/>
        </w:rPr>
        <w:t xml:space="preserve">an interim impairment test of the goodwill in the U.S. reporting unit as of June 30, 2025, </w:t>
      </w:r>
      <w:r>
        <w:rPr>
          <w:rFonts w:ascii="Times New Roman;serif" w:hAnsi="Times New Roman;serif"/>
          <w:b w:val="false"/>
          <w:color w:val="000000"/>
          <w:sz w:val="20"/>
        </w:rPr>
        <w:t xml:space="preserve">that resulted in a $33.2 million non-cash goodwill impairment charge.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 were $4.0 million for the six months ended June 30, 2026, which consist of restructuring expenses related to the east coast distribution facility relocation of $2.4 million, restructuring expenses with the closure of certain manufacturing operations of $1.4 million, and Project Concord severance expense of $0.2 million. See NOTE 1 — BASIS OF PRESENTATION AND SUMMARY OF ACCOUNTING POLICIES to the unaudited condensed consolidated financial statements included in this Quarterly Report on Form 10-Q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was $8.6 million and $10.0 million for the six months ended June 30, 2026 and 2025, respectively. The decrease in expense was a result of lower average outstanding borrowings in the current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to market gain (loss) on interest rate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 to market gain on interest rate derivatives was $0.5 million for the six months ended June 30, 2026, as compared to mark to market loss of $0.7 million for the six months ended June 30, 2025. The decrease was attributable to the change in the fair value based on the increase in interest rates.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June 30, 2026, the intent of the Company is to hold these derivative contracts until their maturity.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jc w:val="left"/>
        <w:rPr/>
      </w:pPr>
      <w:r>
        <w:rPr>
          <w:rFonts w:ascii="Times New Roman;serif" w:hAnsi="Times New Roman;serif"/>
          <w:b w:val="false"/>
          <w:color w:val="000000"/>
          <w:sz w:val="20"/>
        </w:rPr>
        <w:t>Income tax provision of $6.4 million and income tax benefit of $2.9 million for the six months ended June 30, 2026 and 2025, respectively, represent taxes on both U.S. and foreign earnings at a combined</w:t>
      </w:r>
      <w:r>
        <w:rPr>
          <w:color w:val="000000"/>
        </w:rPr>
        <w:t xml:space="preserve"> </w:t>
      </w:r>
      <w:r>
        <w:rPr>
          <w:rFonts w:ascii="Times New Roman;serif" w:hAnsi="Times New Roman;serif"/>
          <w:b w:val="false"/>
          <w:color w:val="000000"/>
          <w:sz w:val="20"/>
        </w:rPr>
        <w:t>effective income tax provision rate of 30.2% and benefit rate of 6.2%, respectively. The effective tax rate for the six months ended June 30, 2026 differs from the federal statutory income tax rate of 21.0% primarily due to foreign losses for which no tax benefit is recognized as such amounts are fully offset with a valuation allowance. The effective tax rate for the six months ended June 30, 2025 differs from the federal statutory income tax rate of 21.0% primarily due to a partial valuation allowance on U.S. deferred tax assets that are not more likely than not to be realized as a result of the goodwill impairment in the second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payments of dividends, and payments of principal and interest on its debt.</w:t>
      </w:r>
    </w:p>
    <w:p>
      <w:pPr>
        <w:pStyle w:val="TextBody"/>
        <w:bidi w:val="0"/>
        <w:spacing w:lineRule="auto" w:line="288" w:before="240" w:after="283"/>
        <w:jc w:val="left"/>
        <w:rPr/>
      </w:pPr>
      <w:r>
        <w:rPr>
          <w:rFonts w:ascii="Times New Roman;serif" w:hAnsi="Times New Roman;serif"/>
          <w:b w:val="false"/>
          <w:color w:val="000000"/>
          <w:sz w:val="20"/>
        </w:rPr>
        <w:t xml:space="preserve">At June 30, 2026, the Company had cash and cash equivalents of $5.5 million, compared to </w:t>
      </w:r>
      <w:r>
        <w:rPr>
          <w:rFonts w:ascii="Times New Roman;serif" w:hAnsi="Times New Roman;serif"/>
          <w:b w:val="false"/>
          <w:color w:val="000000"/>
          <w:sz w:val="20"/>
          <w:shd w:fill="FFFFFF" w:val="clear"/>
        </w:rPr>
        <w:t>$4.3 million</w:t>
      </w:r>
      <w:r>
        <w:rPr>
          <w:color w:val="000000"/>
        </w:rPr>
        <w:t xml:space="preserve"> </w:t>
      </w:r>
      <w:r>
        <w:rPr>
          <w:rFonts w:ascii="Times New Roman;serif" w:hAnsi="Times New Roman;serif"/>
          <w:b w:val="false"/>
          <w:color w:val="000000"/>
          <w:sz w:val="20"/>
        </w:rPr>
        <w:t>at December 31, 2025. Working capital was $195.9 million at June 30, 2026, compared to $242.6 million at December 31, 2025. Liquidity as of June 30, 2026 was $150.6 million, consisting of $5.5 million of cash and cash equivalents, $128.3 million of availability under the ABL Agreement, and $16.8 million of available funding under the Receivables Purchase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June 30, 2026, inventory turnover was 1.0 times, or 365 days, as compared to 1.5 times, or 241 days, for the three months ended June 30, 2025. Inventory turns improved primarily due to the recognition of tariff refunds related to prior periods.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that availability under the revolving credit facility,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 active negotiations with potential lenders to refinance its current revolving credit facility and Term Loan. The Company cannot provide assurance that it will successfully complete a refinancing on favorable terms, or at all.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26, 2022, the Company entered into Amendment No. 2 (the “Amendment”) to the Company’s credit agreement, dated as of March 2, 2018 (as amended, the “ABL Agreement”) among the Company, as a Borrower, certain subsidiaries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 The ABL Agreement is subject to an earlier springing maturity date of May 28, 2027, 90 days prior to the Term Loan maturity date of August 26, 2027, if the Company’s Term Loan has not been repaid or refinanced by such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had an initial principal amount of $150.0 million, and matures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requires the Company to make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Under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maximum borrowing amount under the ABL Agreement may be increased up to $250.0 million if certain conditions are met. One or more tranches of additional term loans (the “Incremental Term Facilities”) may be added under the Term Loan if certain conditions are met. The Incremental Term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total availability under the ABL Agreement were as follows (in thousands): </w:t>
      </w:r>
    </w:p>
    <w:tbl>
      <w:tblPr>
        <w:tblW w:w="7404" w:type="dxa"/>
        <w:jc w:val="left"/>
        <w:tblInd w:w="0" w:type="dxa"/>
        <w:tblLayout w:type="fixed"/>
        <w:tblCellMar>
          <w:top w:w="28" w:type="dxa"/>
          <w:left w:w="28" w:type="dxa"/>
          <w:bottom w:w="28" w:type="dxa"/>
          <w:right w:w="28" w:type="dxa"/>
        </w:tblCellMar>
      </w:tblPr>
      <w:tblGrid>
        <w:gridCol w:w="1451"/>
        <w:gridCol w:w="1273"/>
        <w:gridCol w:w="1281"/>
        <w:gridCol w:w="109"/>
        <w:gridCol w:w="109"/>
        <w:gridCol w:w="109"/>
        <w:gridCol w:w="217"/>
        <w:gridCol w:w="817"/>
        <w:gridCol w:w="121"/>
        <w:gridCol w:w="109"/>
        <w:gridCol w:w="109"/>
        <w:gridCol w:w="109"/>
        <w:gridCol w:w="287"/>
        <w:gridCol w:w="1077"/>
        <w:gridCol w:w="226"/>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179,936 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185,588 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128,264 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119,919 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3"/>
        </w:rPr>
      </w:pPr>
      <w:r>
        <w:rPr>
          <w:rFonts w:ascii="Times New Roman;serif" w:hAnsi="Times New Roman;serif"/>
          <w:b w:val="false"/>
          <w:color w:val="000000"/>
          <w:sz w:val="13"/>
        </w:rPr>
        <w:t xml:space="preserve">(1) At June 30, 2026, the outstanding principal under the ABL Agreement is classified as current in the condensed consolidated balance sheet as the springing maturity of the ABL Agreement falls due in the next 12 months.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June 30, 2026, the availability under the ABL Agreement was $128.3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included in the condensed consolidated balance sheets were as follows (in thousands):</w:t>
      </w:r>
    </w:p>
    <w:tbl>
      <w:tblPr>
        <w:tblW w:w="6872"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217"/>
        <w:gridCol w:w="817"/>
        <w:gridCol w:w="121"/>
        <w:gridCol w:w="109"/>
        <w:gridCol w:w="109"/>
        <w:gridCol w:w="109"/>
        <w:gridCol w:w="291"/>
        <w:gridCol w:w="1093"/>
        <w:gridCol w:w="161"/>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110,332 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made a voluntary prepayment under the Term Loan of $20.0 million. The prepayment was applied to reduce the outstanding principal and satisfied remaining quarterly payments due under the loan. Subsequent to June 30, 2026, the Company made a second voluntary prepayment of $20.0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estimates that no Excess Cash Flow payment will be due for 2026. For the year ended December 31, 2025, there was no Excess Cash Flow payment due for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June 30, 2026 was between 5.10% and 7.13%. The Company paid a commitment fee of 0.25% on the unused portion of the ABL Agreement during the six months ended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June 30, 2026 was 9.27%.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Covenant Calculations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adjusted EBITDA (including pro forma adjustments), for the trailing twelve months ended June 30, 2026 was $92.0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for the six months ended June 30, 2026 were $5.2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Non-GAAP financial measure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net (loss) income, as reported, to Adjusted EBITDA, for each of the last four quarters and the 12 months ended June 30, 2026:</w:t>
      </w:r>
    </w:p>
    <w:tbl>
      <w:tblPr>
        <w:tblW w:w="10205" w:type="dxa"/>
        <w:jc w:val="left"/>
        <w:tblInd w:w="0" w:type="dxa"/>
        <w:tblLayout w:type="fixed"/>
        <w:tblCellMar>
          <w:top w:w="28" w:type="dxa"/>
          <w:left w:w="28" w:type="dxa"/>
          <w:bottom w:w="28" w:type="dxa"/>
          <w:right w:w="28" w:type="dxa"/>
        </w:tblCellMar>
      </w:tblPr>
      <w:tblGrid>
        <w:gridCol w:w="1217"/>
        <w:gridCol w:w="741"/>
        <w:gridCol w:w="745"/>
        <w:gridCol w:w="264"/>
        <w:gridCol w:w="871"/>
        <w:gridCol w:w="147"/>
        <w:gridCol w:w="109"/>
        <w:gridCol w:w="109"/>
        <w:gridCol w:w="109"/>
        <w:gridCol w:w="215"/>
        <w:gridCol w:w="711"/>
        <w:gridCol w:w="119"/>
        <w:gridCol w:w="109"/>
        <w:gridCol w:w="109"/>
        <w:gridCol w:w="109"/>
        <w:gridCol w:w="196"/>
        <w:gridCol w:w="601"/>
        <w:gridCol w:w="109"/>
        <w:gridCol w:w="109"/>
        <w:gridCol w:w="109"/>
        <w:gridCol w:w="109"/>
        <w:gridCol w:w="196"/>
        <w:gridCol w:w="646"/>
        <w:gridCol w:w="109"/>
        <w:gridCol w:w="109"/>
        <w:gridCol w:w="109"/>
        <w:gridCol w:w="109"/>
        <w:gridCol w:w="394"/>
        <w:gridCol w:w="1301"/>
        <w:gridCol w:w="315"/>
      </w:tblGrid>
      <w:tr>
        <w:trPr/>
        <w:tc>
          <w:tcPr>
            <w:tcW w:w="121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June 30, 2026</w:t>
            </w:r>
          </w:p>
        </w:tc>
      </w:tr>
      <w:tr>
        <w:trPr/>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2"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income as reported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fixed assets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(gain) on interest rate derivatives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expense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diligence expenses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Warehouse relocation and redesign expenses</w:t>
            </w:r>
            <w:r>
              <w:rPr>
                <w:rFonts w:ascii="Times New Roman;serif" w:hAnsi="Times New Roman;serif"/>
                <w:b w:val="false"/>
                <w:color w:val="000000"/>
                <w:sz w:val="12"/>
              </w:rPr>
              <w:t>(1)</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 forma adjustments</w:t>
            </w:r>
            <w:r>
              <w:rPr>
                <w:rFonts w:ascii="Times New Roman;serif" w:hAnsi="Times New Roman;serif"/>
                <w:b w:val="false"/>
                <w:color w:val="000000"/>
                <w:sz w:val="12"/>
              </w:rPr>
              <w:t>(2)</w:t>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(3)</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13,420 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27,607 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92,045 </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For the twelve months ended June 30, 2026, warehouse relocation and redesign expenses were related to the U.S. segment.</w:t>
      </w:r>
    </w:p>
    <w:p>
      <w:pPr>
        <w:pStyle w:val="TextBody"/>
        <w:bidi w:val="0"/>
        <w:spacing w:lineRule="auto" w:line="288" w:before="60" w:after="283"/>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Pro forma adjustments represent operating expense reductions projected by the Company as a result of actions taken through June 30, 2026 or expected to be taken within 18 months of June 30, 2026, net of the benefits realized during the twelve months ended June 30, 2026. These actions include cost savings for the International segment related to Project Concord. </w:t>
      </w:r>
    </w:p>
    <w:p>
      <w:pPr>
        <w:pStyle w:val="TextBody"/>
        <w:bidi w:val="0"/>
        <w:spacing w:lineRule="auto" w:line="288" w:before="60" w:after="283"/>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6"/>
        </w:rPr>
        <w:t>Adjusted EBITDA is a non-GAAP financial measure that is defined in the Company’s debt agreements. Adjusted EBITDA is defined as net (loss) income, adjusted to exclude income tax provision (benefit), interest expense, depreciation and amortization, gain on disposition of fixed assets, mark to market loss (gain) on interest rate derivatives, stock compensation expense, and other items detailed in the table above that are consistent with exclusions permitted by the Company’s debt agreements.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sell receivables to HSBC during the three and six months ended June 30, 2026 and June 30, 2025. At June 30, 2026, $16.8 million of accounts receivable were available for sale to HSBC, net of applicable charges.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of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interest rate swap agreements, each with an aggregate notional value of $25.0 million and expiring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June 30,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 The Company designates these contracts for accounting purposes as cash flow hedges. The Company purchases foreign currency forward contracts with terms of less than 18 months. The aggregate gross notional value of foreign exchange contracts at June 30, 2026 was zero.</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$46.0 million for the six months ended June 30, 2026, as compared to net cash provided by operating activities of $26.1 million for the six months ended June 30, 2025. The increase from 2026 compared to 2025 was attributable to higher operating results, the timing of payments for accounts payable and accrued expenses, and a lower investment in inventory. This was partially offset by the timing of accounts receivable collections and the changes in the Company's prepaid expenses and other current assets in the current period.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$5.2 million and $2.7 million for the six months ended June 30, 2026 and 2025, respectively. The increase in investment activities was driven by purchases of equipment for the Hagerstown Facility.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$39.6 million for the six months ended June 30, 2026, as compared to net cash used in financing activities of $14.4 million for the six months ended June 30, 2025. The change was attributable to higher repayments of the term loan and higher net repayments of the revolving credit facility in the 2026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14, 2022, the Company announced that its Board of Directors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six months ended June 30, 2026. As of June 30, 2026, the remaining dollar amount available for repurchases under the Board of Directors’ authorized plan was $11.1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in market risk for changes in foreign currency exchange rates and interest rates from the information provided in Item 7A – Quantitative and Qualitative Disclosures About Market Risk in the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Chief Executive Officer and the Chief Financial Officer of the Company (its principal executive officer and principal financial officer, respectively) have concluded, based on their evaluation as of June 30, 2026,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(b)Changes in Internal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the Company’s legal proceedings, please see NOTE 11 — CONTINGENCIES, to the Company's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other information set forth in this Quarterly Report on Form 10-Q, readers should carefully consider the factors discussed in Part I, Item 1A—Risk Factors in the 2025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Company’s fiscal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the Exhibit Index below, which is incorporated by reference herein.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572"/>
        <w:gridCol w:w="2572"/>
        <w:gridCol w:w="36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6302026.htm">
              <w:r>
                <w:rPr>
                  <w:rStyle w:val="InternetLink"/>
                  <w:rFonts w:ascii="Times New Roman;serif" w:hAnsi="Times New Roman;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6302026.htm">
              <w:r>
                <w:rPr>
                  <w:rStyle w:val="InternetLink"/>
                  <w:rFonts w:ascii="Times New Roman;serif" w:hAnsi="Times New Roman;serif"/>
                  <w:b w:val="false"/>
                  <w:color w:val="0000FF"/>
                  <w:sz w:val="20"/>
                  <w:u w:val="single"/>
                </w:rPr>
                <w:t>Certification by Laurence Winoker, Executive Vice President, Treasurer and Chief Financial Officer,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6302026.htm">
              <w:r>
                <w:rPr>
                  <w:rStyle w:val="InternetLink"/>
                  <w:rFonts w:ascii="Times New Roman;serif" w:hAnsi="Times New Roman;serif"/>
                  <w:b w:val="false"/>
                  <w:color w:val="0000FF"/>
                  <w:sz w:val="20"/>
                  <w:u w:val="single"/>
                </w:rPr>
                <w:t>Certification by Robert B. Kay, Chief Executive Officer and Director, and Laurence Winoker, Executive Vice President, Treasurer and Chief Financial Officer, pursuant to 18 U.S.C. Section 1350, as adopted pursuant to Section 906 of the Sarbanes-Oxley Act of 2002</w:t>
              </w:r>
            </w:hyperlink>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this Quarterly Report on Form 10-Q, formatted in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0fd1c4b0c070444f84c4839dc0dfee77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970" w:type="dxa"/>
        <w:jc w:val="left"/>
        <w:tblInd w:w="0" w:type="dxa"/>
        <w:tblLayout w:type="fixed"/>
        <w:tblCellMar>
          <w:top w:w="28" w:type="dxa"/>
          <w:left w:w="28" w:type="dxa"/>
          <w:bottom w:w="28" w:type="dxa"/>
          <w:right w:w="28" w:type="dxa"/>
        </w:tblCellMar>
      </w:tblPr>
      <w:tblGrid>
        <w:gridCol w:w="124"/>
        <w:gridCol w:w="109"/>
        <w:gridCol w:w="109"/>
        <w:gridCol w:w="1743"/>
        <w:gridCol w:w="1743"/>
        <w:gridCol w:w="1748"/>
        <w:gridCol w:w="407"/>
        <w:gridCol w:w="407"/>
        <w:gridCol w:w="5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Treasurer and Chief Financial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Lifetime Brands, Inc. (“the registrant”);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135" w:type="dxa"/>
        <w:jc w:val="left"/>
        <w:tblInd w:w="0" w:type="dxa"/>
        <w:tblLayout w:type="fixed"/>
        <w:tblCellMar>
          <w:top w:w="28" w:type="dxa"/>
          <w:left w:w="28" w:type="dxa"/>
          <w:bottom w:w="28" w:type="dxa"/>
          <w:right w:w="28" w:type="dxa"/>
        </w:tblCellMar>
      </w:tblPr>
      <w:tblGrid>
        <w:gridCol w:w="998"/>
        <w:gridCol w:w="878"/>
        <w:gridCol w:w="1259"/>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br/>
              <w:t>Chief Executive Officer and Director</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Laurence Winoker,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Lifetime Brands, Inc. (“the registrant”);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br/>
              <w:t>Executive Vice President,</w:t>
              <w:br/>
              <w:t>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Robert B. Kay, Chief Executive Officer and Director, and Laurence Winoker, Executive Vice President,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Chief Executive Officer and Director, and I, Laurence Winoker, Executive Vice President, Treasurer and Chief Financial Officer, of Lifetime Brands, Inc., a Delaware corporation (the “Company”), each hereby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periodic report on Form 10-Q for the period ended June 30, 2026 (the “Form 10-Q”)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Form 10-Q fairly presents, in all material respects, the financial condition and results of operations of the Company.</w:t>
      </w:r>
    </w:p>
    <w:p>
      <w:pPr>
        <w:pStyle w:val="TextBody"/>
        <w:bidi w:val="0"/>
        <w:spacing w:before="240" w:after="283"/>
        <w:jc w:val="left"/>
        <w:rPr/>
      </w:pPr>
      <w:r>
        <w:rPr/>
      </w:r>
    </w:p>
    <w:tbl>
      <w:tblPr>
        <w:tblW w:w="7720"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1362"/>
        <w:gridCol w:w="1362"/>
        <w:gridCol w:w="194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r>
      <w:tr>
        <w:trP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Laurence Winoker</w:t>
              <w:br/>
              <w:t>Executive Vice President, Treasurer and Chief Financial Officer</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24169</Words>
  <Characters>132499</Characters>
  <CharactersWithSpaces>155151</CharactersWithSpaces>
  <Paragraphs>2575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