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LIFETIME BRANDS,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49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11-2682486</w:t>
      </w:r>
    </w:p>
    <w:p>
      <w:pPr>
        <w:spacing w:after="0" w:line="31" w:lineRule="exact"/>
        <w:rPr>
          <w:sz w:val="24"/>
          <w:szCs w:val="24"/>
          <w:color w:val="auto"/>
        </w:rPr>
      </w:pPr>
    </w:p>
    <w:p>
      <w:pPr>
        <w:sectPr>
          <w:pgSz w:w="11900" w:h="16838" w:orient="portrait"/>
          <w:cols w:equalWidth="0" w:num="2">
            <w:col w:w="7500" w:space="720"/>
            <w:col w:w="3200"/>
          </w:cols>
          <w:pgMar w:left="240" w:top="230" w:right="239" w:bottom="491"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30" w:right="239" w:bottom="491" w:gutter="0" w:footer="0" w:header="0"/>
          <w:type w:val="continuous"/>
        </w:sectPr>
      </w:pP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1000 Stewart Avenue, Garden City, New York, 11530</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(516) 683-6000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491"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4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544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78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780" w:type="dxa"/>
            <w:vAlign w:val="bottom"/>
          </w:tcPr>
          <w:p>
            <w:pPr>
              <w:ind w:left="160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April 30, 2018 was 20,605,314.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491"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 ENDED MARCH 31, 2018</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r>
      <w:tr>
        <w:trPr>
          <w:trHeight w:val="269"/>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gridSpan w:val="1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820" w:type="dxa"/>
            <w:vAlign w:val="bottom"/>
          </w:tcPr>
          <w:p>
            <w:pPr>
              <w:spacing w:after="0"/>
              <w:rPr>
                <w:sz w:val="23"/>
                <w:szCs w:val="23"/>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700" w:type="dxa"/>
            <w:vAlign w:val="bottom"/>
            <w:tcBorders>
              <w:top w:val="single" w:sz="8" w:color="0000EE"/>
            </w:tcBorders>
            <w:gridSpan w:val="6"/>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Statements</w:t>
              </w:r>
            </w:hyperlink>
          </w:p>
        </w:tc>
        <w:tc>
          <w:tcPr>
            <w:tcW w:w="772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March 31, 2018 (unaudited) and December 31, 2017</w:t>
              </w:r>
            </w:hyperlink>
          </w:p>
        </w:tc>
        <w:tc>
          <w:tcPr>
            <w:tcW w:w="252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 – Three Months Ended March 31, 2018 and 2017</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20" w:type="dxa"/>
            <w:vAlign w:val="bottom"/>
            <w:gridSpan w:val="17"/>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Comprehensive Income (Loss) (unaudited) – Three Months Ended March 31, 2018 and</w:t>
              </w:r>
            </w:hyperlink>
          </w:p>
        </w:tc>
        <w:tc>
          <w:tcPr>
            <w:tcW w:w="82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2017</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 Three Months Ended March 31, 2018 and 2017</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180" w:type="dxa"/>
            <w:vAlign w:val="bottom"/>
            <w:tcBorders>
              <w:top w:val="single" w:sz="8" w:color="0000EE"/>
            </w:tcBorders>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24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Report of Independent Registered Public Accounting Firm</w:t>
              </w:r>
            </w:hyperlink>
          </w:p>
        </w:tc>
        <w:tc>
          <w:tcPr>
            <w:tcW w:w="640" w:type="dxa"/>
            <w:vAlign w:val="bottom"/>
            <w:tcBorders>
              <w:top w:val="single" w:sz="8" w:color="0000EE"/>
            </w:tcBorders>
            <w:gridSpan w:val="3"/>
          </w:tcPr>
          <w:p>
            <w:pPr>
              <w:spacing w:after="0"/>
              <w:rPr>
                <w:sz w:val="24"/>
                <w:szCs w:val="24"/>
                <w:color w:val="auto"/>
              </w:rPr>
            </w:pPr>
          </w:p>
        </w:tc>
        <w:tc>
          <w:tcPr>
            <w:tcW w:w="4560" w:type="dxa"/>
            <w:vAlign w:val="bottom"/>
            <w:gridSpan w:val="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296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5060" w:type="dxa"/>
            <w:vAlign w:val="bottom"/>
            <w:gridSpan w:val="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76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Other Information</w:t>
              </w:r>
            </w:hyperlink>
          </w:p>
        </w:tc>
        <w:tc>
          <w:tcPr>
            <w:tcW w:w="766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tcBorders>
            <w:gridSpan w:val="5"/>
          </w:tcPr>
          <w:p>
            <w:pPr>
              <w:spacing w:after="0"/>
              <w:rPr>
                <w:rFonts w:ascii="Arial" w:cs="Arial" w:eastAsia="Arial" w:hAnsi="Arial"/>
                <w:sz w:val="18"/>
                <w:szCs w:val="18"/>
                <w:color w:val="0000EE"/>
                <w:w w:val="97"/>
              </w:rPr>
            </w:pPr>
            <w:hyperlink w:anchor="page38">
              <w:r>
                <w:rPr>
                  <w:rFonts w:ascii="Arial" w:cs="Arial" w:eastAsia="Arial" w:hAnsi="Arial"/>
                  <w:sz w:val="18"/>
                  <w:szCs w:val="18"/>
                  <w:color w:val="0000EE"/>
                  <w:w w:val="97"/>
                </w:rPr>
                <w:t>Legal Proceedings</w:t>
              </w:r>
            </w:hyperlink>
          </w:p>
        </w:tc>
        <w:tc>
          <w:tcPr>
            <w:tcW w:w="792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8100" w:type="dxa"/>
            <w:vAlign w:val="bottom"/>
            <w:gridSpan w:val="1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508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12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7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color w:val="auto"/>
                <w:w w:val="90"/>
              </w:rPr>
              <w:t>(unaudited)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Accounts receivable, less allowances of $6,164 at March 31, 2018 and $6,190 at December 31, 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87,622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177,567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16,262</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293,355</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27,052</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24,517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371,087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726,915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401,521</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Current maturity of term loan</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1,285</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 term loan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34,119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49,588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85,247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71,515</w:t>
            </w: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DEFERRED RENT &amp; OTHER LONG-TERM 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20,569</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34,419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INCOME TAXES PAYABLE, LONG-TERM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45,047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TERM LOAN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263,581</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340"/>
              <w:spacing w:after="0" w:line="201" w:lineRule="exact"/>
              <w:rPr>
                <w:sz w:val="20"/>
                <w:szCs w:val="20"/>
                <w:color w:val="auto"/>
              </w:rPr>
            </w:pPr>
            <w:r>
              <w:rPr>
                <w:rFonts w:ascii="Arial" w:cs="Arial" w:eastAsia="Arial" w:hAnsi="Arial"/>
                <w:sz w:val="18"/>
                <w:szCs w:val="18"/>
                <w:color w:val="auto"/>
                <w:w w:val="97"/>
              </w:rPr>
              <w:t>Preferred stock, $1.00 par value, shares authorized: 100 shares of Series A and 2,000,000 shares of Series B; none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520"/>
              <w:spacing w:after="0"/>
              <w:rPr>
                <w:sz w:val="20"/>
                <w:szCs w:val="20"/>
                <w:color w:val="auto"/>
              </w:rPr>
            </w:pPr>
            <w:r>
              <w:rPr>
                <w:rFonts w:ascii="Arial" w:cs="Arial" w:eastAsia="Arial" w:hAnsi="Arial"/>
                <w:sz w:val="18"/>
                <w:szCs w:val="18"/>
                <w:color w:val="auto"/>
              </w:rPr>
              <w:t>issued and outstanding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Common stock, $.01 par value, shares authorized: 50,000,000 at March 31, 2018 and December 31, 2017; shares issued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outstanding: 20,605,877 at March 31, 2018 and 14,902,527 at December 31, 2017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255,408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178,909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48,068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(25,941)</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277,741</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1060"/>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726,915</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260" w:right="360"/>
        <w:spacing w:after="0" w:line="449" w:lineRule="auto"/>
        <w:rPr>
          <w:sz w:val="20"/>
          <w:szCs w:val="20"/>
          <w:color w:val="auto"/>
        </w:rPr>
      </w:pPr>
      <w:r>
        <w:rPr>
          <w:rFonts w:ascii="Arial" w:cs="Arial" w:eastAsia="Arial" w:hAnsi="Arial"/>
          <w:sz w:val="18"/>
          <w:szCs w:val="18"/>
          <w:color w:val="auto"/>
        </w:rPr>
        <w:t>See accompanying independent registered public accounting firm review report and notes to unaudited condensed consolidated financial statements. - 2 -</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w:t>
      </w:r>
    </w:p>
    <w:p>
      <w:pPr>
        <w:jc w:val="center"/>
        <w:ind w:left="95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118,169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Cost of sales</w:t>
            </w:r>
          </w:p>
        </w:tc>
        <w:tc>
          <w:tcPr>
            <w:tcW w:w="3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Distribution expenses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17,822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Restructuring expenses</w:t>
            </w:r>
          </w:p>
        </w:tc>
        <w:tc>
          <w:tcPr>
            <w:tcW w:w="3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(13,316)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Interest expense</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Loss on early retirement of debt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Loss before income taxes and equity in earnings</w:t>
            </w:r>
          </w:p>
        </w:tc>
        <w:tc>
          <w:tcPr>
            <w:tcW w:w="3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(15,485)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Equity in earnings, net of taxes</w:t>
            </w:r>
          </w:p>
        </w:tc>
        <w:tc>
          <w:tcPr>
            <w:tcW w:w="3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(11,598)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LOSS PER COMMON SHARE</w:t>
            </w:r>
          </w:p>
        </w:tc>
        <w:tc>
          <w:tcPr>
            <w:tcW w:w="3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LOSS PER COMMON SHARE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3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6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0.0425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left="260" w:right="360"/>
        <w:spacing w:after="0" w:line="449" w:lineRule="auto"/>
        <w:rPr>
          <w:sz w:val="20"/>
          <w:szCs w:val="20"/>
          <w:color w:val="auto"/>
        </w:rPr>
      </w:pPr>
      <w:r>
        <w:rPr>
          <w:rFonts w:ascii="Arial" w:cs="Arial" w:eastAsia="Arial" w:hAnsi="Arial"/>
          <w:sz w:val="18"/>
          <w:szCs w:val="18"/>
          <w:color w:val="auto"/>
        </w:rPr>
        <w:t>See accompanying independent registered public accounting firm review report and notes to unaudited condensed consolidated financial statements. - 3 -</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20" w:type="dxa"/>
            <w:vAlign w:val="bottom"/>
          </w:tcPr>
          <w:p>
            <w:pPr>
              <w:spacing w:after="0"/>
              <w:rPr>
                <w:sz w:val="12"/>
                <w:szCs w:val="12"/>
                <w:color w:val="auto"/>
              </w:rPr>
            </w:pPr>
          </w:p>
        </w:tc>
        <w:tc>
          <w:tcPr>
            <w:tcW w:w="9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(11,598)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(1,331)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w:t>
            </w: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Derivative fair value adjustment</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30"/>
        </w:trPr>
        <w:tc>
          <w:tcPr>
            <w:tcW w:w="978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taxes</w:t>
            </w: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260" w:right="360"/>
        <w:spacing w:after="0" w:line="449" w:lineRule="auto"/>
        <w:rPr>
          <w:sz w:val="20"/>
          <w:szCs w:val="20"/>
          <w:color w:val="auto"/>
        </w:rPr>
      </w:pPr>
      <w:r>
        <w:rPr>
          <w:rFonts w:ascii="Arial" w:cs="Arial" w:eastAsia="Arial" w:hAnsi="Arial"/>
          <w:sz w:val="18"/>
          <w:szCs w:val="18"/>
          <w:color w:val="auto"/>
        </w:rPr>
        <w:t>See accompanying independent registered public accounting firm review report and notes to unaudited condensed consolidated financial statements. - 4 -</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3"/>
          </w:tcPr>
          <w:p>
            <w:pPr>
              <w:jc w:val="right"/>
              <w:ind w:right="628"/>
              <w:spacing w:after="0"/>
              <w:rPr>
                <w:sz w:val="20"/>
                <w:szCs w:val="20"/>
                <w:color w:val="auto"/>
              </w:rPr>
            </w:pPr>
            <w:r>
              <w:rPr>
                <w:rFonts w:ascii="Arial" w:cs="Arial" w:eastAsia="Arial" w:hAnsi="Arial"/>
                <w:sz w:val="18"/>
                <w:szCs w:val="18"/>
                <w:color w:val="auto"/>
              </w:rPr>
              <w:t>(11,598)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(1,331)</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4,309</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3,286</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financing costs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compensation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Undistributed equity in earnings, net of taxes</w:t>
            </w:r>
          </w:p>
        </w:tc>
        <w:tc>
          <w:tcPr>
            <w:tcW w:w="100" w:type="dxa"/>
            <w:vAlign w:val="bottom"/>
          </w:tcPr>
          <w:p>
            <w:pPr>
              <w:spacing w:after="0"/>
              <w:rPr>
                <w:sz w:val="18"/>
                <w:szCs w:val="18"/>
                <w:color w:val="auto"/>
              </w:rPr>
            </w:pPr>
          </w:p>
        </w:tc>
        <w:tc>
          <w:tcPr>
            <w:tcW w:w="1400" w:type="dxa"/>
            <w:vAlign w:val="bottom"/>
            <w:gridSpan w:val="3"/>
          </w:tcPr>
          <w:p>
            <w:pPr>
              <w:jc w:val="right"/>
              <w:ind w:right="628"/>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early retirement of debt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(excluding the effects of business acquisitions)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48,119</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43,044</w:t>
            </w: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400" w:type="dxa"/>
            <w:vAlign w:val="bottom"/>
            <w:gridSpan w:val="3"/>
          </w:tcPr>
          <w:p>
            <w:pPr>
              <w:jc w:val="right"/>
              <w:ind w:right="628"/>
              <w:spacing w:after="0"/>
              <w:rPr>
                <w:sz w:val="20"/>
                <w:szCs w:val="20"/>
                <w:color w:val="auto"/>
              </w:rPr>
            </w:pPr>
            <w:r>
              <w:rPr>
                <w:rFonts w:ascii="Arial" w:cs="Arial" w:eastAsia="Arial" w:hAnsi="Arial"/>
                <w:sz w:val="18"/>
                <w:szCs w:val="18"/>
                <w:color w:val="auto"/>
              </w:rPr>
              <w:t>(17,303)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(18,648)</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other current assets and other assets</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28"/>
              <w:spacing w:after="0"/>
              <w:rPr>
                <w:sz w:val="20"/>
                <w:szCs w:val="20"/>
                <w:color w:val="auto"/>
              </w:rPr>
            </w:pPr>
            <w:r>
              <w:rPr>
                <w:rFonts w:ascii="Arial" w:cs="Arial" w:eastAsia="Arial" w:hAnsi="Arial"/>
                <w:sz w:val="18"/>
                <w:szCs w:val="18"/>
                <w:color w:val="auto"/>
              </w:rPr>
              <w:t>(1,476)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w:t>
            </w: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spacing w:after="0"/>
              <w:rPr>
                <w:sz w:val="18"/>
                <w:szCs w:val="18"/>
                <w:color w:val="auto"/>
              </w:rPr>
            </w:pPr>
          </w:p>
        </w:tc>
        <w:tc>
          <w:tcPr>
            <w:tcW w:w="1400" w:type="dxa"/>
            <w:vAlign w:val="bottom"/>
            <w:gridSpan w:val="3"/>
          </w:tcPr>
          <w:p>
            <w:pPr>
              <w:jc w:val="right"/>
              <w:ind w:right="628"/>
              <w:spacing w:after="0"/>
              <w:rPr>
                <w:sz w:val="20"/>
                <w:szCs w:val="20"/>
                <w:color w:val="auto"/>
              </w:rPr>
            </w:pPr>
            <w:r>
              <w:rPr>
                <w:rFonts w:ascii="Arial" w:cs="Arial" w:eastAsia="Arial" w:hAnsi="Arial"/>
                <w:sz w:val="18"/>
                <w:szCs w:val="18"/>
                <w:color w:val="auto"/>
              </w:rPr>
              <w:t>(7,050)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(18,135)</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400" w:type="dxa"/>
            <w:vAlign w:val="bottom"/>
            <w:gridSpan w:val="3"/>
          </w:tcPr>
          <w:p>
            <w:pPr>
              <w:jc w:val="right"/>
              <w:ind w:right="628"/>
              <w:spacing w:after="0"/>
              <w:rPr>
                <w:sz w:val="20"/>
                <w:szCs w:val="20"/>
                <w:color w:val="auto"/>
              </w:rPr>
            </w:pPr>
            <w:r>
              <w:rPr>
                <w:rFonts w:ascii="Arial" w:cs="Arial" w:eastAsia="Arial" w:hAnsi="Arial"/>
                <w:sz w:val="18"/>
                <w:szCs w:val="18"/>
                <w:color w:val="auto"/>
              </w:rPr>
              <w:t>(3,880)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(1,373)</w:t>
            </w: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88"/>
              <w:spacing w:after="0"/>
              <w:rPr>
                <w:sz w:val="20"/>
                <w:szCs w:val="20"/>
                <w:color w:val="auto"/>
              </w:rPr>
            </w:pPr>
            <w:r>
              <w:rPr>
                <w:rFonts w:ascii="Arial" w:cs="Arial" w:eastAsia="Arial" w:hAnsi="Arial"/>
                <w:sz w:val="18"/>
                <w:szCs w:val="18"/>
                <w:color w:val="auto"/>
              </w:rPr>
              <w:t>12,538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5,979</w:t>
            </w:r>
          </w:p>
        </w:tc>
      </w:tr>
      <w:tr>
        <w:trPr>
          <w:trHeight w:val="223"/>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28"/>
              <w:spacing w:after="0"/>
              <w:rPr>
                <w:sz w:val="20"/>
                <w:szCs w:val="20"/>
                <w:color w:val="auto"/>
              </w:rPr>
            </w:pPr>
            <w:r>
              <w:rPr>
                <w:rFonts w:ascii="Arial" w:cs="Arial" w:eastAsia="Arial" w:hAnsi="Arial"/>
                <w:sz w:val="18"/>
                <w:szCs w:val="18"/>
                <w:color w:val="auto"/>
              </w:rPr>
              <w:t>(2,408)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Filament acquisition, net of cash acquired</w:t>
            </w:r>
          </w:p>
        </w:tc>
        <w:tc>
          <w:tcPr>
            <w:tcW w:w="100" w:type="dxa"/>
            <w:vAlign w:val="bottom"/>
          </w:tcPr>
          <w:p>
            <w:pPr>
              <w:spacing w:after="0"/>
              <w:rPr>
                <w:sz w:val="18"/>
                <w:szCs w:val="18"/>
                <w:color w:val="auto"/>
              </w:rPr>
            </w:pPr>
          </w:p>
        </w:tc>
        <w:tc>
          <w:tcPr>
            <w:tcW w:w="1400" w:type="dxa"/>
            <w:vAlign w:val="bottom"/>
            <w:gridSpan w:val="3"/>
          </w:tcPr>
          <w:p>
            <w:pPr>
              <w:jc w:val="right"/>
              <w:ind w:right="628"/>
              <w:spacing w:after="0"/>
              <w:rPr>
                <w:sz w:val="20"/>
                <w:szCs w:val="20"/>
                <w:color w:val="auto"/>
              </w:rPr>
            </w:pPr>
            <w:r>
              <w:rPr>
                <w:rFonts w:ascii="Arial" w:cs="Arial" w:eastAsia="Arial" w:hAnsi="Arial"/>
                <w:sz w:val="18"/>
                <w:szCs w:val="18"/>
                <w:color w:val="auto"/>
                <w:w w:val="88"/>
              </w:rPr>
              <w:t>(217,932)</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28"/>
              <w:spacing w:after="0"/>
              <w:rPr>
                <w:sz w:val="20"/>
                <w:szCs w:val="20"/>
                <w:color w:val="auto"/>
              </w:rPr>
            </w:pPr>
            <w:r>
              <w:rPr>
                <w:rFonts w:ascii="Arial" w:cs="Arial" w:eastAsia="Arial" w:hAnsi="Arial"/>
                <w:sz w:val="18"/>
                <w:szCs w:val="18"/>
                <w:color w:val="auto"/>
                <w:w w:val="88"/>
              </w:rPr>
              <w:t>(220,340)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r>
      <w:tr>
        <w:trPr>
          <w:trHeight w:val="223"/>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revolving credit facility</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88"/>
              <w:spacing w:after="0"/>
              <w:rPr>
                <w:sz w:val="20"/>
                <w:szCs w:val="20"/>
                <w:color w:val="auto"/>
              </w:rPr>
            </w:pPr>
            <w:r>
              <w:rPr>
                <w:rFonts w:ascii="Arial" w:cs="Arial" w:eastAsia="Arial" w:hAnsi="Arial"/>
                <w:sz w:val="18"/>
                <w:szCs w:val="18"/>
                <w:color w:val="auto"/>
              </w:rPr>
              <w:t>73,725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66,298</w:t>
            </w: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Repayments of revolving credit facility</w:t>
            </w:r>
          </w:p>
        </w:tc>
        <w:tc>
          <w:tcPr>
            <w:tcW w:w="100" w:type="dxa"/>
            <w:vAlign w:val="bottom"/>
          </w:tcPr>
          <w:p>
            <w:pPr>
              <w:spacing w:after="0"/>
              <w:rPr>
                <w:sz w:val="18"/>
                <w:szCs w:val="18"/>
                <w:color w:val="auto"/>
              </w:rPr>
            </w:pPr>
          </w:p>
        </w:tc>
        <w:tc>
          <w:tcPr>
            <w:tcW w:w="1400" w:type="dxa"/>
            <w:vAlign w:val="bottom"/>
            <w:gridSpan w:val="3"/>
          </w:tcPr>
          <w:p>
            <w:pPr>
              <w:jc w:val="right"/>
              <w:ind w:right="628"/>
              <w:spacing w:after="0"/>
              <w:rPr>
                <w:sz w:val="20"/>
                <w:szCs w:val="20"/>
                <w:color w:val="auto"/>
              </w:rPr>
            </w:pPr>
            <w:r>
              <w:rPr>
                <w:rFonts w:ascii="Arial" w:cs="Arial" w:eastAsia="Arial" w:hAnsi="Arial"/>
                <w:sz w:val="18"/>
                <w:szCs w:val="18"/>
                <w:color w:val="auto"/>
                <w:w w:val="88"/>
              </w:rPr>
              <w:t>(123,938)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(70,620)</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Term Loan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275,000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Repayment of Credit Agreement term loan</w:t>
            </w:r>
          </w:p>
        </w:tc>
        <w:tc>
          <w:tcPr>
            <w:tcW w:w="100" w:type="dxa"/>
            <w:vAlign w:val="bottom"/>
          </w:tcPr>
          <w:p>
            <w:pPr>
              <w:spacing w:after="0"/>
              <w:rPr>
                <w:sz w:val="18"/>
                <w:szCs w:val="18"/>
                <w:color w:val="auto"/>
              </w:rPr>
            </w:pPr>
          </w:p>
        </w:tc>
        <w:tc>
          <w:tcPr>
            <w:tcW w:w="1400" w:type="dxa"/>
            <w:vAlign w:val="bottom"/>
            <w:gridSpan w:val="3"/>
          </w:tcPr>
          <w:p>
            <w:pPr>
              <w:jc w:val="right"/>
              <w:ind w:right="76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short term loan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Payment of financing costs</w:t>
            </w:r>
          </w:p>
        </w:tc>
        <w:tc>
          <w:tcPr>
            <w:tcW w:w="100" w:type="dxa"/>
            <w:vAlign w:val="bottom"/>
          </w:tcPr>
          <w:p>
            <w:pPr>
              <w:spacing w:after="0"/>
              <w:rPr>
                <w:sz w:val="18"/>
                <w:szCs w:val="18"/>
                <w:color w:val="auto"/>
              </w:rPr>
            </w:pPr>
          </w:p>
        </w:tc>
        <w:tc>
          <w:tcPr>
            <w:tcW w:w="1400" w:type="dxa"/>
            <w:vAlign w:val="bottom"/>
            <w:gridSpan w:val="3"/>
          </w:tcPr>
          <w:p>
            <w:pPr>
              <w:jc w:val="right"/>
              <w:ind w:right="628"/>
              <w:spacing w:after="0"/>
              <w:rPr>
                <w:sz w:val="20"/>
                <w:szCs w:val="20"/>
                <w:color w:val="auto"/>
              </w:rPr>
            </w:pPr>
            <w:r>
              <w:rPr>
                <w:rFonts w:ascii="Arial" w:cs="Arial" w:eastAsia="Arial" w:hAnsi="Arial"/>
                <w:sz w:val="18"/>
                <w:szCs w:val="18"/>
                <w:color w:val="auto"/>
              </w:rPr>
              <w:t>(11,049)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equity issuance costs</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28"/>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Payments for capital leases</w:t>
            </w:r>
          </w:p>
        </w:tc>
        <w:tc>
          <w:tcPr>
            <w:tcW w:w="100" w:type="dxa"/>
            <w:vAlign w:val="bottom"/>
          </w:tcPr>
          <w:p>
            <w:pPr>
              <w:spacing w:after="0"/>
              <w:rPr>
                <w:sz w:val="18"/>
                <w:szCs w:val="18"/>
                <w:color w:val="auto"/>
              </w:rPr>
            </w:pPr>
          </w:p>
        </w:tc>
        <w:tc>
          <w:tcPr>
            <w:tcW w:w="1400" w:type="dxa"/>
            <w:vAlign w:val="bottom"/>
            <w:gridSpan w:val="3"/>
          </w:tcPr>
          <w:p>
            <w:pPr>
              <w:jc w:val="right"/>
              <w:ind w:right="628"/>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28"/>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1400" w:type="dxa"/>
            <w:vAlign w:val="bottom"/>
            <w:gridSpan w:val="3"/>
          </w:tcPr>
          <w:p>
            <w:pPr>
              <w:jc w:val="right"/>
              <w:ind w:right="76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 paid</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28"/>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w:t>
            </w:r>
          </w:p>
        </w:tc>
      </w:tr>
      <w:tr>
        <w:trPr>
          <w:trHeight w:val="230"/>
        </w:trPr>
        <w:tc>
          <w:tcPr>
            <w:tcW w:w="20" w:type="dxa"/>
            <w:vAlign w:val="bottom"/>
          </w:tcPr>
          <w:p>
            <w:pPr>
              <w:spacing w:after="0"/>
              <w:rPr>
                <w:sz w:val="20"/>
                <w:szCs w:val="20"/>
                <w:color w:val="auto"/>
              </w:rPr>
            </w:pPr>
          </w:p>
        </w:tc>
        <w:tc>
          <w:tcPr>
            <w:tcW w:w="914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211,954</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(7,253)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on cash</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4,304</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(1,594)</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100" w:type="dxa"/>
            <w:vAlign w:val="bottom"/>
            <w:shd w:val="clear" w:color="auto" w:fill="CCEEFF"/>
          </w:tcPr>
          <w:p>
            <w:pPr>
              <w:spacing w:after="0"/>
              <w:rPr>
                <w:sz w:val="18"/>
                <w:szCs w:val="18"/>
                <w:color w:val="auto"/>
              </w:rPr>
            </w:pPr>
          </w:p>
        </w:tc>
      </w:tr>
      <w:tr>
        <w:trPr>
          <w:trHeight w:val="223"/>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11,904</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260" w:right="360"/>
        <w:spacing w:after="0" w:line="449" w:lineRule="auto"/>
        <w:rPr>
          <w:sz w:val="20"/>
          <w:szCs w:val="20"/>
          <w:color w:val="auto"/>
        </w:rPr>
      </w:pPr>
      <w:r>
        <w:rPr>
          <w:rFonts w:ascii="Arial" w:cs="Arial" w:eastAsia="Arial" w:hAnsi="Arial"/>
          <w:sz w:val="18"/>
          <w:szCs w:val="18"/>
          <w:color w:val="auto"/>
        </w:rPr>
        <w:t>See accompanying independent registered public accounting firm review report and notes to unaudited condensed consolidated financial statements. - 5 -</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PRESENTATION AND SUMMARY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Lifetime Brands, Inc. (the “Company”) designs, sources and sells branded kitchenware, tableware and other products used in the home and markets its products under a number of brand names and trademarks, which are either owned or licensed by the Company, or through retailers’ private labels. The Company markets and sells its products principally on a wholesale basis to retailers. The Company also markets and sells a limited selection of its products directly to consumers through third parties and its own internet websites.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2, 2018, the Company expanded its portfolio of products and brands through the acquisition of Taylor Holdco LLC and its subsidiaries (doing business as Filament Brands) (“Filament”). Filament primarily designs, markets, and distributes consumer and food service precision measurement products, including kitchen scales, thermometers and timers, bath scales, wine accessories, kitchen tools, hydration products, and select outdoor products. The three months ended March 31, 2018 includes the operations of Filament for the period from March 2, 2018 to March 31, 2018. See Note C for additional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U.S. generally accepted accounting principles for complete financial statements. In the opinion of management, all adjustments, which consist only of normal recurring accruals, considered necessary for a fair presentation have been included. These condensed consolidated financial statements should be read in conjunction with the condensed consolidated financial statements and footnotes thereto included in the Company’s Annual Report on Form 10-K for the fiscal year ended December 31, 2017.</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results for the three month period ended March 31, 2018 are not necessarily indicative of the results that may be expected for the year ending December 31, 2018.</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2017 and 2016, net sales for the third and fourth quarters accounted for 60% and 61% of total annual net sales, respectively. In anticipation of the pre-holiday shipping season, inventory levels increase primarily in the June through October time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recognized at the point in time the customer obtains control of the products, in an amount that reflects the consideration the Company expects to be entitled to in exchange for those products.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returns are reflected as reductions of revenue at the time of sale. See Note B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Cost of sales consists primarily of costs associated with the production and procurement of product, inbound freight costs, purchasing costs, royalties and other product procurement related charges.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Distribution expenses consist primarily of warehousing expenses and freight-out expenses.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A considerable amount of judgment is required to assess the ultimate realization of these receivables including assessing the initial and on-going creditworthiness of the Company’s customers.</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has an uncommitted Receivables Purchase Agreement with HSBC Bank USA, National Association (“HSBC”), as Purchaser (the “Receivables Purchase Agreement”). The sale of accounts receivable, under the Company’s Receivable Purchase Agreement with HSBC, are reflected as a reduction of accounts receivable in the Company’s condensed consolidated balance sheet at the time of sale and any related expense is included in selling, general and administrative expenses in the Company’s condensed consolidated statements of operations. Pursuant to this agreement, the Company sold to HSBC</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$19.6 million and $21.6 million of Receivables during the three months ended March 31, 2018 and 2017, respectively. A charge of $90,000 and $67,000 related to the sale of the Receivables is included in selling, general and administrative expenses in the condensed consolidated statements of operations for the three months ended March 31, 2018 and 2017, respectively.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predicable cost of completion, disposal and transportation.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440" w:type="dxa"/>
            <w:vAlign w:val="bottom"/>
            <w:gridSpan w:val="4"/>
          </w:tcPr>
          <w:p>
            <w:pPr>
              <w:ind w:left="54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540" w:type="dxa"/>
            <w:vAlign w:val="bottom"/>
          </w:tcPr>
          <w:p>
            <w:pPr>
              <w:spacing w:after="0"/>
              <w:rPr>
                <w:sz w:val="14"/>
                <w:szCs w:val="14"/>
                <w:color w:val="auto"/>
              </w:rPr>
            </w:pPr>
          </w:p>
        </w:tc>
        <w:tc>
          <w:tcPr>
            <w:tcW w:w="70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tcBorders>
            <w:gridSpan w:val="3"/>
          </w:tcPr>
          <w:p>
            <w:pPr>
              <w:ind w:left="600"/>
              <w:spacing w:after="0" w:line="142" w:lineRule="exact"/>
              <w:rPr>
                <w:sz w:val="20"/>
                <w:szCs w:val="20"/>
                <w:color w:val="auto"/>
              </w:rPr>
            </w:pPr>
            <w:r>
              <w:rPr>
                <w:rFonts w:ascii="Arial" w:cs="Arial" w:eastAsia="Arial" w:hAnsi="Arial"/>
                <w:sz w:val="14"/>
                <w:szCs w:val="14"/>
                <w:color w:val="auto"/>
                <w:w w:val="92"/>
              </w:rPr>
              <w:t>(in thousands)</w:t>
            </w: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$174,565</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129,611</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Work in process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1,738</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1,548</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60" w:type="dxa"/>
            <w:vAlign w:val="bottom"/>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177,567</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132,436</w:t>
            </w:r>
          </w:p>
        </w:tc>
        <w:tc>
          <w:tcPr>
            <w:tcW w:w="6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revolving credit facility, term loan and short term loan approximate fair value since such borrowings bear interest at variable market rates.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accounts for derivative instruments in accordance with Accounting Standard Codification (“ASC”) Topic No. 815, Derivatives and Hedging. ASC Topic No.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 in the fair value of hedges are included in accumulated other comprehensive income (loss) and is subsequently recognized in the Company’s condensed consolidated statements of operations to mirror the location of the hedged items impacting earnings.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For derivatives that do not qualify or are not designated as hedging instruments for accounting purposes, changes in fair value are recorded in operations.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 As it relates to the goodwill assessment, the Company first assesses qualitative factors to determine whether it is more likely than not that the fair value of a reporting unit is less than its carrying amount as a basis for determining whether it is necessary to perform the two-step goodwill impairment testing described in ASU Topic No.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If, after assessing qualitative factors, the Company determines that it is not more likely than not that the fair value of a reporting unit is less than its carrying amount, then performing the two-step impairment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two-step process. The first step in the two-step process compares the carrying value of each reporting unit that has goodwill with the estimated fair value of the respective reporting unit. Should the carrying value of a reporting unit be in excess of the estimated fair value of that reporting unit, the second step must be performed. The second step represents a hypothetical purchase price allocation as if the Company had acquired the reporting unit on that date. 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asset is considered to be impaired, the impairment to be recognized is measured by the amount by which the carrying amount of the asset exceeds the fair value of the asset.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self-insures certain portions of its health insurance plans. The Company maintains an accrual for unpaid claims and estimated claims incurred but not yet reported (“IBNR”). Although management believes that it uses the best information available to estimate claims IBNR, actual claims may vary significantly from estimated claims.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point of closure for any remaining operating lease obligations and at the communication date for severance.</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Company’s March 2018 acquisition of Filament, the Company commenced a restructuring plan to integrate the operations of Filament with the Company’s operations and realize the savings expected from the synergies of the acquisition. During the three months ended March 31, 2018 the Company incurred $0.4 million of restructuring charges, all of which is accrued.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 xml:space="preserve">Effective January 1, 2018, the Company adopted Accounting Standards Update (“ASU”) 2017-01, </w:t>
      </w: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 This standard assists with evaluating whether transactions should be accounted for as acquisitions (or disposals) of assets or businesses. This standard will be applied prospectively to acquisitions and has not had an impact on the Company’s condensed consolidated financial statements.</w:t>
      </w:r>
    </w:p>
    <w:p>
      <w:pPr>
        <w:spacing w:after="0" w:line="16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Effective January 1, 2018, the Company adopted Accounting Standards Codification (“ASC”) Topic 606. The standard supersedes existing revenue recognition guidance and replaces it with a five step revenue model with a core principle that an entity recognizes revenue to reflect the transfer of promised goods or services to customers in an amount that reflects the consideration to which the entity expects to be entitled to in exchange for those goods or services. The Company adopted the new guidance under the modified retrospective approach. The adoption of this guidance did not have a significant impact on the Company’s condensed consolidated financial statements. The adoption resulted in the recognition of right of a return asset related to certain product returns by increasing the returns liability; this gross up had no corresponding impact on the Condensed Consolidated Statement of Operations.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Effective January 1, 2018, the Company adopted ASU 2017-12, </w:t>
      </w:r>
      <w:r>
        <w:rPr>
          <w:rFonts w:ascii="Arial" w:cs="Arial" w:eastAsia="Arial" w:hAnsi="Arial"/>
          <w:sz w:val="18"/>
          <w:szCs w:val="18"/>
          <w:i w:val="1"/>
          <w:iCs w:val="1"/>
          <w:color w:val="auto"/>
        </w:rPr>
        <w:t>Derivatives and Hedging: Targeted Improvements to Accounting for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(Topic 815), </w:t>
      </w:r>
      <w:r>
        <w:rPr>
          <w:rFonts w:ascii="Arial" w:cs="Arial" w:eastAsia="Arial" w:hAnsi="Arial"/>
          <w:sz w:val="18"/>
          <w:szCs w:val="18"/>
          <w:color w:val="auto"/>
        </w:rPr>
        <w:t>which expands and refines hedge accounting for both non-financial and financial risk components and aligns the recognition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of the effects of the hedging instrument and the hedged item in the financial statements. The guidance also makes certain improvements to simplify the application of hedge accounting guidance and ease the administrative burden of hedge documentation requirements and assessing hedge effectiveness. The Company applied the new guidance to existing cash flow hedge relationships using a modified retrospective approach. No adjustment was recorded to opening retained earnings on the date of adoption. The adoption of this ASU did not have a material impact on the Company’s financial condition, results of operations or cash flows.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to be adopted in future periods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February 2018, the Financial Accounting Standards Board (“FASB”) issued ASU 2018-02, </w:t>
      </w:r>
      <w:r>
        <w:rPr>
          <w:rFonts w:ascii="Arial" w:cs="Arial" w:eastAsia="Arial" w:hAnsi="Arial"/>
          <w:sz w:val="18"/>
          <w:szCs w:val="18"/>
          <w:i w:val="1"/>
          <w:iCs w:val="1"/>
          <w:color w:val="auto"/>
        </w:rPr>
        <w:t>Income Statement- Reporting 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 which addresses the effect of the change in the U.S. federal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tax rate due to the enactment of the December 22, 2017 Tax Cuts and Jobs Act on items within accumulated other comprehensive income (loss). The guidance is effective for fiscal years beginning after December 15, 2018, with early adoption permitted. The Company is evaluating the effect of adopting this pronouncement.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to simplify the subsequent measurement of goodwill by eliminating the second step of the goodwill impairment test. Under this standard, an entity should perform its annual or interim goodwill impairment test by comparing the fair value of a reporting unit with its carrying amount. An entity should recognize an impairment charge for the amount by which the carrying amount exceeds the reporting unit’s fair value. The loss recognized should not exceed the total amount of goodwill allocated to that reporting unit. This guidance is effective for interim and annual goodwill impairment tests in fiscal years beginning after December 15, 2019. Early adoption is permitted for interim or annual goodwill impairment tests performed on testing dates after January 1, 2017. The Company is evaluating the effect of adopting this pronouncement.</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which reduces the diversity in practice on how certain transactions are classified in the statement of cash flows. The guidance is effective for fiscal years beginning after December 15, 2018, and interim periods within fiscal years beginning after December 15, 2019. Early adoption is permitted. The Company is evaluating the effect of adopting this pronouncement.</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requires a lessee, in most leases, to initially recognize a lease liability for the obligation to make lease payments and a right-of-use asset for the right to use the underlying asset for the lease term. The guidance is effective for fiscal years beginning after December 15, 2018, and interim periods within with those years. Early adoption is permitted. The Company is in the process of evaluating the effect the guidance will have on its existing accounting policies and its consolidated financial statements, but expects there will be an increase in assets and liabilities on the consolidated balance sheets at adoption due to the recording of the right-of-use assets and corresponding lease liabilities, which may be material.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—REVENUE</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sells products wholesale, to retailers and distributors, and retail, directly to the consumer.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$545,000 and $561,000 for the three months ended March 31, 2018 and 2017, respectively. Net sales exclude taxes that are collected from customers and remitted to the taxing authorities.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Payment terms with customers vary by customer, but generally range from 30 to 90 days or at the point of sale for the Company’s retail direct sales. 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condensed consolidated statement of operations. Incidental items that are immaterial in the context of the contract are expensed as incurred.</w:t>
      </w:r>
    </w:p>
    <w:p>
      <w:pPr>
        <w:spacing w:after="0" w:line="15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tables present the Company’s net sales disaggregated by segment, product category and geographic region for the three months ended March 31, 2018 (in thousands).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Wholesale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Kitchenware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Tableware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Home Solutions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Kitchenware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Tableware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Retail Direct</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United States</w:t>
            </w:r>
          </w:p>
        </w:tc>
        <w:tc>
          <w:tcPr>
            <w:tcW w:w="2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Rest of World</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—ACQUISITION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December 22, 2017, the Company entered into an agreement providing for the acquisition of Filament by the Company. At a special meeting of stockholders held on February 28, 2018, stockholders approved the issuance of shares pursuant to the agreement and the acquisition was completed on March 2, 2018. The aggregate consideration for Filament was $295.8 million, $218.9 million of cash consideration and 5,593,116 newly issued shares of the Company’s common stock, with a value equal to $76.9 million, based on the market value of the Company’s common stock as of March 2, 2018. The estimated cash portion of the consideration is subject to adjustments as defined in the agreement. The acquisition is being accounted for as a business combination using the acquisition method of accounting in accordance with FASB ASC Topic 805, which established a new basis of accounting for all identifiable assets acquired and liabilities assumed at fair value.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w w:val="91"/>
              </w:rPr>
              <w:t>The purchase price has been determined to be as follows (in thousands):</w:t>
            </w:r>
          </w:p>
        </w:tc>
        <w:tc>
          <w:tcPr>
            <w:tcW w:w="3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35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$218,917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Share consideration</w:t>
            </w:r>
          </w:p>
        </w:tc>
        <w:tc>
          <w:tcPr>
            <w:tcW w:w="3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295,822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500" w:type="dxa"/>
            <w:vAlign w:val="bottom"/>
            <w:vMerge w:val="restart"/>
          </w:tcPr>
          <w:p>
            <w:pPr>
              <w:jc w:val="right"/>
              <w:ind w:right="2870"/>
              <w:spacing w:after="0"/>
              <w:rPr>
                <w:sz w:val="20"/>
                <w:szCs w:val="20"/>
                <w:color w:val="auto"/>
              </w:rPr>
            </w:pPr>
            <w:r>
              <w:rPr>
                <w:rFonts w:ascii="Arial" w:cs="Arial" w:eastAsia="Arial" w:hAnsi="Arial"/>
                <w:sz w:val="18"/>
                <w:szCs w:val="18"/>
                <w:color w:val="auto"/>
              </w:rPr>
              <w:t>- 11 -</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8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purchase price was allocated based on the Company’s preliminary estimate of the fair value of the assets acquired and liabilities assumed, as follows (in thousands):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Inventory</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26,696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liabilities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(24,393)</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(26,633)</w:t>
            </w: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2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283,613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allocated value</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295,822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Goodwill results from such factors as an assembled workforce. The total amount of goodwill is not expected to be deductible for tax purposes. The goodwill and other intangible assets are primarily included in the U.S. Wholesale segment. Customer relationships are amortized on a straight-line basis over their estimated useful lives (see Note E).</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three months ended March 31, 2018 includes the operations of Filament for the period from March 2, 2018, the date of acquisition, to March 31, 2018. The condensed consolidated statement of operations for the three months ended March 31, 2018, include $9.3 million of net sales and $1.1 million net loss from operations contributed by Filament.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Results</w:t>
      </w:r>
    </w:p>
    <w:p>
      <w:pPr>
        <w:spacing w:after="0" w:line="11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following table presents the Company’s pro forma consolidated net sales, loss before income taxes and equity in earnings and net loss for the three months ended March 31, 2018 and March 31, 2017. The unaudited pro forma results include the historical statement of operations information of the Company and of Filament, giving effect to the Filament acquisition and related financing as if they had occurred at the beginning of the periods presented.</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4"/>
          </w:tcPr>
          <w:p>
            <w:pPr>
              <w:jc w:val="center"/>
              <w:ind w:right="280"/>
              <w:spacing w:after="0"/>
              <w:rPr>
                <w:sz w:val="20"/>
                <w:szCs w:val="20"/>
                <w:color w:val="auto"/>
              </w:rPr>
            </w:pPr>
            <w:r>
              <w:rPr>
                <w:rFonts w:ascii="Arial" w:cs="Arial" w:eastAsia="Arial" w:hAnsi="Arial"/>
                <w:sz w:val="14"/>
                <w:szCs w:val="14"/>
                <w:color w:val="auto"/>
                <w:w w:val="93"/>
              </w:rPr>
              <w:t>Unaudited pro forma results</w:t>
            </w:r>
          </w:p>
        </w:tc>
      </w:tr>
      <w:tr>
        <w:trPr>
          <w:trHeight w:val="123"/>
        </w:trPr>
        <w:tc>
          <w:tcPr>
            <w:tcW w:w="4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gridSpan w:val="2"/>
          </w:tcPr>
          <w:p>
            <w:pPr>
              <w:jc w:val="center"/>
              <w:ind w:left="398"/>
              <w:spacing w:after="0" w:line="123" w:lineRule="exact"/>
              <w:rPr>
                <w:sz w:val="20"/>
                <w:szCs w:val="20"/>
                <w:color w:val="auto"/>
              </w:rPr>
            </w:pPr>
            <w:r>
              <w:rPr>
                <w:rFonts w:ascii="Arial" w:cs="Arial" w:eastAsia="Arial" w:hAnsi="Arial"/>
                <w:sz w:val="14"/>
                <w:szCs w:val="14"/>
                <w:color w:val="auto"/>
                <w:w w:val="93"/>
              </w:rPr>
              <w:t>Three Months Ended</w:t>
            </w: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67"/>
        </w:trPr>
        <w:tc>
          <w:tcPr>
            <w:tcW w:w="4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March 31, 2018</w:t>
            </w:r>
          </w:p>
        </w:tc>
        <w:tc>
          <w:tcPr>
            <w:tcW w:w="1420" w:type="dxa"/>
            <w:vAlign w:val="bottom"/>
            <w:gridSpan w:val="3"/>
          </w:tcPr>
          <w:p>
            <w:pPr>
              <w:jc w:val="right"/>
              <w:ind w:right="140"/>
              <w:spacing w:after="0"/>
              <w:rPr>
                <w:sz w:val="20"/>
                <w:szCs w:val="20"/>
                <w:color w:val="auto"/>
              </w:rPr>
            </w:pPr>
            <w:r>
              <w:rPr>
                <w:rFonts w:ascii="Arial" w:cs="Arial" w:eastAsia="Arial" w:hAnsi="Arial"/>
                <w:sz w:val="14"/>
                <w:szCs w:val="14"/>
                <w:color w:val="auto"/>
              </w:rPr>
              <w:t>March 31, 2017</w:t>
            </w:r>
          </w:p>
        </w:tc>
      </w:tr>
      <w:tr>
        <w:trPr>
          <w:trHeight w:val="142"/>
        </w:trPr>
        <w:tc>
          <w:tcPr>
            <w:tcW w:w="4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3"/>
          </w:tcPr>
          <w:p>
            <w:pPr>
              <w:jc w:val="center"/>
              <w:ind w:right="90"/>
              <w:spacing w:after="0" w:line="142" w:lineRule="exact"/>
              <w:rPr>
                <w:sz w:val="20"/>
                <w:szCs w:val="20"/>
                <w:color w:val="auto"/>
              </w:rPr>
            </w:pPr>
            <w:r>
              <w:rPr>
                <w:rFonts w:ascii="Arial" w:cs="Arial" w:eastAsia="Arial" w:hAnsi="Arial"/>
                <w:sz w:val="14"/>
                <w:szCs w:val="14"/>
                <w:color w:val="auto"/>
                <w:w w:val="91"/>
              </w:rPr>
              <w:t>(In thousands, except per share data)</w:t>
            </w:r>
          </w:p>
        </w:tc>
        <w:tc>
          <w:tcPr>
            <w:tcW w:w="12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143,980</w:t>
            </w: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158,270</w:t>
            </w:r>
          </w:p>
        </w:tc>
        <w:tc>
          <w:tcPr>
            <w:tcW w:w="12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Loss before income taxes and equity in earnings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38"/>
              <w:spacing w:after="0"/>
              <w:rPr>
                <w:sz w:val="20"/>
                <w:szCs w:val="20"/>
                <w:color w:val="auto"/>
              </w:rPr>
            </w:pPr>
            <w:r>
              <w:rPr>
                <w:rFonts w:ascii="Arial" w:cs="Arial" w:eastAsia="Arial" w:hAnsi="Arial"/>
                <w:sz w:val="18"/>
                <w:szCs w:val="18"/>
                <w:color w:val="auto"/>
              </w:rPr>
              <w:t>(15,844)</w:t>
            </w:r>
          </w:p>
        </w:tc>
        <w:tc>
          <w:tcPr>
            <w:tcW w:w="6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(4,962)</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(11,868)</w:t>
            </w:r>
          </w:p>
        </w:tc>
        <w:tc>
          <w:tcPr>
            <w:tcW w:w="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(2,566)</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Basic and diluted loss per common share</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238"/>
              <w:spacing w:after="0"/>
              <w:rPr>
                <w:sz w:val="20"/>
                <w:szCs w:val="20"/>
                <w:color w:val="auto"/>
              </w:rPr>
            </w:pPr>
            <w:r>
              <w:rPr>
                <w:rFonts w:ascii="Arial" w:cs="Arial" w:eastAsia="Arial" w:hAnsi="Arial"/>
                <w:sz w:val="18"/>
                <w:szCs w:val="18"/>
                <w:color w:val="auto"/>
              </w:rPr>
              <w:t>(0.58)</w:t>
            </w:r>
          </w:p>
        </w:tc>
        <w:tc>
          <w:tcPr>
            <w:tcW w:w="6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pro forma results, prepared in accordance with U.S. GAAP, include the following pro forma adjustments related to the Filament acquisition:</w:t>
      </w:r>
    </w:p>
    <w:p>
      <w:pPr>
        <w:spacing w:after="0" w:line="131" w:lineRule="exact"/>
        <w:rPr>
          <w:sz w:val="20"/>
          <w:szCs w:val="20"/>
          <w:color w:val="auto"/>
        </w:rPr>
      </w:pPr>
    </w:p>
    <w:p>
      <w:pPr>
        <w:ind w:left="900" w:right="4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a $1.5 million increase in the fair value of acquired inventory at the acquisition date, the Company recorded a $0.3 million charge in cost of sales in the three months ended March 31, 2018 condensed consolidated financial statements. The pro forma adjustments reflect the elimination of this charge;</w:t>
      </w:r>
    </w:p>
    <w:p>
      <w:pPr>
        <w:spacing w:after="0" w:line="86"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net increase in amortization expense related to the fair value of the identifiable intangible assets of $0.3 million for the three months ended March 31, 2018 and a net decrease in amortization expense related to the fair value of the identifiable intangible assets of $0.2 million in the three months ended March 31, 2017;</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elimination of acquisition costs recorded in the three months ended March 31, 2018 of $0.8 million incurred by the Company;</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900" w:right="8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adjustment to reflect the refinancing of the Company’s debt in connection with the acquisition. The three months ended March 31, 2018 and 2017 reflects a net decrease of $0.9 million and $1.4 million, respectively, for the change in interest expense, amortization of debt issuance costs and elimination of historical debt and preferred interest expense of Filament;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adjustment to reflect additional compensation for a key executive as a result of the acquisition;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the weighted average shares outstanding to reflect the issuance of consideration shares.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unaudited pro forma results do not include any revenue or cost reductions that may be achieved through the business combination, or the impact of non-recurring items directly related to the business combination.</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unaudited pro forma results are not necessarily indicative of the operating results that would have occurred if the Filament acquisition had been completed as of the date for which the pro forma financial information is presented. In addition, the unaudited pro forma results do not purport to project the future condensed consolidated operating results of the combined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—INVESTMENTS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owns approximately a 30% interest in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statement of operations. Accordingly, the Company has recorded its proportionate share of Vasconia’s net income (reduced for amortization expense related to the customer relationships acquired) for the three month periods ended March 31, 2018 and 2017 in the accompanying condensed consolidated statements of operations. The value of the Company’s investment balance has been translated from Mexican Pesos (“MXN”) to U.S. Dollars (“USD”) using the spot rates of MXN 18.16 and MXN 19.68 at March 31, 2018 and December 31, 2017, respectively. The Company’s proportionate share of Vasconia’s net income has been translated from MXN to USD using the average exchange rates of MXN 18.71 and MXN 20.30 during the three months ended March 31, 2018 and 2017, respectively. The effect of the translation of the Company’s investment resulted in an increase to the investment of $0.7 million and $1.3 million during the three months ended March 31, 2018 and 2017, respectively (also see Note M). These translation effects are recorded in accumulated other comprehensive income (loss). Included within prepaid expenses and other current assets at March 31, 2018 and December 31, 2017 are amounts due from Vasconia of $112,000 and $64,000, respectively. Included within accrued expenses and accounts payable at March 31, 2018 and December 31, 2017 are amounts due to Vasconia of $7,000 and $0,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summarized statement of income information for Vasconia in USD and MXN is as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9"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Three Months Ended</w:t>
      </w:r>
    </w:p>
    <w:p>
      <w:pPr>
        <w:jc w:val="center"/>
        <w:ind w:left="6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672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579"/>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23"/>
        </w:trPr>
        <w:tc>
          <w:tcPr>
            <w:tcW w:w="6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20" w:type="dxa"/>
            <w:vAlign w:val="bottom"/>
            <w:gridSpan w:val="5"/>
          </w:tcPr>
          <w:p>
            <w:pPr>
              <w:jc w:val="right"/>
              <w:ind w:right="440"/>
              <w:spacing w:after="0" w:line="123" w:lineRule="exact"/>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672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color w:val="auto"/>
              </w:rPr>
              <w:t>USD</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rPr>
              <w:t>MXN</w:t>
            </w:r>
          </w:p>
        </w:tc>
        <w:tc>
          <w:tcPr>
            <w:tcW w:w="1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MXN</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$39,570</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$740,406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$36,823</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$747,495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Gross profit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7,119</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133,207</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7,853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159,421</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21,503</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2,430</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49,329</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Net (loss) income</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(362)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(6,776)</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1,234</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25,043</w:t>
            </w:r>
          </w:p>
        </w:tc>
      </w:tr>
    </w:tbl>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recorded equity in earnings of Vasconia, net of taxes, of $77,000 and $0.5 million, for the three months ended March 31, 2018 and 2017, respectively. Equity in earnings for the three months ended March 31, 2018 and 2017, includes deferred tax benefit of $0.2 million in both periods, due to the requirement to record tax benefits for foreign currency translation gains and losses through other comprehensive income (loss), with a corresponding adjustment to deferred tax liabilities.</w:t>
      </w:r>
    </w:p>
    <w:p>
      <w:pPr>
        <w:spacing w:after="0" w:line="18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As of March 31, 2018 and December 31, 2017, the fair value (based upon Vasconia’s quoted stock price) of the Company’s investment in Vasconia was $35.9 million and $31.8 million, respectively. The carrying value of the Company’s investment in Vasconia was $24.3 million and $23.8 million as of March 31, 2018 and December 31, 2017,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1"/>
              </w:rPr>
              <w:t>December 31, 2017</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0"/>
                <w:szCs w:val="10"/>
                <w:color w:val="auto"/>
              </w:rPr>
            </w:pPr>
          </w:p>
        </w:tc>
        <w:tc>
          <w:tcPr>
            <w:tcW w:w="112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0"/>
                <w:szCs w:val="10"/>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0"/>
                <w:szCs w:val="10"/>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98,889</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15,772</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$15,772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64,816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7,616</w:t>
            </w:r>
          </w:p>
        </w:tc>
        <w:tc>
          <w:tcPr>
            <w:tcW w:w="0" w:type="dxa"/>
            <w:vAlign w:val="bottom"/>
          </w:tcPr>
          <w:p>
            <w:pPr>
              <w:spacing w:after="0"/>
              <w:rPr>
                <w:sz w:val="1"/>
                <w:szCs w:val="1"/>
                <w:color w:val="auto"/>
              </w:rPr>
            </w:pPr>
          </w:p>
        </w:tc>
      </w:tr>
      <w:tr>
        <w:trPr>
          <w:trHeight w:val="32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Finite-lived intangible assets: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(9,489)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6,358</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(9,375)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Trade names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33,841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(11,926)</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21,915</w:t>
            </w: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33,368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(11,109)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193,492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(19,298)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174,194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(16,966)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4,915</w:t>
            </w: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412,666</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371,087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126,729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(38,250)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88,479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320" w:type="dxa"/>
            <w:vAlign w:val="bottom"/>
            <w:gridSpan w:val="3"/>
          </w:tcPr>
          <w:p>
            <w:pPr>
              <w:jc w:val="center"/>
              <w:ind w:left="930"/>
              <w:spacing w:after="0"/>
              <w:rPr>
                <w:sz w:val="20"/>
                <w:szCs w:val="20"/>
                <w:color w:val="auto"/>
              </w:rPr>
            </w:pPr>
            <w:r>
              <w:rPr>
                <w:rFonts w:ascii="Arial" w:cs="Arial" w:eastAsia="Arial" w:hAnsi="Arial"/>
                <w:sz w:val="18"/>
                <w:szCs w:val="18"/>
                <w:color w:val="auto"/>
                <w:w w:val="90"/>
              </w:rPr>
              <w:t>- 14 -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A summary of the activities related to the Company’s intangible assets for the three months ended March 31, 2018 consists of the following (in thousands):</w:t>
      </w:r>
    </w:p>
    <w:p>
      <w:pPr>
        <w:spacing w:after="0" w:line="29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 and Intangible Assets, December 31, 2017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88,479</w:t>
            </w: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Goodwill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82,613</w:t>
            </w:r>
          </w:p>
        </w:tc>
        <w:tc>
          <w:tcPr>
            <w:tcW w:w="1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Trade names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57,200</w:t>
            </w: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Customer relationships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139,200</w:t>
            </w:r>
          </w:p>
        </w:tc>
        <w:tc>
          <w:tcPr>
            <w:tcW w:w="1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(2,680)</w:t>
            </w:r>
          </w:p>
        </w:tc>
      </w:tr>
      <w:tr>
        <w:trPr>
          <w:trHeight w:val="223"/>
        </w:trPr>
        <w:tc>
          <w:tcPr>
            <w:tcW w:w="6960" w:type="dxa"/>
            <w:vAlign w:val="bottom"/>
          </w:tcPr>
          <w:p>
            <w:pPr>
              <w:spacing w:after="0"/>
              <w:rPr>
                <w:sz w:val="20"/>
                <w:szCs w:val="20"/>
                <w:color w:val="auto"/>
              </w:rPr>
            </w:pPr>
            <w:r>
              <w:rPr>
                <w:rFonts w:ascii="Arial" w:cs="Arial" w:eastAsia="Arial" w:hAnsi="Arial"/>
                <w:sz w:val="18"/>
                <w:szCs w:val="18"/>
                <w:b w:val="1"/>
                <w:bCs w:val="1"/>
                <w:color w:val="auto"/>
              </w:rPr>
              <w:t>Goodwill and Intangible Assets, March 31, 2018</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371,087</w:t>
            </w:r>
          </w:p>
        </w:tc>
        <w:tc>
          <w:tcPr>
            <w:tcW w:w="12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DEBT</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Company’s acquisition of Filament, on March 2, 2018, the Company entered into a new credit agreement (the “ABL Agreement”) with JPMorgan Chase Bank, N.A. (“JPMorgan”), as administrative agent, and the lenders and issuing banks party thereto, evidencing a senior secured asset-based revolving credit facility provided to the Company in the maximum aggregate principal amount of $150.0 million, which facility will mature on March 2, 2023, and a new loan agreement (the “Term Loan” and together with the ABL Agreement, the “Debt Agreements”) with the Company, as the borrower and a guarantor, the other guarantors, JPMorgan, as administrative agent, Golub Capital LLC, as syndication agent, and the lenders party thereto, providing for a senior secured term loan credit facility to the Company in the original principal amount of $275.0 million, which will mature on February 28, 2025. The Term Loan facility will be repaid, commencing June 30, 2018, in quarterly payments of principal equal to 0.25% of the original aggregate principal amount of the term loan facility. The maximum borrowing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8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March 31, 2018, borrowings outstanding under the ABL Agreement were $45.0 million, and open letters of credit were $3.2 million. At March 31, 2018, availability under the ABL Agreement was approximately $79.5 million. 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19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At March 31, 2018, $275.0 million was outstanding under the Term Loan. At March 31, 2018, unamortized debt issuance costs of $1.5 million and $8.7 million offset the short-term and long-term outstanding balances, respectively, of the Term Loan.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Borrowings under the revolving credit facility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The margin with respect to the revolving credit facility is, until financial statements for the first full fiscal quarter ending after the closing are delivered, 0.50% per annum in the case of base rate borrowings and 1.50% per annum in the case of LIBOR borrowings. Interest rates on outstanding borrowings under the ABL Agreement at March 31, 2018 ranged from 2.0% to 5.3%. In addition, the Company paid a commitment fee of 0.375% on the unused portion of the ABL Agreement during the three months ended March 31, 2018.</w:t>
      </w:r>
    </w:p>
    <w:p>
      <w:pPr>
        <w:spacing w:after="0" w:line="178"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term loan facility bears interest, at the Company’s option, at one of the following rates: (i) alternate base rate, defined, for any day, as the greater of the prime rate, a federal funds and overnight bank funding based rate plus 0.5% or one-month LIBOR plus 1.0%, plus a margin of 2.50% or (ii) LIBOR plus a margin of 3.50%. The interest rate on outstanding borrowings under the Term Loan at March 31, 2018 was 5.2%.</w:t>
      </w:r>
    </w:p>
    <w:p>
      <w:pPr>
        <w:spacing w:after="0" w:line="16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March 31, 2018.</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December 31, 2017, borrowings outstanding under the Company’s former credit facility were $94.7 million and open letters of credit were $3.2 million. Availability under the former credit agreement was approximately $58.0 million at December 31, 2017. Upon entering into the Debt Agreements in March 2018 the Company repaid its outstanding borrowings under its former credit agreement. In connection therewith, debt issuance costs of $66,000 were written off.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DERIVATIVES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has entered into certain foreign exchange contracts, primarily to offset the earnings impact related to fluctuations in foreign currency exchange rates associated with inventory purchases denominated in foreign currencies. The aggregate gross notional values of foreign exchange contracts at March 31, 2018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December 31, 2017 were $28.3 million and $34.9 million, respectively. These foreign exchange contracts have not been designated as hedges as required in order to apply hedge accounting. The changes in the fair values of these contracts are recorded in earnings immediately.</w:t>
      </w:r>
    </w:p>
    <w:p>
      <w:pPr>
        <w:spacing w:after="0" w:line="14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presented as follows (in thousands):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0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Balance Sheet</w:t>
            </w: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March 31, 2018</w:t>
            </w:r>
          </w:p>
        </w:tc>
        <w:tc>
          <w:tcPr>
            <w:tcW w:w="6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120" w:type="dxa"/>
            <w:vAlign w:val="bottom"/>
            <w:vMerge w:val="continue"/>
          </w:tcPr>
          <w:p>
            <w:pPr>
              <w:spacing w:after="0"/>
              <w:rPr>
                <w:sz w:val="14"/>
                <w:szCs w:val="14"/>
                <w:color w:val="auto"/>
              </w:rPr>
            </w:pPr>
          </w:p>
        </w:tc>
        <w:tc>
          <w:tcPr>
            <w:tcW w:w="20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Location</w:t>
            </w:r>
          </w:p>
        </w:tc>
        <w:tc>
          <w:tcPr>
            <w:tcW w:w="9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Accrued expenses</w:t>
            </w:r>
          </w:p>
        </w:tc>
        <w:tc>
          <w:tcPr>
            <w:tcW w:w="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values of the derivatives have been obtained from the counterparties to the agreements and were based on Level 2 observable inputs using proprietary models and estimates about relevant future market conditions.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amounts of the gains and losses related to the Company’s derivative financial instruments not designated as hedging instruments are recognized in earnings as follows (in thousands):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52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Location of loss</w:t>
            </w:r>
          </w:p>
        </w:tc>
        <w:tc>
          <w:tcPr>
            <w:tcW w:w="280" w:type="dxa"/>
            <w:vAlign w:val="bottom"/>
          </w:tcPr>
          <w:p>
            <w:pPr>
              <w:spacing w:after="0"/>
              <w:rPr>
                <w:sz w:val="12"/>
                <w:szCs w:val="12"/>
                <w:color w:val="auto"/>
              </w:rPr>
            </w:pPr>
          </w:p>
        </w:tc>
        <w:tc>
          <w:tcPr>
            <w:tcW w:w="15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71"/>
        </w:trPr>
        <w:tc>
          <w:tcPr>
            <w:tcW w:w="5260" w:type="dxa"/>
            <w:vAlign w:val="bottom"/>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Foreign exchange contracts</w:t>
            </w:r>
          </w:p>
        </w:tc>
        <w:tc>
          <w:tcPr>
            <w:tcW w:w="25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Selling, general and administrative</w:t>
            </w:r>
          </w:p>
        </w:tc>
        <w:tc>
          <w:tcPr>
            <w:tcW w:w="2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$(1,515)</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connection with the financing transaction described in Note F, the Company settled its outstanding interest rate swaps, which had an aggregate notional value of $5.3 million. The net gain reported in accumulated other comprehensive income at December 31, 2017 related to the interest rate swap was reclassified into interest expense during the three months ended March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H </w:t>
      </w:r>
      <w:r>
        <w:rPr>
          <w:rFonts w:ascii="Arial" w:cs="Arial" w:eastAsia="Arial" w:hAnsi="Arial"/>
          <w:sz w:val="18"/>
          <w:szCs w:val="18"/>
          <w:color w:val="auto"/>
        </w:rPr>
        <w:t>—</w:t>
      </w:r>
      <w:r>
        <w:rPr>
          <w:rFonts w:ascii="Arial" w:cs="Arial" w:eastAsia="Arial" w:hAnsi="Arial"/>
          <w:sz w:val="18"/>
          <w:szCs w:val="18"/>
          <w:b w:val="1"/>
          <w:bCs w:val="1"/>
          <w:color w:val="auto"/>
        </w:rPr>
        <w:t xml:space="preserve"> STOCK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three months ended March 31, 2018 is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remaining</w:t>
            </w: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exercise</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price</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life (years)</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January 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1,456,200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Grants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13.75</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Cancellations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Expirations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15.41</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March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1,595,825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w:t>
            </w:r>
          </w:p>
        </w:tc>
        <w:tc>
          <w:tcPr>
            <w:tcW w:w="9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$ 1,393,000</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exercisable, March 31, 2018</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13.04</w:t>
            </w:r>
          </w:p>
        </w:tc>
        <w:tc>
          <w:tcPr>
            <w:tcW w:w="440" w:type="dxa"/>
            <w:vAlign w:val="bottom"/>
          </w:tcPr>
          <w:p>
            <w:pPr>
              <w:spacing w:after="0" w:line="20" w:lineRule="exact"/>
              <w:rPr>
                <w:sz w:val="1"/>
                <w:szCs w:val="1"/>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3.8</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1,246,923</w:t>
            </w:r>
          </w:p>
        </w:tc>
        <w:tc>
          <w:tcPr>
            <w:tcW w:w="28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$ 1,393,000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stock options on March 31, 2018. The intrinsic value is calculated for each in-the-money stock option as the difference between the closing price of the Company’s common stock on March 31, 2018 and the exercise price.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Total unrecognized stock option compensation expense at March 31, 2018, before the effect of income taxes, was $1.4 million and is expected to be recognized over a weighted-average period of 2.5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and related information for the three months ended March 31, 2018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Restricted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January 1, 2018</w:t>
            </w:r>
          </w:p>
        </w:tc>
        <w:tc>
          <w:tcPr>
            <w:tcW w:w="1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219,317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Grants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75,944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Cancellations</w:t>
            </w:r>
          </w:p>
        </w:tc>
        <w:tc>
          <w:tcPr>
            <w:tcW w:w="2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(5,375)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b w:val="1"/>
                <w:bCs w:val="1"/>
                <w:color w:val="auto"/>
              </w:rPr>
              <w:t>Non-vested restricted shares, March 31, 2018</w:t>
            </w:r>
          </w:p>
        </w:tc>
        <w:tc>
          <w:tcPr>
            <w:tcW w:w="1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289,886</w:t>
            </w:r>
          </w:p>
        </w:tc>
        <w:tc>
          <w:tcPr>
            <w:tcW w:w="2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$3,486,000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No restricted stock vested during the three months ended March 31,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Each performance award represents the right to receive up to 150% of the target number of shares of common stock. The number of shares of common stock earned will be determined based on the attainment of specified performance goals by the end of the performance period, as determined by the Compensation Committee. The shares are subject to the terms and conditions of the Company’s Amended and Restated 2000 Long-Term Incentive Plan (the “Plan”).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performance-based award activity and related information for the three months ended March 31, 2018 is as follows: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280" w:type="dxa"/>
            <w:vAlign w:val="bottom"/>
            <w:gridSpan w:val="3"/>
            <w:vMerge w:val="restart"/>
          </w:tcPr>
          <w:p>
            <w:pPr>
              <w:jc w:val="center"/>
              <w:ind w:left="774"/>
              <w:spacing w:after="0"/>
              <w:rPr>
                <w:sz w:val="20"/>
                <w:szCs w:val="20"/>
                <w:color w:val="auto"/>
              </w:rPr>
            </w:pPr>
            <w:r>
              <w:rPr>
                <w:rFonts w:ascii="Arial" w:cs="Arial" w:eastAsia="Arial" w:hAnsi="Arial"/>
                <w:sz w:val="14"/>
                <w:szCs w:val="14"/>
                <w:b w:val="1"/>
                <w:bCs w:val="1"/>
                <w:color w:val="auto"/>
                <w:w w:val="95"/>
              </w:rPr>
              <w:t>Performance-</w:t>
            </w:r>
          </w:p>
        </w:tc>
        <w:tc>
          <w:tcPr>
            <w:tcW w:w="24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based 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(1)</w:t>
            </w:r>
          </w:p>
        </w:tc>
        <w:tc>
          <w:tcPr>
            <w:tcW w:w="24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performance-based awards, January 1, 2018</w:t>
            </w:r>
          </w:p>
        </w:tc>
        <w:tc>
          <w:tcPr>
            <w:tcW w:w="1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228,892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Cancellations</w:t>
            </w:r>
          </w:p>
        </w:tc>
        <w:tc>
          <w:tcPr>
            <w:tcW w:w="2280" w:type="dxa"/>
            <w:vAlign w:val="bottom"/>
            <w:gridSpan w:val="3"/>
          </w:tcPr>
          <w:p>
            <w:pPr>
              <w:jc w:val="right"/>
              <w:ind w:right="220"/>
              <w:spacing w:after="0"/>
              <w:rPr>
                <w:sz w:val="20"/>
                <w:szCs w:val="20"/>
                <w:color w:val="auto"/>
              </w:rPr>
            </w:pPr>
            <w:r>
              <w:rPr>
                <w:rFonts w:ascii="Arial" w:cs="Arial" w:eastAsia="Arial" w:hAnsi="Arial"/>
                <w:sz w:val="18"/>
                <w:szCs w:val="18"/>
                <w:color w:val="auto"/>
              </w:rPr>
              <w:t>(7,293)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(58,888)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b w:val="1"/>
                <w:bCs w:val="1"/>
                <w:color w:val="auto"/>
              </w:rPr>
              <w:t>Non-vested performance-based awards, March 31, 2018</w:t>
            </w:r>
          </w:p>
        </w:tc>
        <w:tc>
          <w:tcPr>
            <w:tcW w:w="1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162,711</w:t>
            </w:r>
          </w:p>
        </w:tc>
        <w:tc>
          <w:tcPr>
            <w:tcW w:w="2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$ 1,419,000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target number of shares to be issued for each performance-based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performance-based awards that vested during the three months ended March 31, 2018 was $792,000.</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00"/>
          </w:cols>
          <w:pgMar w:left="24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recognized total stock compensation expense of $0.8 million for the three months ended March 31, 2018, of which $0.2 million represents stock option compensation expense and $0.6 million represents restricted stock and performance based compensation expense. The Company recognized total stock compensation expense of $0.8 million for the three months ended March 31, 2017, of which $0.4 million represents stock option compensation expense and $0.4 million represents restricted stock and performance based compensation expense.</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March 31, 2018, there were 374,558 shares available for awards that could be granted under the Plan, assuming maximum performance of performance-based awards.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I—LOSS PER COMMON SHARE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loss per common share has been computed by dividing net loss by the weighted-average number of shares of the Company’s common stock outstanding during the relevant period. Diluted loss per common share adjusts net loss and basic loss per common share for the effect of all potentially dilutive shares of the Company’s common stock. The calculations of basic and diluted loss per common share for the three month periods ended March 31, 2018 and 2017 are as follows:</w:t>
      </w:r>
    </w:p>
    <w:p>
      <w:pPr>
        <w:spacing w:after="0" w:line="206"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Three Months Ended</w:t>
      </w:r>
    </w:p>
    <w:p>
      <w:pPr>
        <w:jc w:val="center"/>
        <w:ind w:left="58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5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5"/>
          </w:tcPr>
          <w:p>
            <w:pPr>
              <w:jc w:val="right"/>
              <w:ind w:right="34"/>
              <w:spacing w:after="0" w:line="142" w:lineRule="exact"/>
              <w:rPr>
                <w:sz w:val="20"/>
                <w:szCs w:val="20"/>
                <w:color w:val="auto"/>
              </w:rPr>
            </w:pPr>
            <w:r>
              <w:rPr>
                <w:rFonts w:ascii="Arial" w:cs="Arial" w:eastAsia="Arial" w:hAnsi="Arial"/>
                <w:sz w:val="14"/>
                <w:szCs w:val="14"/>
                <w:color w:val="auto"/>
                <w:w w:val="90"/>
              </w:rPr>
              <w:t>(in thousands, except per share amounts)</w:t>
            </w:r>
          </w:p>
        </w:tc>
        <w:tc>
          <w:tcPr>
            <w:tcW w:w="12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basic and diluted</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(11,598)</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(1,331)</w:t>
            </w: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Weighted-average shares outstanding – basic and diluted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16,601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14,396</w:t>
            </w: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(0.70)</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r>
      <w:tr>
        <w:trPr>
          <w:trHeight w:val="20"/>
        </w:trPr>
        <w:tc>
          <w:tcPr>
            <w:tcW w:w="5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computation of diluted loss per common share for the three months ended March 31, 2018 and 2017 excludes 1,885,711 shares and 2,003,162 shares, respectively, related to options to purchase shares and other stock awards. These shares were excluded due to their antidilutive effects.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INCOME TAXES</w:t>
      </w:r>
    </w:p>
    <w:p>
      <w:pPr>
        <w:spacing w:after="0" w:line="12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On December 22, 2017, the legislation commonly referred to as the Tax Cuts and Jobs Act (the “Tax Act”) was enacted. The Tax Act revises the U.S. corporate income tax by, among other things, lowering the corporate income tax rate from 35% to 21%, adopting a quasi-territorial income tax system and imposing a one-time transition tax on foreign unremitted earnings, and setting limitations on deductibility of certain costs (e.g., interest expense).</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Securities and Exchange Commission issued Staff Accounting Bulletin (“SAB”) 118 to provide guidance to companies that have not yet completed their accounting for the Tax Act in the period of enactment. SAB 118 provides that the Company include in its financial statements a reasonable estimate of the impact of the Tax Act on earnings to the extent such estimate has been determined. Accordingly, the Company recorded a provisional income tax expense of $3.3 million in the year ended December 31, 2017 associated with the re-measurement of the Company’s deferred tax assets stemming from the reduction of the U.S. federal income tax rate and one-time transition tax on the Company’s material wholly owned foreign subsidiaries’ accumulated, unremitted earnings, based on the reasonable estimate guidance provided by SAB 118.</w:t>
      </w:r>
    </w:p>
    <w:p>
      <w:pPr>
        <w:spacing w:after="0" w:line="17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As of March 31, 2018 the Company has not changed the provisional estimates recognized in 2017 and the Company is not yet able to calculate a reasonable estimate for the impact of the one-time transition tax on the Company’s equity investment due to the complexity of calculating accumulated foreign earnings and profits, foreign tax paid, and other tax components involved in foreign tax credit calculations for applicable years after 1986.</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Beginning January 1, 2018, the Tax Act subjects the Company to a tax on global intangible low-taxed income (“GILTI”) earned by certain foreign subsidiaries, base erosion anti-abuse tax (“BEAT”), foreign derived intangible income tax (“FDII”), and IRC Section 163(j) interest limitation (“Interest Limitation”). Entities can make an accounting policy election to either recognize deferred taxes for temporary basis differences expected to reverse as GILTI in future years or provide for the tax expense related to GILTI in the year the tax is incurred. Given the complexity of the GILTI provisions, the Company is still evaluating the tax impact and has not yet made the accounting policy election. As of March 31, 2018, the Company was able to reasonably estimate provisional adjustments, based on current year operations only, related to GILTI and FDII that have been recognized in the Company’s financial statements. For the BEAT and Interest Limitation impact of the Tax Act, the Company has not recorded a provisional estimate in its effective tax rate for the three months ended March 31, 2018 because the Company does not currently estimate that these provisions of the Tax Act will apply in 2018.</w:t>
      </w:r>
    </w:p>
    <w:p>
      <w:pPr>
        <w:spacing w:after="0" w:line="16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Pursuant to SAB 118, the Company is allowed a measurement period of up to one year after the enactment date of the Tax Act to finalize the recording of the related tax impacts. The Company will continue to calculate the impact of the Tax Act and will record any resulting tax adjustments during 2018.</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Income tax benefit of $3.8 million and $0.9 million for the three months ended March 31, 2018 and 2017, respectively, represent taxes on both U.S. and foreign earnings at a combined effective income tax benefit rates of 24.6% and 33.5%, respectively. The effective rate for the three months ended March 31, 2018 reflects the reduced U.S. corporate income tax rate, partially offset by non-deductible expenses. The effective tax rate for the three months ended March 31, 2017 reflects income derived from foreign sources being taxed at a lower income tax rate, as well as the release of a tax liability related to an uncertain tax position.</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 quarterly basis, the Company evaluates its tax positions and revises its estimates accordingly. The estimated value of the Company’s uncertain tax positions at March 31, 2018 is a gross liability of tax and interest of $3.7 million. The Company believes that $2.8 of its tax positions will be resolved within the next twelve months.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has identified the following jurisdictions as “major” tax jurisdictions: U.S. Federal, California, Massachusetts, New York, New Jersey, Illinois and the United Kingdom. The Company is no longer subject to U.S. Federal income tax examinations for the years prior to 2014. At March 31, 2018, the periods subject to examination for the Company’s major state jurisdictions are the years ended 2013 through 2017.</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policy for recording interest and penalties is to record such items as a component of income taxes. Interest and penalties were not material to the Company’s results of operations or cash flows as of and for the three month periods ended March 31, 2018 and 2017. At March 31, 2018, interest and penalties included in the Company’s uncertain tax position gross liability was approximately $1.0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BUSINESS SEGMENTS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three reportable business segments: U.S. Wholesale, International and Retail Direct. The U.S. Wholesale segment is the Company’s primary domestic business that designs, markets and distributes its products to retailers and distributors. The International segment consists of certain business operations conducted outside the U.S. The Retail Direct segment is where the Company markets and sells a limited selection of its products directly to consumers through third party and its own internet websites.</w:t>
      </w:r>
    </w:p>
    <w:p>
      <w:pPr>
        <w:spacing w:after="0" w:line="187"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The Company has segmented its operations to reflect the manner in which management reviews and evaluates the results of its operations. While the three segments distribute similar products, the segments are distinct due to the different methods the Company uses to sell, market, and distribute the products. Management evaluates the performance of the U.S. Wholesale, International and Retail Direct segments based on net sales and income (loss)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165"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Three Months Ended</w:t>
      </w:r>
    </w:p>
    <w:p>
      <w:pPr>
        <w:jc w:val="center"/>
        <w:ind w:left="66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35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6"/>
          </w:tcPr>
          <w:p>
            <w:pPr>
              <w:jc w:val="right"/>
              <w:ind w:right="392"/>
              <w:spacing w:after="0" w:line="142" w:lineRule="exact"/>
              <w:rPr>
                <w:sz w:val="20"/>
                <w:szCs w:val="20"/>
                <w:color w:val="auto"/>
              </w:rPr>
            </w:pPr>
            <w:r>
              <w:rPr>
                <w:rFonts w:ascii="Arial" w:cs="Arial" w:eastAsia="Arial" w:hAnsi="Arial"/>
                <w:sz w:val="14"/>
                <w:szCs w:val="14"/>
                <w:color w:val="auto"/>
                <w:w w:val="92"/>
              </w:rPr>
              <w:t>(in thousands)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U.S. Wholesale</w:t>
            </w:r>
          </w:p>
        </w:tc>
        <w:tc>
          <w:tcPr>
            <w:tcW w:w="3940" w:type="dxa"/>
            <w:vAlign w:val="bottom"/>
            <w:gridSpan w:val="6"/>
          </w:tcPr>
          <w:p>
            <w:pPr>
              <w:jc w:val="right"/>
              <w:spacing w:after="0"/>
              <w:rPr>
                <w:sz w:val="20"/>
                <w:szCs w:val="20"/>
                <w:color w:val="auto"/>
              </w:rPr>
            </w:pPr>
            <w:r>
              <w:rPr>
                <w:rFonts w:ascii="Arial" w:cs="Arial" w:eastAsia="Arial" w:hAnsi="Arial"/>
                <w:sz w:val="18"/>
                <w:szCs w:val="18"/>
                <w:color w:val="auto"/>
              </w:rPr>
              <w:t>$ 90,795</w:t>
            </w:r>
          </w:p>
        </w:tc>
        <w:tc>
          <w:tcPr>
            <w:tcW w:w="18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$ 87,392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21,846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21,228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Retail Direct</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394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118,169</w:t>
            </w: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113,356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b w:val="1"/>
                <w:bCs w:val="1"/>
                <w:color w:val="auto"/>
              </w:rPr>
              <w:t>Income (loss) from operations</w:t>
            </w:r>
          </w:p>
        </w:tc>
        <w:tc>
          <w:tcPr>
            <w:tcW w:w="3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U.S. Wholesale</w:t>
            </w:r>
          </w:p>
        </w:tc>
        <w:tc>
          <w:tcPr>
            <w:tcW w:w="34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(5,528)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International</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(3,220)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Retail Direct</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Unallocated corporate expenses</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(4,556)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412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 (13,316)</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3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U.S. Wholesale</w:t>
            </w:r>
          </w:p>
        </w:tc>
        <w:tc>
          <w:tcPr>
            <w:tcW w:w="34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International</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Retail Direct</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Arial" w:cs="Arial" w:eastAsia="Arial" w:hAnsi="Arial"/>
                <w:sz w:val="18"/>
                <w:szCs w:val="18"/>
                <w:color w:val="auto"/>
              </w:rPr>
              <w:t>Total depreciation and amortization</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5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gridSpan w:val="6"/>
          </w:tcPr>
          <w:p>
            <w:pPr>
              <w:ind w:left="1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3720" w:type="dxa"/>
            <w:vAlign w:val="bottom"/>
            <w:gridSpan w:val="5"/>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U.S. Wholesale</w:t>
            </w:r>
          </w:p>
        </w:tc>
        <w:tc>
          <w:tcPr>
            <w:tcW w:w="3720" w:type="dxa"/>
            <w:vAlign w:val="bottom"/>
            <w:gridSpan w:val="5"/>
          </w:tcPr>
          <w:p>
            <w:pPr>
              <w:jc w:val="right"/>
              <w:spacing w:after="0"/>
              <w:rPr>
                <w:sz w:val="20"/>
                <w:szCs w:val="20"/>
                <w:color w:val="auto"/>
              </w:rPr>
            </w:pPr>
            <w:r>
              <w:rPr>
                <w:rFonts w:ascii="Arial" w:cs="Arial" w:eastAsia="Arial" w:hAnsi="Arial"/>
                <w:sz w:val="18"/>
                <w:szCs w:val="18"/>
                <w:color w:val="auto"/>
              </w:rPr>
              <w:t>$597,784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281,398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107,726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105,984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Retail Direct</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Other</w:t>
            </w:r>
          </w:p>
        </w:tc>
        <w:tc>
          <w:tcPr>
            <w:tcW w:w="3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20,793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04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726,915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401,521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040" w:type="dxa"/>
            <w:vAlign w:val="bottom"/>
            <w:vMerge w:val="restart"/>
          </w:tcPr>
          <w:p>
            <w:pPr>
              <w:jc w:val="right"/>
              <w:ind w:right="1952"/>
              <w:spacing w:after="0"/>
              <w:rPr>
                <w:sz w:val="20"/>
                <w:szCs w:val="20"/>
                <w:color w:val="auto"/>
              </w:rPr>
            </w:pPr>
            <w:r>
              <w:rPr>
                <w:rFonts w:ascii="Arial" w:cs="Arial" w:eastAsia="Arial" w:hAnsi="Arial"/>
                <w:sz w:val="18"/>
                <w:szCs w:val="18"/>
                <w:color w:val="auto"/>
              </w:rPr>
              <w:t>- 21 -</w:t>
            </w: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CONTINGENCIES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8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floors of the building and conducting periodic air monitoring to address potential exposure. 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This selected remedy includes soil vapor extraction (“SVE”) to address soil (vadose zone) source areas at the Site, impermeable cover as necessary for the implementation of SVE, dual phase extraction in the shallow saprolite zone, and </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as needed to address residual sources. The EPA’s estimated capital cost for its selected remedy is $7.3 million. The EPA also designated a second operable unit under which the EPA will conduct further investigations to determine the nature and extent of groundwater contamination, as well as a determination by the EPA on the necessity of any further response actions to address groundwater contamination. In February 2017, the EPA indicated that it plans to expand its field investigation for the RI/FS for the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8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such litigation, individually or collectively, would have a material adverse effect on the Company’s consolidated financial position, results of operations or cash flows.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8, 2018, the Board of Directors declared a quarterly dividend of $0.0425 per share payable on May 15, 2018 to shareholders of record on May 1, 2018. As of March 31, 2018, the Company accrued $0.9 million for the payment of these dividends. On February 15, 2018, the Company paid dividends of $624,000 to shareholders of record on February 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48"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Three Months Ended</w:t>
      </w:r>
    </w:p>
    <w:p>
      <w:pPr>
        <w:jc w:val="center"/>
        <w:ind w:left="70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0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w w:val="96"/>
              </w:rPr>
              <w:t>2018</w:t>
            </w:r>
          </w:p>
        </w:tc>
        <w:tc>
          <w:tcPr>
            <w:tcW w:w="3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r>
      <w:tr>
        <w:trPr>
          <w:trHeight w:val="142"/>
        </w:trPr>
        <w:tc>
          <w:tcPr>
            <w:tcW w:w="40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right"/>
              <w:ind w:right="274"/>
              <w:spacing w:after="0" w:line="142"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Supplemental disclosure of cash flow information:</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3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7"/>
              <w:spacing w:after="0"/>
              <w:rPr>
                <w:sz w:val="20"/>
                <w:szCs w:val="20"/>
                <w:color w:val="auto"/>
              </w:rPr>
            </w:pPr>
            <w:r>
              <w:rPr>
                <w:rFonts w:ascii="Arial" w:cs="Arial" w:eastAsia="Arial" w:hAnsi="Arial"/>
                <w:sz w:val="18"/>
                <w:szCs w:val="18"/>
                <w:color w:val="auto"/>
              </w:rPr>
              <w:t>746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787</w:t>
            </w: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60" w:type="dxa"/>
            <w:vAlign w:val="bottom"/>
            <w:shd w:val="clear" w:color="auto" w:fill="CCEEFF"/>
          </w:tcPr>
          <w:p>
            <w:pPr>
              <w:spacing w:after="0"/>
              <w:rPr>
                <w:sz w:val="18"/>
                <w:szCs w:val="18"/>
                <w:color w:val="auto"/>
              </w:rPr>
            </w:pPr>
          </w:p>
        </w:tc>
      </w:tr>
      <w:tr>
        <w:trPr>
          <w:trHeight w:val="324"/>
        </w:trPr>
        <w:tc>
          <w:tcPr>
            <w:tcW w:w="400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adjustment</w:t>
            </w:r>
          </w:p>
        </w:tc>
        <w:tc>
          <w:tcPr>
            <w:tcW w:w="3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3"/>
              </w:rPr>
              <w:t>3,380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60" w:type="dxa"/>
            <w:vAlign w:val="bottom"/>
            <w:shd w:val="clear" w:color="auto" w:fill="CCEEFF"/>
          </w:tcPr>
          <w:p>
            <w:pPr>
              <w:spacing w:after="0"/>
              <w:rPr>
                <w:sz w:val="18"/>
                <w:szCs w:val="18"/>
                <w:color w:val="auto"/>
              </w:rPr>
            </w:pPr>
          </w:p>
        </w:tc>
      </w:tr>
      <w:tr>
        <w:trPr>
          <w:trHeight w:val="365"/>
        </w:trPr>
        <w:tc>
          <w:tcPr>
            <w:tcW w:w="4000" w:type="dxa"/>
            <w:vAlign w:val="bottom"/>
          </w:tcPr>
          <w:p>
            <w:pPr>
              <w:spacing w:after="0"/>
              <w:rPr>
                <w:sz w:val="24"/>
                <w:szCs w:val="24"/>
                <w:color w:val="auto"/>
              </w:rPr>
            </w:pPr>
          </w:p>
        </w:tc>
        <w:tc>
          <w:tcPr>
            <w:tcW w:w="3080" w:type="dxa"/>
            <w:vAlign w:val="bottom"/>
          </w:tcPr>
          <w:p>
            <w:pPr>
              <w:jc w:val="right"/>
              <w:ind w:right="2470"/>
              <w:spacing w:after="0"/>
              <w:rPr>
                <w:sz w:val="20"/>
                <w:szCs w:val="20"/>
                <w:color w:val="auto"/>
              </w:rPr>
            </w:pPr>
            <w:r>
              <w:rPr>
                <w:rFonts w:ascii="Arial" w:cs="Arial" w:eastAsia="Arial" w:hAnsi="Arial"/>
                <w:sz w:val="18"/>
                <w:szCs w:val="18"/>
                <w:color w:val="auto"/>
              </w:rPr>
              <w:t>- 23 -</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248"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Three Months Ended</w:t>
      </w:r>
    </w:p>
    <w:p>
      <w:pPr>
        <w:jc w:val="center"/>
        <w:ind w:left="6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jc w:val="right"/>
              <w:ind w:right="392"/>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translation adjustment: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(27,821)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(35,644)</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during period</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20" w:type="dxa"/>
            <w:vAlign w:val="bottom"/>
            <w:shd w:val="clear" w:color="auto" w:fill="CCEEFF"/>
          </w:tcPr>
          <w:p>
            <w:pPr>
              <w:spacing w:after="0"/>
              <w:rPr>
                <w:sz w:val="18"/>
                <w:szCs w:val="18"/>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(24,441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(33,668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deferred gains (losses) on cash flow hedges: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Amounts reclassified from accumulated other comprehensive loss: </w:t>
            </w:r>
            <w:r>
              <w:rPr>
                <w:rFonts w:ascii="Arial" w:cs="Arial" w:eastAsia="Arial" w:hAnsi="Arial"/>
                <w:sz w:val="15"/>
                <w:szCs w:val="15"/>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Settlement of cash flow hedge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Derivative fair value adjustment, net of taxes of $0 and $9 for the three month periods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ended March 31, 2018 and 2017, respectively.</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effect of retirement benefit obligations: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(1,352)</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Amounts reclassified from accumulated other comprehensive loss: </w:t>
            </w:r>
            <w:r>
              <w:rPr>
                <w:rFonts w:ascii="Arial" w:cs="Arial" w:eastAsia="Arial" w:hAnsi="Arial"/>
                <w:sz w:val="15"/>
                <w:szCs w:val="15"/>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540" w:type="dxa"/>
            <w:vAlign w:val="bottom"/>
          </w:tcPr>
          <w:p>
            <w:pPr>
              <w:spacing w:after="0" w:line="201" w:lineRule="exact"/>
              <w:rPr>
                <w:sz w:val="20"/>
                <w:szCs w:val="20"/>
                <w:color w:val="auto"/>
              </w:rPr>
            </w:pPr>
            <w:r>
              <w:rPr>
                <w:rFonts w:ascii="Arial" w:cs="Arial" w:eastAsia="Arial" w:hAnsi="Arial"/>
                <w:sz w:val="18"/>
                <w:szCs w:val="18"/>
                <w:color w:val="auto"/>
                <w:w w:val="93"/>
              </w:rPr>
              <w:t>Amortization of actuarial losses, net of taxes of $12 and $10 for the three month periods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ended March 31, 2018 and 2017, respectively.</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w:t>
            </w: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is recorded as interest expense on the condensed consolidated statement of operations.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Amounts are recorded in selling, general and administrative expense on the condensed consolidated statements of operations.</w:t>
      </w:r>
    </w:p>
    <w:p>
      <w:pPr>
        <w:spacing w:after="0" w:line="154" w:lineRule="exact"/>
        <w:rPr>
          <w:rFonts w:ascii="Arial" w:cs="Arial" w:eastAsia="Arial" w:hAnsi="Arial"/>
          <w:sz w:val="17"/>
          <w:szCs w:val="17"/>
          <w:color w:val="auto"/>
        </w:rPr>
      </w:pPr>
    </w:p>
    <w:p>
      <w:pPr>
        <w:ind w:left="5620" w:hanging="101"/>
        <w:spacing w:after="0"/>
        <w:tabs>
          <w:tab w:leader="none" w:pos="5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219"/>
          </w:cols>
          <w:pgMar w:left="240" w:top="45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Lifetime Brands,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Statements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reviewed the accompanying condensed consolidated balance sheet of Lifetime Brands, Inc. (the Company) as of March 31, 2018, the related condensed consolidated statements of operations, comprehensive (loss) income and cash flows for the three-month periods ended March 31, 2018 and 2017, and the related notes (collectively referred to as the “condensed consolidated interim financial statements”). Based on our reviews, we are not aware of any material modifications that should be made to the condensed consolidated interim financial statements for them to be in conformity with U.S. generally accepted accounting principles.</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(PCAOB), the consolidated balance sheet of the Company as of December 31, 2017, the related consolidated statements of operations, comprehensive income (loss), stockholders’ equity and cash flows for the year then ended, and the related notes and schedules (not presented herein); and in our report dated March 16, 2018, we expressed an unqualified audit opinion on those consolidated financial statements and included an explanatory paragraph for reference to other auditors. In our opinion, the information set forth in the accompanying condensed consolidated balance sheet as of December 31, 2017, is fairly stated, in all material respects, in relation to the consolidated balance sheet from which it has been derived.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9, 2018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Discussion and Analysis of Financial Condition and Results of Operations. </w:t>
      </w:r>
      <w:r>
        <w:rPr>
          <w:rFonts w:ascii="Arial" w:cs="Arial" w:eastAsia="Arial" w:hAnsi="Arial"/>
          <w:sz w:val="17"/>
          <w:szCs w:val="17"/>
          <w:color w:val="auto"/>
        </w:rPr>
        <w:t>When used in this Quarterly Report on Form 10-Q, the words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“expects,” “anticipates,” “projects,” “plans,” “intends,” “believes,” “may,” “should,” “assumes,” “seeks,”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There are a number of risks and uncertainties that could cause the Company’s actual results to differ materially from the forward-looking statements contained in this Quarterly Report. Important factors that could cause the Company’s actual results to differ materially from those expressed as forward-looking statements are set forth in the Company’s 2017 Annual Report on Form 10-K in Part I, Item 1A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Such risks, uncertainties and other important factors include, among others, risks related to:</w:t>
      </w:r>
    </w:p>
    <w:p>
      <w:pPr>
        <w:spacing w:after="0" w:line="9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reform;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factors and political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 integration;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practices;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Intellectual property, brands and licenses;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Goodwill;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chain;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exchange rates;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trade and transportation;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Personnel;</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fluctuations;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interruptions;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Fixed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Governance;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Acquisitions and investments.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cutting boards, shears, kitchen scales, thermometers, timers, cookware, pantryware, spice racks, wine accessories and bakeware) and Tableware (dinnerware, stemware, flatware, and giftware); and one category, Home Solutions, which comprises other products used in the home (thermal beverageware, food storage, neoprene travel products, bath scales, and home décor). In 2017, Kitchenware products and Tableware products accounted for approximately 89% of the Company’s U.S. Wholesale segment’s net sales and 88% of the Company’s consolidated net sales.</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March 2, 2018, the Company completed the acquisition of Taylor Holdco LLC and its subsidiaries (doing business as Filament Brands) (“Filament”). Filament primarily designs, markets and distributes consumer and food service precision measurement products, including kitchen scales, thermometers and timers, bath scales, wine accessories, kitchen tools, hydration products, and select outdoor products. The three months ended March 31, 2018 includes the operations of Filament for the period from March 2, 2018 to March 31, 2018.</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the heart of the Company is a culture of innovation. The Company employs over 120 artists, engineers, industrial designers and graphics specialists, who create new products, packaging and merchandising concepts. The Company expects to introduce approximately 4,000 new or redesigned products globally in 2018. Newly introduced products generally reach their peak sales in 12 to 18 months.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14"/>
          <w:szCs w:val="14"/>
          <w:color w:val="auto"/>
        </w:rPr>
        <w:t>®</w:t>
      </w:r>
      <w:r>
        <w:rPr>
          <w:rFonts w:ascii="Arial" w:cs="Arial" w:eastAsia="Arial" w:hAnsi="Arial"/>
          <w:sz w:val="17"/>
          <w:szCs w:val="17"/>
          <w:color w:val="auto"/>
        </w:rPr>
        <w:t>, Mikasa</w:t>
      </w:r>
      <w:r>
        <w:rPr>
          <w:rFonts w:ascii="Arial" w:cs="Arial" w:eastAsia="Arial" w:hAnsi="Arial"/>
          <w:sz w:val="14"/>
          <w:szCs w:val="14"/>
          <w:color w:val="auto"/>
        </w:rPr>
        <w:t>®</w:t>
      </w:r>
      <w:r>
        <w:rPr>
          <w:rFonts w:ascii="Arial" w:cs="Arial" w:eastAsia="Arial" w:hAnsi="Arial"/>
          <w:sz w:val="17"/>
          <w:szCs w:val="17"/>
          <w:color w:val="auto"/>
        </w:rPr>
        <w:t>, Taylor</w:t>
      </w:r>
      <w:r>
        <w:rPr>
          <w:rFonts w:ascii="Arial" w:cs="Arial" w:eastAsia="Arial" w:hAnsi="Arial"/>
          <w:sz w:val="14"/>
          <w:szCs w:val="14"/>
          <w:color w:val="auto"/>
        </w:rPr>
        <w:t>®</w:t>
      </w:r>
      <w:r>
        <w:rPr>
          <w:rFonts w:ascii="Arial" w:cs="Arial" w:eastAsia="Arial" w:hAnsi="Arial"/>
          <w:sz w:val="17"/>
          <w:szCs w:val="17"/>
          <w:color w:val="auto"/>
        </w:rPr>
        <w:t>, KitchenAid</w:t>
      </w:r>
      <w:r>
        <w:rPr>
          <w:rFonts w:ascii="Arial" w:cs="Arial" w:eastAsia="Arial" w:hAnsi="Arial"/>
          <w:sz w:val="14"/>
          <w:szCs w:val="14"/>
          <w:color w:val="auto"/>
        </w:rPr>
        <w:t>®</w:t>
      </w:r>
      <w:r>
        <w:rPr>
          <w:rFonts w:ascii="Arial" w:cs="Arial" w:eastAsia="Arial" w:hAnsi="Arial"/>
          <w:sz w:val="17"/>
          <w:szCs w:val="17"/>
          <w:color w:val="auto"/>
        </w:rPr>
        <w:t>, Pfaltzgraff</w:t>
      </w:r>
      <w:r>
        <w:rPr>
          <w:rFonts w:ascii="Arial" w:cs="Arial" w:eastAsia="Arial" w:hAnsi="Arial"/>
          <w:sz w:val="14"/>
          <w:szCs w:val="14"/>
          <w:color w:val="auto"/>
        </w:rPr>
        <w:t>®</w:t>
      </w:r>
      <w:r>
        <w:rPr>
          <w:rFonts w:ascii="Arial" w:cs="Arial" w:eastAsia="Arial" w:hAnsi="Arial"/>
          <w:sz w:val="17"/>
          <w:szCs w:val="17"/>
          <w:color w:val="auto"/>
        </w:rPr>
        <w:t>, KitchenCraft</w:t>
      </w:r>
      <w:r>
        <w:rPr>
          <w:rFonts w:ascii="Arial" w:cs="Arial" w:eastAsia="Arial" w:hAnsi="Arial"/>
          <w:sz w:val="14"/>
          <w:szCs w:val="14"/>
          <w:color w:val="auto"/>
        </w:rPr>
        <w:t>®</w:t>
      </w:r>
      <w:r>
        <w:rPr>
          <w:rFonts w:ascii="Arial" w:cs="Arial" w:eastAsia="Arial" w:hAnsi="Arial"/>
          <w:sz w:val="17"/>
          <w:szCs w:val="17"/>
          <w:color w:val="auto"/>
        </w:rPr>
        <w:t>, Fitz and Floyd</w:t>
      </w:r>
      <w:r>
        <w:rPr>
          <w:rFonts w:ascii="Arial" w:cs="Arial" w:eastAsia="Arial" w:hAnsi="Arial"/>
          <w:sz w:val="14"/>
          <w:szCs w:val="14"/>
          <w:color w:val="auto"/>
        </w:rPr>
        <w:t>®</w:t>
      </w:r>
      <w:r>
        <w:rPr>
          <w:rFonts w:ascii="Arial" w:cs="Arial" w:eastAsia="Arial" w:hAnsi="Arial"/>
          <w:sz w:val="17"/>
          <w:szCs w:val="17"/>
          <w:color w:val="auto"/>
        </w:rPr>
        <w:t>, Sabatier</w:t>
      </w:r>
      <w:r>
        <w:rPr>
          <w:rFonts w:ascii="Arial" w:cs="Arial" w:eastAsia="Arial" w:hAnsi="Arial"/>
          <w:sz w:val="14"/>
          <w:szCs w:val="14"/>
          <w:color w:val="auto"/>
        </w:rPr>
        <w:t>®</w:t>
      </w:r>
      <w:r>
        <w:rPr>
          <w:rFonts w:ascii="Arial" w:cs="Arial" w:eastAsia="Arial" w:hAnsi="Arial"/>
          <w:sz w:val="17"/>
          <w:szCs w:val="17"/>
          <w:color w:val="auto"/>
        </w:rPr>
        <w:t>, Kamenstein</w:t>
      </w:r>
      <w:r>
        <w:rPr>
          <w:rFonts w:ascii="Arial" w:cs="Arial" w:eastAsia="Arial" w:hAnsi="Arial"/>
          <w:sz w:val="14"/>
          <w:szCs w:val="14"/>
          <w:color w:val="auto"/>
        </w:rPr>
        <w:t>®</w:t>
      </w:r>
      <w:r>
        <w:rPr>
          <w:rFonts w:ascii="Arial" w:cs="Arial" w:eastAsia="Arial" w:hAnsi="Arial"/>
          <w:sz w:val="17"/>
          <w:szCs w:val="17"/>
          <w:color w:val="auto"/>
        </w:rPr>
        <w:t>, Built NY</w:t>
      </w:r>
      <w:r>
        <w:rPr>
          <w:rFonts w:ascii="Arial" w:cs="Arial" w:eastAsia="Arial" w:hAnsi="Arial"/>
          <w:sz w:val="14"/>
          <w:szCs w:val="14"/>
          <w:color w:val="auto"/>
        </w:rPr>
        <w:t>®</w:t>
      </w:r>
      <w:r>
        <w:rPr>
          <w:rFonts w:ascii="Arial" w:cs="Arial" w:eastAsia="Arial" w:hAnsi="Arial"/>
          <w:sz w:val="17"/>
          <w:szCs w:val="17"/>
          <w:color w:val="auto"/>
        </w:rPr>
        <w:t>, MasterClass</w:t>
      </w:r>
      <w:r>
        <w:rPr>
          <w:rFonts w:ascii="Arial" w:cs="Arial" w:eastAsia="Arial" w:hAnsi="Arial"/>
          <w:sz w:val="14"/>
          <w:szCs w:val="14"/>
          <w:color w:val="auto"/>
        </w:rPr>
        <w:t>®</w:t>
      </w:r>
      <w:r>
        <w:rPr>
          <w:rFonts w:ascii="Arial" w:cs="Arial" w:eastAsia="Arial" w:hAnsi="Arial"/>
          <w:sz w:val="17"/>
          <w:szCs w:val="17"/>
          <w:color w:val="auto"/>
        </w:rPr>
        <w:t>, Fred</w:t>
      </w:r>
      <w:r>
        <w:rPr>
          <w:rFonts w:ascii="Arial" w:cs="Arial" w:eastAsia="Arial" w:hAnsi="Arial"/>
          <w:sz w:val="14"/>
          <w:szCs w:val="14"/>
          <w:color w:val="auto"/>
        </w:rPr>
        <w:t>®</w:t>
      </w:r>
      <w:r>
        <w:rPr>
          <w:rFonts w:ascii="Arial" w:cs="Arial" w:eastAsia="Arial" w:hAnsi="Arial"/>
          <w:sz w:val="17"/>
          <w:szCs w:val="17"/>
          <w:color w:val="auto"/>
        </w:rPr>
        <w:t>, Rabbit</w:t>
      </w:r>
      <w:r>
        <w:rPr>
          <w:rFonts w:ascii="Arial" w:cs="Arial" w:eastAsia="Arial" w:hAnsi="Arial"/>
          <w:sz w:val="14"/>
          <w:szCs w:val="14"/>
          <w:color w:val="auto"/>
        </w:rPr>
        <w:t>®</w:t>
      </w:r>
      <w:r>
        <w:rPr>
          <w:rFonts w:ascii="Arial" w:cs="Arial" w:eastAsia="Arial" w:hAnsi="Arial"/>
          <w:sz w:val="17"/>
          <w:szCs w:val="17"/>
          <w:color w:val="auto"/>
        </w:rPr>
        <w:t xml:space="preserve"> and LaCafetière</w:t>
      </w:r>
      <w:r>
        <w:rPr>
          <w:rFonts w:ascii="Arial" w:cs="Arial" w:eastAsia="Arial" w:hAnsi="Arial"/>
          <w:sz w:val="14"/>
          <w:szCs w:val="14"/>
          <w:color w:val="auto"/>
        </w:rPr>
        <w:t>®</w:t>
      </w:r>
      <w:r>
        <w:rPr>
          <w:rFonts w:ascii="Arial" w:cs="Arial" w:eastAsia="Arial" w:hAnsi="Arial"/>
          <w:sz w:val="17"/>
          <w:szCs w:val="17"/>
          <w:color w:val="auto"/>
        </w:rPr>
        <w:t>.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operates in three reportable segments: U.S. Wholesale, International and Retail Direct. The U.S. Wholesale segment is the Company’s primary domestic business that designs, markets and distributes its products to retailers and distributors. The International segment consists of certain business operations conducted outside the U.S. The Retail Direct segment is that in which the Company markets and sells a limited selection of its products directly to consumers through third party and its own internet websites. The Company has segmented its operations to reflect the manner in which management reviews and evaluates its results of operations.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 owns approximately 30%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w:t>
      </w:r>
    </w:p>
    <w:p>
      <w:pPr>
        <w:spacing w:after="0" w:line="18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accounts for its investment in Vasconia using the equity method of accounting and has recorded its proportionate share of Vasconia’s net income, net of taxes, as equity in earnings in the Company’s consolidated statements of operations. Pursuant to a Shares Subscription Agreement (the “Agreement”), the Company may designate four persons to be nominated as members of Vasconia’s Board of Directors. As of March 31, 2018, Vasconia’s Board of Directors is comprised of eleven members of whom the Company has designated three members.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business and working capital needs are highly seasonal, with a majority of sales occurring in the third and fourth quarters. In 2017 and 2016, net sales for the third and fourth quarters accounted for 60% and 61% of total annual net sales, respectively. In anticipation of the pre-holiday shipping season, inventory levels increase primarily in the June through October time period. Consistent with the seasonality of the Company’s net sales and inventory levels, the Company also experiences seasonality in its inventory turnover and turnover days from one quarter to the next.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Company’s March 2018 acquisition of Filament, the Company commenced a restructuring plan to integrate the operations of Filament with the Company’s operations and realize the savings expected from the synergies of the acquisition. During the three months ended March 31, 2018 the Company incurred $0.4 million of restructuring charges, all of which is accrued.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following is an update to the corresponding critical accounting policies and estimates set forth in the Company’s 2017 Annual Report on Form 10-K. Except as modified below, there have been no material changes to the Company’s critical accounting policies and estimates discussed in Item 7. Management’s Discussion and Analysis of Financial Condition and Results of Operations – Critical Accounting Policies and Estimates included in the Company’s Annual Report on Form 10-K for the year ended December 31,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sells products:</w:t>
      </w:r>
    </w:p>
    <w:p>
      <w:pPr>
        <w:spacing w:after="0" w:line="13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Wholesale, to retailers and distributors,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Retail, directly to consumers.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Effective January 1, 2018, the Company adopted Accounting Standards Codification (“ASC”) Topic 606 regarding revenue recognition. Wholesale sales and retail sales are recognized at the point in time the customer obtains control of the products in an amount that reflects the consideration the Company expects to be entitled to in exchange for those products.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Net sales exclude taxes that are collected from customers and remitted to the taxing authorities.</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offers various sales incentives and promotional programs to its wholesale customers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9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Payment terms with customers vary by customer, but generally range from 30 to 90 days or at the point of sale for the Company’s retail direct sales. 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condensed consolidated statement of operations. Incidental items that are immaterial in the context of the contract are expensed as incurred.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accounts for derivative instruments in accordance with ASC Topic No. 815, Derivatives and Hedging. ASC Topic No.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 in the fair value of hedges are included in accumulated other comprehensive income (loss) and is subsequently recognized in the Company’s condensed consolidated statements of operations to mirror the location of the hedged items impacting earnings.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For derivatives that do not qualify or are not designated as hedging instruments for accounting purposes, changes in fair value are recorded in operations.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 of operations data of the Company as a percentage of net sales for the periods indicated:</w:t>
      </w:r>
    </w:p>
    <w:p>
      <w:pPr>
        <w:spacing w:after="0" w:line="24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Three Months Ended</w:t>
      </w:r>
    </w:p>
    <w:p>
      <w:pPr>
        <w:jc w:val="center"/>
        <w:ind w:left="65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sales</w:t>
            </w:r>
          </w:p>
        </w:tc>
        <w:tc>
          <w:tcPr>
            <w:tcW w:w="29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6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Distribution expenses</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9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40" w:type="dxa"/>
            <w:vAlign w:val="bottom"/>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Interest expense</w:t>
            </w:r>
          </w:p>
        </w:tc>
        <w:tc>
          <w:tcPr>
            <w:tcW w:w="4120" w:type="dxa"/>
            <w:vAlign w:val="bottom"/>
            <w:gridSpan w:val="3"/>
          </w:tcPr>
          <w:p>
            <w:pPr>
              <w:jc w:val="right"/>
              <w:ind w:right="60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Loss on early retirement of debt</w:t>
            </w:r>
          </w:p>
        </w:tc>
        <w:tc>
          <w:tcPr>
            <w:tcW w:w="2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w w:val="97"/>
              </w:rPr>
              <w:t>Loss before income taxes and equity in earnings</w:t>
            </w:r>
          </w:p>
        </w:tc>
        <w:tc>
          <w:tcPr>
            <w:tcW w:w="29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gridSpan w:val="2"/>
            <w:vMerge w:val="continue"/>
          </w:tcPr>
          <w:p>
            <w:pPr>
              <w:spacing w:after="0"/>
              <w:rPr>
                <w:sz w:val="19"/>
                <w:szCs w:val="19"/>
                <w:color w:val="auto"/>
              </w:rPr>
            </w:pPr>
          </w:p>
        </w:tc>
        <w:tc>
          <w:tcPr>
            <w:tcW w:w="2980" w:type="dxa"/>
            <w:vAlign w:val="bottom"/>
            <w:vMerge w:val="continue"/>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(13.1)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Equity in earnings, net of taxes</w:t>
            </w:r>
          </w:p>
        </w:tc>
        <w:tc>
          <w:tcPr>
            <w:tcW w:w="29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980" w:type="dxa"/>
            <w:vAlign w:val="bottom"/>
            <w:vMerge w:val="restart"/>
          </w:tcPr>
          <w:p>
            <w:pPr>
              <w:jc w:val="right"/>
              <w:ind w:right="2170"/>
              <w:spacing w:after="0"/>
              <w:rPr>
                <w:sz w:val="20"/>
                <w:szCs w:val="20"/>
                <w:color w:val="auto"/>
              </w:rPr>
            </w:pPr>
            <w:r>
              <w:rPr>
                <w:rFonts w:ascii="Arial" w:cs="Arial" w:eastAsia="Arial" w:hAnsi="Arial"/>
                <w:sz w:val="18"/>
                <w:szCs w:val="18"/>
                <w:color w:val="auto"/>
              </w:rPr>
              <w:t>- 29 -</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900"/>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MARCH 31, 2018 COMPARED TO THE THREE MONTHS ENDED MARCH 31, 2017</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sales for the three months ended March 31, 2018 were $118.2 million, an increase of $4.8 million, or 4.2%, as compared to net sales of $113.4 million for the corresponding period in 2017. The three months ended March 31, 2018 includes sales of $9.3 million from Filament for the period from March 2, 2018, the date of acquisition</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sales for the U.S. Wholesale segment for the three months ended March 31, 2018 were $90.8 million, an increase of $3.4 million, or 3.9%, as compared to net sales of $87.4 million for the corresponding period in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U.S. Wholesale segment’s Kitchenware product category were $57.0 million for the three months ended March 31, 2018, an increase of</w:t>
      </w:r>
    </w:p>
    <w:p>
      <w:pPr>
        <w:spacing w:after="0" w:line="46"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$0.6 million, or 1.1%, as compared to $56.4 million for the corresponding period in 2017. The increase in the U.S. Wholesale segment’s Kitchenware product category was attributable to contributions from Filament, partially offset by a decrease due to the timing of tools and gadget and bakeware sales.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Net sales for the U.S. Wholesale segment’s Tableware product category were $20.9 million for the three months ended March 31, 2018, an increase of</w:t>
      </w:r>
    </w:p>
    <w:p>
      <w:pPr>
        <w:spacing w:after="0" w:line="3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$1.0 million, or 5.0%, as compared to $19.9 million for the corresponding period in 2017. The increase was attributable to the Fitz and Floyd product line, partially offset by a decrease due to the timing of tabletop and flatware sales.</w:t>
      </w:r>
    </w:p>
    <w:p>
      <w:pPr>
        <w:spacing w:after="0" w:line="1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sales for the U.S. Wholesale segment’s Home Solutions product category were $12.9 million for the three months ended March 31, 2018, an increase of $1.8 million, or 16.2%, as compared to $11.1 million for the corresponding period in 2017. The increase reflects contributions from the Filament, partially offset by a decrease due to a home decor program not repeated in 2018.</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sales for the International segment were $21.8 million for the three months ended March 31, 2018, an increase of $0.6 million, or 2.8%, as compared to net sales of $21.2 million for the corresponding period in 2017. In constant currency, net sales decreased approximately 8.2%. The decrease, in constant currency, was due to timing of kitchenware sales and a decline in tableware sales.</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Net sales for the Retail Direct segment were $5.5 million for the three months ended March 31, 2018, as compared to net sales of $4.7 million for the corresponding period in 2017. The increase reflects contributions from Filament’s retail websites.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Gross margin for the three months ended March 31, 2018 was $45.1 million, or 38.2%, as compared to $43.9 million, or 38.8%, for the corresponding period in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Gross margin for the U.S. Wholesale segment was $33.9 million, or 37.3%, for the three months ended March 31, 2018, as compared to $33.5 million, or</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38.4%, for the corresponding period in 2017. Gross margin may fluctuate from period to period based on a number of factors, including product and customer mix. The decrease in margin is the result of a change in product mix, in part, from the Company’s acquisitions of Fitz and Floyd and Filament.</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Gross margin for the International segment was $7.6 million, or 34.9%, for the three months ended March 31, 2018, as compared to $7.3 million, or 34.2%, for the corresponding period in 2017. The increase in margin is the result of the strengthening of the British pound.</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Gross margin for the Retail Direct segment was $3.6 million, or 64.8%, for the three months ended March 31, 2018, as compared to $3.1 million, or 66.7%, for the corresponding period in 2017. The decrease in gross margin in the Retail Direct segment reflects product mix, including the inclusion of Filament.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Distribution expenses for the three months ended March 31, 2018 were $17.8 million, as compared to $13.4 million for the corresponding period in 2017. Distribution expenses as a percentage of net sales were 15.1% for the three months ended March 31, 2018, as compared to 11.9% for the three months ended March 31, 2017.</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Distribution expenses as a percentage of net sales for the U.S. Wholesale segment was approximately 14.5% and 11.1% for the three months ended March 31, 2018 and 2017, respectively. The increase reflects expenses associated with the Company’s west coast distribution facility relocation of approximately</w:t>
      </w:r>
    </w:p>
    <w:p>
      <w:pPr>
        <w:ind w:right="200"/>
        <w:spacing w:after="0" w:line="261" w:lineRule="auto"/>
        <w:rPr>
          <w:sz w:val="20"/>
          <w:szCs w:val="20"/>
          <w:color w:val="auto"/>
        </w:rPr>
      </w:pPr>
      <w:r>
        <w:rPr>
          <w:rFonts w:ascii="Arial" w:cs="Arial" w:eastAsia="Arial" w:hAnsi="Arial"/>
          <w:sz w:val="18"/>
          <w:szCs w:val="18"/>
          <w:color w:val="auto"/>
        </w:rPr>
        <w:t>$2.4 million. As a percentage of sales shipped from the Company’s warehouses, distribution expenses excluding the relocation costs for the U.S. Wholesale segment, were 11.9% for the three months ended March 31, 2018 and 11.2% for the three months ended March 31, 2017.</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Distribution expenses as a percentage of net sales for the International segment were approximately 12.8% and 10.8% for the three months ended March 31, 2018 and 2017, respectively. Distribution expenses as a percentage of sales shipped from the Company’s U.K. warehouses were 14.2% and 11.9% for the three months ended March 31, 2018 and 2017, respectively. The increase in distribution expenses as a percentage of net sales reflects an increase in labor and facility expenses.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Distribution expenses as a percentage of net sales for the Retail Direct segment were approximately 32.7% and 31.9% for the three months ended March 31, 2018 and 2017, respectively. The increase reflects the effect of an increase in freight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Selling, general and administrative expenses for the three months ended March 31, 2018 were $40.2 million, an increase of $7.8 million, or 24.1%, as compared to $32.4 million for the corresponding period in 2017.</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Selling, general and administrative expenses for the U.S. Wholesale segment were $25.8 million for the three months ended March 31, 2018, as compared to $21.6 million for the three months ended March 31, 2017. The 2018 period reflects an increase related to the Company’s acquisition of Filament and increases in employee expenses and intangible amortization expense related to the Company’s acquisitions of Fitz and Floyd in 2017 and Filament in 2018. As a percentage of net sales, selling, general and administrative expenses were 28.4% and 24.7% for the three months ended March 31, 2018 and 2017, respectively.</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Selling, general and administrative expenses for the three months ended March 31, 2018 for the International segment were $8.1 million, an increase of $1.9 million, from $6.2 million for the corresponding period in 2017. The increase in selling, general and administrative expenses in the 2018 quarter was primarily due to foreign currency contract losses in the current period resulting from the Company’s hedging activity and strengthening of the British pound sterling.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for the Retail Direct segment were $1.7 million for the three months ended March 31, 2018, as compared to</w:t>
      </w:r>
    </w:p>
    <w:p>
      <w:pPr>
        <w:spacing w:after="0" w:line="4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$1.5 million for the three months ended March 31, 2017. The increase in expenses was primarily due to the acquisition of Filament’s retail direct operations. As a percentage of net sales, selling, general and administrative expenses were 31.0% and 30.9% for the three months ended March 31, 2018 and 2017, respectively.</w:t>
      </w:r>
    </w:p>
    <w:p>
      <w:pPr>
        <w:spacing w:after="0" w:line="1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Unallocated corporate expenses for the three months ended March 31, 2018 were $4.6 million, as compared to $3.1 million for the corresponding period in 2017. The increase was primarily attributable to an increase in acquisition related expenses and professional fees.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Interest expense for the three months ended March 31, 2018 was $2.1 million, an increase of $1.2 million, from $0.9 million for the three months ended March 31, 2017. The increase in expense was attributable to the financing obtained in connection with the acquisition of Filament.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retirement of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financing obtained for the acquisition of Filament, the Company wrote-off $0.1 million of the debt issuance costs.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 benefit for the three months ended March 31, 2018 was $3.8 million as compared to $0.9 million for the corresponding period in 2017. The Company’s effective tax rate for the three months ended March 31, 2018 was 24.6% as compared to 33.5% for the corresponding 2017 period. The effective tax rate for the three months ended March 31, 2018 reflects the reduced statutory U.S. corporate income tax rate, partially offset by non-deductible expenses. The effective tax rate for the three months ended March 31, 2017 reflects income derived from foreign sources being taxed at lower income tax rates, as well as the release of a tax liability related to an uncertain tax position.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Equity in earnings of Vasconia, net of taxes, was $77,000, for the three months ended March 31, 2018, as compared to $0.5 million for the three months ended March 31, 2017. Equity in earnings for the three months ended March 31, 2018 and 2017 includes a deferred tax benefit of $0.2 million, in both periods, due to the requirement to record tax benefits for foreign currency translation gains through other comprehensive income (loss), with a corresponding adjustment to deferred tax liabilities. Vasconia reported income from operations of $1.1 million for the three months ended March 31, 2018, as compared to a $2.4 million for the three months ended March 31, 2017. The decrease in income from operations is primarily due to a decrease in gross profit in the aluminum business.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principal sources of cash to fund liquidity needs are: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2018, the Company had cash and cash equivalents of $11.9 million compared to $7.6 million at December 31, 2017. Working capital was</w:t>
      </w:r>
    </w:p>
    <w:p>
      <w:pPr>
        <w:spacing w:after="0" w:line="3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$208.1 million at March 31, 2018 compared to $186.9 million at December 31, 2017. Liquidity, which includes cash and cash equivalents and availability under the ABL Agreement was $91.4 million at March 31, 2018.</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March 31, 2018 inventory turnover was 1.9 times, or 193 days, as compared to 1.9 times, or 190 days, for the three months ended March 31, 2017. An increase in the Company’s consolidated inventory due to the acquisition of Filament, more than offset a decline in inventory due to the Company’s SKU rationalization and inventory management.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March 2, 2018, the Company entered into a new credit agreement (the “ABL Agreement”) with JPMorgan Chase Bank, N.A. (“JPMorgan”), as administrative agent, and the lenders and issuing banks party thereto, evidencing a senior secured asset-based revolving credit facility provided to the Company in the maximum aggregate principal amount of $150.0 million, which facility will mature on March 2, 2023, and the Company entered into a new loan agreement (the “Term Loan” and together with the ABL Agreement, the “Debt Agreements”) with the Company JPMorgan, as administrative agent, Golub Capital LLC, as syndication agent, and the lenders party thereto, providing for a senior secured term loan credit facility to the Company in the principal amount of $275.0 million, which will mature on February 28, 2025. The Term Loan facility will be repaid, commencing June 30, 2018, in quarterly payments of principal equal to 0.25% of the original aggregate principal amount of the term loan facility. The maximum borrowing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8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March 31, 2018, borrowings outstanding under the ABL Agreement were $45.0 million and open letters of credit were $3.2 million. At March 31, 2018, availability under the ABL Agreement was approximately $79.5 million. The borrowing capacity under the ABL Agreement depends, in part, on eligible levels of certain current assets comprising the borrowing base and the Company’s ability to meet and maintain a financial ratio, if and when applicable.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March 31, 2018, $275.0 million was outstanding under the Term Loan. At March 31, 2018, unamortized debt issuance costs of $1.5 million and $8.7 million offset the short-term and long-term outstanding balances, respectively, of the Term Loan.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Borrowings under the revolving credit facility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The margin with respect to the revolving credit facility is, until financial statements for the first full fiscal quarter ending after the closing are delivered, 0.50% per annum in the case of base rate borrowings and 1.50% per annum in the case of LIBOR borrowings. Interest rates on outstanding borrowings under the ABL Agreement at March 31, 2018 ranged from 2.0% to 5.3%. In addition, the Company paid a commitment fee of 0.375% on the unused portion of the ABL Agreement during the three months ended March 31, 2018.</w:t>
      </w:r>
    </w:p>
    <w:p>
      <w:pPr>
        <w:spacing w:after="0" w:line="178"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term loan facility bears interest, at the Company’s option, at one of the following rates: (i) alternate base rate, defined, for any day, as the greater of the prime rate, a federal funds and overnight bank funding based rate plus 0.5% or one-month LIBOR plus 1.0%, plus a margin of 2.50% or (ii) LIBOR plus a margin of 3.50%. The interest rate on outstanding borrowings under the Term Loan at March 31, 2018 was 5.2%.</w:t>
      </w:r>
    </w:p>
    <w:p>
      <w:pPr>
        <w:spacing w:after="0" w:line="16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Debt Agreements provides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March 31, 2018.</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Consolidated 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Company’s consolidated adjusted EBITDA, for the last four fiscal quarters: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5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Consolidated adjusted</w:t>
            </w:r>
          </w:p>
        </w:tc>
      </w:tr>
      <w:tr>
        <w:trPr>
          <w:trHeight w:val="149"/>
        </w:trPr>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EBITDA for the Four</w:t>
            </w:r>
          </w:p>
        </w:tc>
      </w:tr>
      <w:tr>
        <w:trPr>
          <w:trHeight w:val="149"/>
        </w:trPr>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Quarters Ended</w:t>
            </w:r>
          </w:p>
        </w:tc>
      </w:tr>
      <w:tr>
        <w:trPr>
          <w:trHeight w:val="17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2018</w:t>
            </w:r>
          </w:p>
        </w:tc>
      </w:tr>
      <w:tr>
        <w:trPr>
          <w:trHeight w:val="142"/>
        </w:trPr>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56"/>
              <w:spacing w:after="0" w:line="142" w:lineRule="exact"/>
              <w:rPr>
                <w:sz w:val="20"/>
                <w:szCs w:val="20"/>
                <w:color w:val="auto"/>
              </w:rPr>
            </w:pPr>
            <w:r>
              <w:rPr>
                <w:rFonts w:ascii="Arial" w:cs="Arial" w:eastAsia="Arial" w:hAnsi="Arial"/>
                <w:sz w:val="14"/>
                <w:szCs w:val="14"/>
                <w:color w:val="auto"/>
                <w:w w:val="92"/>
              </w:rPr>
              <w:t>(in thousands)</w:t>
            </w:r>
          </w:p>
        </w:tc>
        <w:tc>
          <w:tcPr>
            <w:tcW w:w="12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2018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Three months ended December 31, 2017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29,767</w:t>
            </w:r>
          </w:p>
        </w:tc>
        <w:tc>
          <w:tcPr>
            <w:tcW w:w="1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1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Three months ended June 30, 2017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8,100</w:t>
            </w:r>
          </w:p>
        </w:tc>
        <w:tc>
          <w:tcPr>
            <w:tcW w:w="1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 forma projected synergies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20" w:type="dxa"/>
            <w:vAlign w:val="bottom"/>
            <w:shd w:val="clear" w:color="auto" w:fill="CCEEFF"/>
          </w:tcPr>
          <w:p>
            <w:pPr>
              <w:spacing w:after="0"/>
              <w:rPr>
                <w:sz w:val="18"/>
                <w:szCs w:val="18"/>
                <w:color w:val="auto"/>
              </w:rPr>
            </w:pPr>
          </w:p>
        </w:tc>
      </w:tr>
      <w:tr>
        <w:trPr>
          <w:trHeight w:val="223"/>
        </w:trPr>
        <w:tc>
          <w:tcPr>
            <w:tcW w:w="6260" w:type="dxa"/>
            <w:vAlign w:val="bottom"/>
          </w:tcPr>
          <w:p>
            <w:pPr>
              <w:ind w:left="360"/>
              <w:spacing w:after="0"/>
              <w:rPr>
                <w:sz w:val="20"/>
                <w:szCs w:val="20"/>
                <w:color w:val="auto"/>
              </w:rPr>
            </w:pPr>
            <w:r>
              <w:rPr>
                <w:rFonts w:ascii="Arial" w:cs="Arial" w:eastAsia="Arial" w:hAnsi="Arial"/>
                <w:sz w:val="18"/>
                <w:szCs w:val="18"/>
                <w:color w:val="auto"/>
              </w:rPr>
              <w:t>Total for the four quarters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71,938</w:t>
            </w:r>
          </w:p>
        </w:tc>
        <w:tc>
          <w:tcPr>
            <w:tcW w:w="12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three months ended March 31, 2018 were $2.4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Consolidated adjusted EBITDA is a non-GAAP financial measure within the meaning of Regulation G promulgated by the Securities and Exchange Commission. The following is a reconciliation of the net income (loss), as reported, to consolidated adjusted EBITDA, for the four quarters ended March 31, 2018:</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Twelve Months</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4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(11,598)</w:t>
            </w:r>
          </w:p>
        </w:tc>
        <w:tc>
          <w:tcPr>
            <w:tcW w:w="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$(2,096)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Subtract out: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Undistributed equity in (earnings) losses,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326</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Add back: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8,169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3,505</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16"/>
        </w:trPr>
        <w:tc>
          <w:tcPr>
            <w:tcW w:w="458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2,103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1,177</w:t>
            </w:r>
          </w:p>
        </w:tc>
        <w:tc>
          <w:tcPr>
            <w:tcW w:w="2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1,172</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1,001</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early retirement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4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4,309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3,468</w:t>
            </w:r>
          </w:p>
        </w:tc>
        <w:tc>
          <w:tcPr>
            <w:tcW w:w="2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4,063</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3,348</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952</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16"/>
        </w:trPr>
        <w:tc>
          <w:tcPr>
            <w:tcW w:w="4580" w:type="dxa"/>
            <w:vAlign w:val="bottom"/>
          </w:tcPr>
          <w:p>
            <w:pPr>
              <w:ind w:left="720"/>
              <w:spacing w:after="0"/>
              <w:rPr>
                <w:sz w:val="20"/>
                <w:szCs w:val="20"/>
                <w:color w:val="auto"/>
              </w:rPr>
            </w:pPr>
            <w:r>
              <w:rPr>
                <w:rFonts w:ascii="Arial" w:cs="Arial" w:eastAsia="Arial" w:hAnsi="Arial"/>
                <w:sz w:val="18"/>
                <w:szCs w:val="18"/>
                <w:color w:val="auto"/>
              </w:rPr>
              <w:t>Unrealized loss on foreign currency contracts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897</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1,456</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Other permitted non-cash charges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4580" w:type="dxa"/>
            <w:vAlign w:val="bottom"/>
          </w:tcPr>
          <w:p>
            <w:pPr>
              <w:ind w:left="720"/>
              <w:spacing w:after="0"/>
              <w:rPr>
                <w:sz w:val="20"/>
                <w:szCs w:val="20"/>
                <w:color w:val="auto"/>
              </w:rPr>
            </w:pPr>
            <w:r>
              <w:rPr>
                <w:rFonts w:ascii="Arial" w:cs="Arial" w:eastAsia="Arial" w:hAnsi="Arial"/>
                <w:sz w:val="18"/>
                <w:szCs w:val="18"/>
                <w:color w:val="auto"/>
              </w:rPr>
              <w:t>Permitted acquisition related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2,424</w:t>
            </w:r>
          </w:p>
        </w:tc>
        <w:tc>
          <w:tcPr>
            <w:tcW w:w="2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166</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Permitted cash charges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1,331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272</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16"/>
        </w:trPr>
        <w:tc>
          <w:tcPr>
            <w:tcW w:w="4580" w:type="dxa"/>
            <w:vAlign w:val="bottom"/>
          </w:tcPr>
          <w:p>
            <w:pPr>
              <w:ind w:left="720"/>
              <w:spacing w:after="0"/>
              <w:rPr>
                <w:sz w:val="20"/>
                <w:szCs w:val="20"/>
                <w:color w:val="auto"/>
              </w:rPr>
            </w:pPr>
            <w:r>
              <w:rPr>
                <w:rFonts w:ascii="Arial" w:cs="Arial" w:eastAsia="Arial" w:hAnsi="Arial"/>
                <w:sz w:val="18"/>
                <w:szCs w:val="18"/>
                <w:color w:val="auto"/>
              </w:rPr>
              <w:t xml:space="preserve">Pro forma Filament adjustment </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3,326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10,605</w:t>
            </w:r>
          </w:p>
        </w:tc>
        <w:tc>
          <w:tcPr>
            <w:tcW w:w="2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10,817</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5,283</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30,031</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Twelve months ended March 31, 2018, Pro</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xml:space="preserve">forma projected synergies </w:t>
            </w:r>
            <w:r>
              <w:rPr>
                <w:rFonts w:ascii="Arial" w:cs="Arial" w:eastAsia="Arial" w:hAnsi="Arial"/>
                <w:sz w:val="15"/>
                <w:szCs w:val="15"/>
                <w:color w:val="auto"/>
              </w:rPr>
              <w:t>(4)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Arial" w:cs="Arial" w:eastAsia="Arial" w:hAnsi="Arial"/>
                <w:sz w:val="18"/>
                <w:szCs w:val="18"/>
                <w:color w:val="auto"/>
              </w:rPr>
              <w:t>Consolidated adjusted EBITDA</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29,767</w:t>
            </w:r>
          </w:p>
        </w:tc>
        <w:tc>
          <w:tcPr>
            <w:tcW w:w="44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26,500</w:t>
            </w:r>
          </w:p>
        </w:tc>
        <w:tc>
          <w:tcPr>
            <w:tcW w:w="4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$ 8,100</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00" w:hanging="452"/>
        <w:spacing w:after="0" w:line="274"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permitted non-cash charges includes non-cash purchase accounting adjustment to step-up the fair value of acquired inventory, a permitted exclusion from the Company’s Consolidated adjusted EBITDA, pursuant to the Company’s Debt Agreements.</w:t>
      </w:r>
    </w:p>
    <w:p>
      <w:pPr>
        <w:ind w:left="460" w:right="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Permitted cash charges includes non-recurring charges, severance expense, warehouse relocation costs, transition expenses and restructuring expenses. These are permitted exclusions from the Company’s consolidated adjusted EBITDA, subject to limitations, pursuant to the Company’s Debt Agreements.</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 forma Filament adjustment represents permitted adjustment to the Company’s consolidated adjusted EBITDA for the acquisition of Filament on March 2, 2018 pursuant to the Company’s Debt Agreements.</w:t>
      </w:r>
    </w:p>
    <w:p>
      <w:pPr>
        <w:ind w:left="460" w:right="40" w:hanging="452"/>
        <w:spacing w:after="0" w:line="273"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 forma projected synergies represents the amount of projected cost savings, operating expense reductions, restructuring charges and expenses and cost saving synergies projected by the Company as a result of actions taken through March 31, 2018 or expected to be taken as of March 31, 2018, net of the benefits realized during the three months ended March 31, 2018. Pro forma projected synergies is a permitted exclusion from the Company’s consolidated adjusted EBITDA, subject to limitations, pursuant to the Company’s Debt Agreements.</w:t>
      </w:r>
    </w:p>
    <w:p>
      <w:pPr>
        <w:spacing w:after="0" w:line="109" w:lineRule="exact"/>
        <w:rPr>
          <w:rFonts w:ascii="Arial" w:cs="Arial" w:eastAsia="Arial" w:hAnsi="Arial"/>
          <w:sz w:val="17"/>
          <w:szCs w:val="17"/>
          <w:color w:val="auto"/>
        </w:rPr>
      </w:pPr>
    </w:p>
    <w:p>
      <w:pPr>
        <w:ind w:left="5620" w:hanging="101"/>
        <w:spacing w:after="0"/>
        <w:tabs>
          <w:tab w:leader="none" w:pos="5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320"/>
          </w:cols>
          <w:pgMar w:left="24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$25.0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 Pursuant to this agreement, the Company sold to HSBC $19.6 million and $21.6 million of Receivables during the three months ended March 31, 2018 and 2017, respectively. A charge of $90,000 and $67,000 related to the sale of the Receivables is included in selling, general and administrative expenses in the condensed consolidated statements of operations for the three months ended March 31, 2018 and 2017,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also entered into certain foreign exchange contracts, to primarily offset the earnings impact related to fluctuations in foreign currency exchange rates associated with sales and inventory purchases denominated in foreign currencies. These foreign exchange contracts have not been designated as hedges as required in order to apply hedge accounting. The changes in the fair value of these contracts are recorded in the condensed consolidated statement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Net cash provided by operating activities was $12.5 million for the three months ended March 31, 2018 as compared to $6.0 million for the corresponding 2017 period. The change in operating cash flow was primarily due to the increase in the net loss and the timing of the payment of accrued expenses in the current period as compared to the 2017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cash used in investing activities was $220.3 million and $0.4 million for the three months ended March 31, 2018 and 2017, respectively. The 2018 investing activity includes the cash consideration paid for the acquisition of Filament and capital expenditures related to the Company’s relocation of its west coast distribution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cash provided by financing activities was $212.0 million for the three months ended March 31, 2018 as compared to $7.3 million for the corresponding 2017 period. The change in financing activities was attributable to the repayment of the Company’s former revolving credit facility and borrowings under the Debt Agreements, the proceeds of which were principally used to the finance the acquisition of Filament.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There were no material changes in market risk for changes in foreign currency exchange rates and interest rates from the information provided in Item 7A – Quantitative and Qualitative Disclosures About Market Risk in the Company’s Annual Report on Form 10-K for the year ended December 31, 2017, except as follows: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March 2, 2018, the Company acquired Filament, pursuant to a merger agreement dated December 22, 2017, as discussed in Note C of the unaudited financial statements included in this Quarterly Report on Form 10-Q. In connection with this acquisition, the Company entered new Debt Agreements. As of March 31, 2018, the Company’s ABL Agreement and Term Loan require interest to be paid at variable rates.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21" w:lineRule="exact"/>
        <w:rPr>
          <w:rFonts w:ascii="Arial" w:cs="Arial" w:eastAsia="Arial" w:hAnsi="Arial"/>
          <w:sz w:val="18"/>
          <w:szCs w:val="18"/>
          <w:b w:val="1"/>
          <w:bCs w:val="1"/>
          <w:color w:val="auto"/>
        </w:rPr>
      </w:pPr>
    </w:p>
    <w:p>
      <w:pPr>
        <w:ind w:left="46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March 31, 2018,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121" w:lineRule="exact"/>
        <w:rPr>
          <w:rFonts w:ascii="Arial" w:cs="Arial" w:eastAsia="Arial" w:hAnsi="Arial"/>
          <w:sz w:val="18"/>
          <w:szCs w:val="18"/>
          <w:b w:val="1"/>
          <w:bCs w:val="1"/>
          <w:color w:val="auto"/>
        </w:rPr>
      </w:pPr>
    </w:p>
    <w:p>
      <w:pPr>
        <w:ind w:left="460" w:right="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March 2, 2018, the Company acquired Filament, pursuant to a merger agreement dated December 22, 2017. The Company has begun to integrate policies, processes, people, technology and operations for the post-acquisition combined company, and it will continue to evaluate the impact of any related changes to internal control over financial reporting. Except for changes in internal controls that we have made related to the integration of Filament into the post-acquisition combined company, during the quarter ended March 31, 2018, there has been no change in the Company’s internal control over financial reporting that has materially affected, or is reasonably likely to materially affect the Company’s internal control over financial reporting.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implementation of measures to mitigate potential exposure to sub-slab soil gas. The Company reviewed the information provided by the EPA and requested that PRIDCO, as the property owner, find and implement a</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floors of the building and conducting periodic air monitoring to address potential exposure. 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w:t>
      </w:r>
      <w:r>
        <w:rPr>
          <w:rFonts w:ascii="Arial" w:cs="Arial" w:eastAsia="Arial" w:hAnsi="Arial"/>
          <w:sz w:val="17"/>
          <w:szCs w:val="17"/>
          <w:i w:val="1"/>
          <w:iCs w:val="1"/>
          <w:color w:val="auto"/>
        </w:rPr>
        <w:t>in-situ</w:t>
      </w:r>
      <w:r>
        <w:rPr>
          <w:rFonts w:ascii="Arial" w:cs="Arial" w:eastAsia="Arial" w:hAnsi="Arial"/>
          <w:sz w:val="17"/>
          <w:szCs w:val="17"/>
          <w:color w:val="auto"/>
        </w:rPr>
        <w:t xml:space="preserve"> treatment. This selected remedy includes soil vapor extraction (“SVE”) to address soil (vadose zone) source areas at the Site, impermeable cover as necessary for the implementation of SVE, dual phase extraction in the shallow saprolite zone, and </w:t>
      </w:r>
      <w:r>
        <w:rPr>
          <w:rFonts w:ascii="Arial" w:cs="Arial" w:eastAsia="Arial" w:hAnsi="Arial"/>
          <w:sz w:val="17"/>
          <w:szCs w:val="17"/>
          <w:i w:val="1"/>
          <w:iCs w:val="1"/>
          <w:color w:val="auto"/>
        </w:rPr>
        <w:t>in-situ</w:t>
      </w:r>
      <w:r>
        <w:rPr>
          <w:rFonts w:ascii="Arial" w:cs="Arial" w:eastAsia="Arial" w:hAnsi="Arial"/>
          <w:sz w:val="17"/>
          <w:szCs w:val="17"/>
          <w:color w:val="auto"/>
        </w:rPr>
        <w:t xml:space="preserve"> treatment as needed to address residual sources. The EPA’s estimated capital cost for its selected remedy is $7.3 million. The EPA also designated a second operable unit under which the EPA will conduct further investigations to determine the nature and extent of groundwater contamination, as well as a determination by the EPA on the necessity of any further response actions to address groundwater contamination. In February 2017, the EPA indicated that it plans to expand its field investigation for the RI/FS for the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such litigation, individually or collectively, would have a material adverse effect on the Company’s consolidated financial position, results of operations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company’s risk factors from those disclosed in the Company’s 2017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merger agreement for the acquisition of Filament, included as Exhibit 2.1 to the Company’s Current Report on Form 8-K filed on December 29, 2017, on March 2, 2018, the Company issued an aggregate of 5,593,116 shares of Company Common Stock in reliance on the exemption afforded by Section 4(a)(2) of the Securities Act of 1933, as amended (the “Securities Act”), and Rule 506 of Regulation D promulgated under the Securities Act.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9920" w:type="dxa"/>
            <w:vAlign w:val="bottom"/>
            <w:gridSpan w:val="6"/>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407"/>
        </w:trPr>
        <w:tc>
          <w:tcPr>
            <w:tcW w:w="138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6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9"/>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98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Certification by Robert B. Kay, Chief Executive Officer and Director, pursuant to Rule 13a-14(a) or Rule 15d-14(a) of the Securities and</w:t>
              </w:r>
            </w:hyperlink>
          </w:p>
        </w:tc>
        <w:tc>
          <w:tcPr>
            <w:tcW w:w="60" w:type="dxa"/>
            <w:vAlign w:val="bottom"/>
            <w:gridSpan w:val="2"/>
          </w:tcPr>
          <w:p>
            <w:pPr>
              <w:spacing w:after="0"/>
              <w:rPr>
                <w:sz w:val="23"/>
                <w:szCs w:val="23"/>
                <w:color w:val="auto"/>
              </w:rPr>
            </w:pPr>
          </w:p>
        </w:tc>
      </w:tr>
      <w:tr>
        <w:trPr>
          <w:trHeight w:val="196"/>
        </w:trPr>
        <w:tc>
          <w:tcPr>
            <w:tcW w:w="1380" w:type="dxa"/>
            <w:vAlign w:val="bottom"/>
          </w:tcPr>
          <w:p>
            <w:pPr>
              <w:spacing w:after="0"/>
              <w:rPr>
                <w:sz w:val="17"/>
                <w:szCs w:val="17"/>
                <w:color w:val="auto"/>
              </w:rPr>
            </w:pPr>
          </w:p>
        </w:tc>
        <w:tc>
          <w:tcPr>
            <w:tcW w:w="9920" w:type="dxa"/>
            <w:vAlign w:val="bottom"/>
            <w:gridSpan w:val="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Exchange Act of 1934, as adopted pursuant to Section 302 of the Sarbanes-Oxley Act of 2002</w:t>
              </w:r>
            </w:hyperlink>
          </w:p>
        </w:tc>
      </w:tr>
      <w:tr>
        <w:trPr>
          <w:trHeight w:val="20"/>
        </w:trPr>
        <w:tc>
          <w:tcPr>
            <w:tcW w:w="1380" w:type="dxa"/>
            <w:vAlign w:val="bottom"/>
          </w:tcPr>
          <w:p>
            <w:pPr>
              <w:spacing w:after="0" w:line="20" w:lineRule="exact"/>
              <w:rPr>
                <w:sz w:val="1"/>
                <w:szCs w:val="1"/>
                <w:color w:val="auto"/>
              </w:rPr>
            </w:pPr>
          </w:p>
        </w:tc>
        <w:tc>
          <w:tcPr>
            <w:tcW w:w="6780" w:type="dxa"/>
            <w:vAlign w:val="bottom"/>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99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Certification by Laurence Winoker, Senior Vice President – Finance, Treasurer and Chief Financial Officer, pursuant to Rule 13a-14(a) or</w:t>
              </w:r>
            </w:hyperlink>
          </w:p>
        </w:tc>
      </w:tr>
      <w:tr>
        <w:trPr>
          <w:trHeight w:val="196"/>
        </w:trPr>
        <w:tc>
          <w:tcPr>
            <w:tcW w:w="1380" w:type="dxa"/>
            <w:vAlign w:val="bottom"/>
          </w:tcPr>
          <w:p>
            <w:pPr>
              <w:spacing w:after="0"/>
              <w:rPr>
                <w:sz w:val="17"/>
                <w:szCs w:val="17"/>
                <w:color w:val="auto"/>
              </w:rPr>
            </w:pPr>
          </w:p>
        </w:tc>
        <w:tc>
          <w:tcPr>
            <w:tcW w:w="9920" w:type="dxa"/>
            <w:vAlign w:val="bottom"/>
            <w:gridSpan w:val="6"/>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Rule 15d-14(a) of the Securities and Exchange Act of 1934, as adopted pursuant to Section 302 of the Sarbanes-Oxley Act of 2002</w:t>
              </w:r>
            </w:hyperlink>
          </w:p>
        </w:tc>
      </w:tr>
      <w:tr>
        <w:trPr>
          <w:trHeight w:val="20"/>
        </w:trPr>
        <w:tc>
          <w:tcPr>
            <w:tcW w:w="1380" w:type="dxa"/>
            <w:vAlign w:val="bottom"/>
          </w:tcPr>
          <w:p>
            <w:pPr>
              <w:spacing w:after="0" w:line="20" w:lineRule="exact"/>
              <w:rPr>
                <w:sz w:val="1"/>
                <w:szCs w:val="1"/>
                <w:color w:val="auto"/>
              </w:rPr>
            </w:pPr>
          </w:p>
        </w:tc>
        <w:tc>
          <w:tcPr>
            <w:tcW w:w="94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80" w:type="dxa"/>
            <w:vAlign w:val="bottom"/>
          </w:tcPr>
          <w:p>
            <w:pPr>
              <w:spacing w:after="0"/>
              <w:rPr>
                <w:sz w:val="20"/>
                <w:szCs w:val="20"/>
                <w:color w:val="auto"/>
              </w:rPr>
            </w:pPr>
            <w:r>
              <w:rPr>
                <w:rFonts w:ascii="Arial" w:cs="Arial" w:eastAsia="Arial" w:hAnsi="Arial"/>
                <w:sz w:val="18"/>
                <w:szCs w:val="18"/>
                <w:color w:val="auto"/>
              </w:rPr>
              <w:t>32.1</w:t>
            </w:r>
          </w:p>
        </w:tc>
        <w:tc>
          <w:tcPr>
            <w:tcW w:w="98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Certification by Robert B. Kay, Chief Executive Officer and Director, and Laurence Winoker, Senior Vice President – Finance, Treasurer</w:t>
              </w:r>
            </w:hyperlink>
          </w:p>
        </w:tc>
        <w:tc>
          <w:tcPr>
            <w:tcW w:w="4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20" w:type="dxa"/>
            <w:vAlign w:val="bottom"/>
            <w:gridSpan w:val="6"/>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and Chief Financial Officer, pursuant to 18 U.S.C. Section 1350, as adopted pursuant to Section 906 of the Sarbanes-Oxley Act of 2002</w:t>
              </w:r>
            </w:hyperlink>
          </w:p>
        </w:tc>
      </w:tr>
      <w:tr>
        <w:trPr>
          <w:trHeight w:val="345"/>
        </w:trPr>
        <w:tc>
          <w:tcPr>
            <w:tcW w:w="1380" w:type="dxa"/>
            <w:vAlign w:val="bottom"/>
          </w:tcPr>
          <w:p>
            <w:pPr>
              <w:spacing w:after="0"/>
              <w:rPr>
                <w:sz w:val="20"/>
                <w:szCs w:val="20"/>
                <w:color w:val="auto"/>
              </w:rPr>
            </w:pPr>
            <w:r>
              <w:rPr>
                <w:rFonts w:ascii="Arial" w:cs="Arial" w:eastAsia="Arial" w:hAnsi="Arial"/>
                <w:sz w:val="18"/>
                <w:szCs w:val="18"/>
                <w:color w:val="auto"/>
              </w:rPr>
              <w:t>101.INS</w:t>
            </w:r>
          </w:p>
        </w:tc>
        <w:tc>
          <w:tcPr>
            <w:tcW w:w="98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100" w:type="dxa"/>
            <w:vAlign w:val="bottom"/>
            <w:gridSpan w:val="3"/>
          </w:tcPr>
          <w:p>
            <w:pPr>
              <w:spacing w:after="0"/>
              <w:rPr>
                <w:sz w:val="24"/>
                <w:szCs w:val="24"/>
                <w:color w:val="auto"/>
              </w:rPr>
            </w:pP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380" w:type="dxa"/>
            <w:vAlign w:val="bottom"/>
          </w:tcPr>
          <w:p>
            <w:pPr>
              <w:spacing w:after="0"/>
              <w:rPr>
                <w:sz w:val="24"/>
                <w:szCs w:val="24"/>
                <w:color w:val="auto"/>
              </w:rPr>
            </w:pPr>
          </w:p>
        </w:tc>
        <w:tc>
          <w:tcPr>
            <w:tcW w:w="6780" w:type="dxa"/>
            <w:vAlign w:val="bottom"/>
          </w:tcPr>
          <w:p>
            <w:pPr>
              <w:ind w:left="4140"/>
              <w:spacing w:after="0"/>
              <w:rPr>
                <w:sz w:val="20"/>
                <w:szCs w:val="20"/>
                <w:color w:val="auto"/>
              </w:rPr>
            </w:pPr>
            <w:r>
              <w:rPr>
                <w:rFonts w:ascii="Arial" w:cs="Arial" w:eastAsia="Arial" w:hAnsi="Arial"/>
                <w:sz w:val="18"/>
                <w:szCs w:val="18"/>
                <w:color w:val="auto"/>
              </w:rPr>
              <w:t>- 39 -</w:t>
            </w:r>
          </w:p>
        </w:tc>
        <w:tc>
          <w:tcPr>
            <w:tcW w:w="2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390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Lifetime Brands, Inc.</w:t>
            </w:r>
          </w:p>
        </w:tc>
        <w:tc>
          <w:tcPr>
            <w:tcW w:w="1040" w:type="dxa"/>
            <w:vAlign w:val="bottom"/>
          </w:tcPr>
          <w:p>
            <w:pPr>
              <w:spacing w:after="0"/>
              <w:rPr>
                <w:sz w:val="20"/>
                <w:szCs w:val="20"/>
                <w:color w:val="auto"/>
              </w:rPr>
            </w:pPr>
          </w:p>
        </w:tc>
      </w:tr>
      <w:tr>
        <w:trPr>
          <w:trHeight w:val="432"/>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Kay</w:t>
            </w:r>
          </w:p>
        </w:tc>
        <w:tc>
          <w:tcPr>
            <w:tcW w:w="1040" w:type="dxa"/>
            <w:vAlign w:val="bottom"/>
          </w:tcPr>
          <w:p>
            <w:pPr>
              <w:ind w:left="120"/>
              <w:spacing w:after="0"/>
              <w:rPr>
                <w:sz w:val="20"/>
                <w:szCs w:val="20"/>
                <w:color w:val="auto"/>
              </w:rPr>
            </w:pPr>
            <w:r>
              <w:rPr>
                <w:rFonts w:ascii="Arial" w:cs="Arial" w:eastAsia="Arial" w:hAnsi="Arial"/>
                <w:sz w:val="18"/>
                <w:szCs w:val="18"/>
                <w:color w:val="auto"/>
                <w:w w:val="90"/>
              </w:rPr>
              <w:t>May 9, 2018</w:t>
            </w:r>
          </w:p>
        </w:tc>
      </w:tr>
      <w:tr>
        <w:trPr>
          <w:trHeight w:val="209"/>
        </w:trPr>
        <w:tc>
          <w:tcPr>
            <w:tcW w:w="3880" w:type="dxa"/>
            <w:vAlign w:val="bottom"/>
          </w:tcPr>
          <w:p>
            <w:pPr>
              <w:spacing w:after="0"/>
              <w:rPr>
                <w:sz w:val="20"/>
                <w:szCs w:val="20"/>
                <w:color w:val="auto"/>
              </w:rPr>
            </w:pPr>
            <w:r>
              <w:rPr>
                <w:rFonts w:ascii="Arial" w:cs="Arial" w:eastAsia="Arial" w:hAnsi="Arial"/>
                <w:sz w:val="18"/>
                <w:szCs w:val="18"/>
                <w:color w:val="auto"/>
              </w:rPr>
              <w:t>Robert B. Kay</w:t>
            </w:r>
          </w:p>
        </w:tc>
        <w:tc>
          <w:tcPr>
            <w:tcW w:w="1040" w:type="dxa"/>
            <w:vAlign w:val="bottom"/>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104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040" w:type="dxa"/>
            <w:vAlign w:val="bottom"/>
          </w:tcPr>
          <w:p>
            <w:pPr>
              <w:spacing w:after="0"/>
              <w:rPr>
                <w:sz w:val="20"/>
                <w:szCs w:val="20"/>
                <w:color w:val="auto"/>
              </w:rPr>
            </w:pPr>
          </w:p>
        </w:tc>
      </w:tr>
      <w:tr>
        <w:trPr>
          <w:trHeight w:val="459"/>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Laurence Winoker</w:t>
            </w:r>
          </w:p>
        </w:tc>
        <w:tc>
          <w:tcPr>
            <w:tcW w:w="1040" w:type="dxa"/>
            <w:vAlign w:val="bottom"/>
          </w:tcPr>
          <w:p>
            <w:pPr>
              <w:ind w:left="120"/>
              <w:spacing w:after="0"/>
              <w:rPr>
                <w:sz w:val="20"/>
                <w:szCs w:val="20"/>
                <w:color w:val="auto"/>
              </w:rPr>
            </w:pPr>
            <w:r>
              <w:rPr>
                <w:rFonts w:ascii="Arial" w:cs="Arial" w:eastAsia="Arial" w:hAnsi="Arial"/>
                <w:sz w:val="18"/>
                <w:szCs w:val="18"/>
                <w:color w:val="auto"/>
                <w:w w:val="90"/>
              </w:rPr>
              <w:t>May 9, 2018</w:t>
            </w:r>
          </w:p>
        </w:tc>
      </w:tr>
    </w:tbl>
    <w:p>
      <w:pPr>
        <w:ind w:left="3900"/>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Senior Vice President – Finance, Treasurer and 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and Accounting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220"/>
          </w:cols>
          <w:pgMar w:left="240" w:top="459"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6"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900" w:right="180" w:hanging="446"/>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00" w:hanging="440"/>
        <w:spacing w:after="0" w:line="286" w:lineRule="auto"/>
        <w:tabs>
          <w:tab w:leader="none" w:pos="19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0" w:lineRule="exact"/>
        <w:rPr>
          <w:rFonts w:ascii="Arial" w:cs="Arial" w:eastAsia="Arial" w:hAnsi="Arial"/>
          <w:sz w:val="17"/>
          <w:szCs w:val="17"/>
          <w:color w:val="auto"/>
        </w:rPr>
      </w:pPr>
    </w:p>
    <w:p>
      <w:pPr>
        <w:ind w:left="1920" w:hanging="440"/>
        <w:spacing w:after="0" w:line="264"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920" w:right="80" w:hanging="440"/>
        <w:spacing w:after="0" w:line="264"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200" w:hanging="440"/>
        <w:spacing w:after="0" w:line="264"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right="60" w:hanging="440"/>
        <w:spacing w:after="0" w:line="342" w:lineRule="auto"/>
        <w:tabs>
          <w:tab w:leader="none" w:pos="1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340" w:hanging="440"/>
        <w:spacing w:after="0" w:line="277"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B. Kay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9, 2018</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6"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900" w:right="180" w:hanging="446"/>
        <w:spacing w:after="0" w:line="29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00" w:hanging="440"/>
        <w:spacing w:after="0" w:line="286" w:lineRule="auto"/>
        <w:tabs>
          <w:tab w:leader="none" w:pos="19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0" w:lineRule="exact"/>
        <w:rPr>
          <w:rFonts w:ascii="Arial" w:cs="Arial" w:eastAsia="Arial" w:hAnsi="Arial"/>
          <w:sz w:val="17"/>
          <w:szCs w:val="17"/>
          <w:color w:val="auto"/>
        </w:rPr>
      </w:pPr>
    </w:p>
    <w:p>
      <w:pPr>
        <w:ind w:left="1920" w:hanging="440"/>
        <w:spacing w:after="0" w:line="264"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920" w:right="80" w:hanging="440"/>
        <w:spacing w:after="0" w:line="264"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200" w:hanging="440"/>
        <w:spacing w:after="0" w:line="264"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right="60" w:hanging="440"/>
        <w:spacing w:after="0" w:line="342" w:lineRule="auto"/>
        <w:tabs>
          <w:tab w:leader="none" w:pos="19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340" w:hanging="440"/>
        <w:spacing w:after="0" w:line="277"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ectPr>
          <w:pgSz w:w="11900" w:h="16838" w:orient="portrait"/>
          <w:cols w:equalWidth="0" w:num="1">
            <w:col w:w="11420"/>
          </w:cols>
          <w:pgMar w:left="240" w:top="121" w:right="239" w:bottom="1440" w:gutter="0" w:footer="0" w:header="0"/>
        </w:sectPr>
      </w:pPr>
    </w:p>
    <w:bookmarkStart w:id="43" w:name="page44"/>
    <w:bookmarkEnd w:id="43"/>
    <w:p>
      <w:pPr>
        <w:ind w:left="1048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 Robert B. Kay, Chief Executive Officer and Director, and I, Laurence Winoker, Senior Vice President – Finance, Treasurer and Chief Financial Officer,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Lifetime Brands, Inc., a Delaware corporation (the “Company”), each hereby certify that:</w:t>
      </w:r>
    </w:p>
    <w:p>
      <w:pPr>
        <w:spacing w:after="0" w:line="116" w:lineRule="exact"/>
        <w:rPr>
          <w:sz w:val="20"/>
          <w:szCs w:val="20"/>
          <w:color w:val="auto"/>
        </w:rPr>
      </w:pPr>
    </w:p>
    <w:p>
      <w:pPr>
        <w:ind w:left="900" w:right="22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March 31, 2018 (the “Form 10-Q”)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Kay</w:t>
            </w:r>
          </w:p>
        </w:tc>
        <w:tc>
          <w:tcPr>
            <w:tcW w:w="80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Laurence Winoker</w:t>
            </w: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Robert B. Kay</w:t>
            </w:r>
          </w:p>
        </w:tc>
        <w:tc>
          <w:tcPr>
            <w:tcW w:w="8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Laurence Winoker</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8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Finance, Treasurer</w:t>
            </w:r>
          </w:p>
        </w:tc>
      </w:tr>
      <w:tr>
        <w:trPr>
          <w:trHeight w:val="230"/>
        </w:trPr>
        <w:tc>
          <w:tcPr>
            <w:tcW w:w="5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Date: May 9, 2018</w:t>
            </w:r>
          </w:p>
        </w:tc>
        <w:tc>
          <w:tcPr>
            <w:tcW w:w="8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Date: May 9, 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1350 has been provided to Lifetime Brands, Inc. and will be retained by Lifetime Brands,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lvl w:ilvl="1">
      <w:lvlJc w:val="left"/>
      <w:lvlText w:val="-"/>
      <w:numFmt w:val="bullet"/>
      <w:start w:val="1"/>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lvl w:ilvl="1">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lvl w:ilvl="1">
      <w:lvlJc w:val="left"/>
      <w:lvlText w:val="-"/>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2019-12-28T22:25:39Z</dcterms:created>
  <dcterms:modified xsi:type="dcterms:W3CDTF">2019-12-28T22:25:39Z</dcterms:modified>
</cp:coreProperties>
</file>