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60" w:right="26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60" w:right="240" w:hanging="387"/>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740" w:type="dxa"/>
            <w:vAlign w:val="bottom"/>
            <w:gridSpan w:val="3"/>
          </w:tcPr>
          <w:p>
            <w:pPr>
              <w:ind w:left="38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3"/>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8"/>
                <w:szCs w:val="18"/>
                <w:b w:val="1"/>
                <w:bCs w:val="1"/>
                <w:color w:val="auto"/>
                <w:w w:val="91"/>
              </w:rPr>
              <w:t>Commission File Number: 0-19254</w:t>
            </w: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0"/>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43"/>
                <w:szCs w:val="43"/>
                <w:b w:val="1"/>
                <w:bCs w:val="1"/>
                <w:color w:val="auto"/>
              </w:rPr>
              <w:t>LIFETIME BRANDS, INC.</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180" w:type="dxa"/>
            <w:vAlign w:val="bottom"/>
            <w:gridSpan w:val="9"/>
          </w:tcPr>
          <w:p>
            <w:pPr>
              <w:jc w:val="center"/>
              <w:ind w:right="292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392"/>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640" w:type="dxa"/>
            <w:vAlign w:val="bottom"/>
            <w:gridSpan w:val="5"/>
          </w:tcPr>
          <w:p>
            <w:pPr>
              <w:jc w:val="center"/>
              <w:ind w:right="1080"/>
              <w:spacing w:after="0"/>
              <w:rPr>
                <w:sz w:val="20"/>
                <w:szCs w:val="20"/>
                <w:color w:val="auto"/>
              </w:rPr>
            </w:pPr>
            <w:r>
              <w:rPr>
                <w:rFonts w:ascii="Arial" w:cs="Arial" w:eastAsia="Arial" w:hAnsi="Arial"/>
                <w:sz w:val="18"/>
                <w:szCs w:val="18"/>
                <w:b w:val="1"/>
                <w:bCs w:val="1"/>
                <w:color w:val="auto"/>
                <w:w w:val="91"/>
              </w:rPr>
              <w:t>Delaware</w:t>
            </w:r>
          </w:p>
        </w:tc>
        <w:tc>
          <w:tcPr>
            <w:tcW w:w="4540" w:type="dxa"/>
            <w:vAlign w:val="bottom"/>
            <w:gridSpan w:val="5"/>
          </w:tcPr>
          <w:p>
            <w:pPr>
              <w:jc w:val="center"/>
              <w:ind w:right="1004"/>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44"/>
        </w:trPr>
        <w:tc>
          <w:tcPr>
            <w:tcW w:w="6640" w:type="dxa"/>
            <w:vAlign w:val="bottom"/>
            <w:gridSpan w:val="5"/>
          </w:tcPr>
          <w:p>
            <w:pPr>
              <w:jc w:val="center"/>
              <w:ind w:right="108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0" w:type="dxa"/>
            <w:vAlign w:val="bottom"/>
          </w:tcPr>
          <w:p>
            <w:pPr>
              <w:jc w:val="center"/>
              <w:ind w:right="2124"/>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640" w:type="dxa"/>
            <w:vAlign w:val="bottom"/>
            <w:gridSpan w:val="5"/>
          </w:tcPr>
          <w:p>
            <w:pPr>
              <w:jc w:val="center"/>
              <w:ind w:right="1080"/>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2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66"/>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0" w:type="dxa"/>
            <w:vAlign w:val="bottom"/>
          </w:tcPr>
          <w:p>
            <w:pPr>
              <w:spacing w:after="0"/>
              <w:rPr>
                <w:sz w:val="1"/>
                <w:szCs w:val="1"/>
                <w:color w:val="auto"/>
              </w:rPr>
            </w:pPr>
          </w:p>
        </w:tc>
      </w:tr>
      <w:tr>
        <w:trPr>
          <w:trHeight w:val="381"/>
        </w:trPr>
        <w:tc>
          <w:tcPr>
            <w:tcW w:w="3000" w:type="dxa"/>
            <w:vAlign w:val="bottom"/>
          </w:tcPr>
          <w:p>
            <w:pPr>
              <w:spacing w:after="0"/>
              <w:rPr>
                <w:sz w:val="24"/>
                <w:szCs w:val="24"/>
                <w:color w:val="auto"/>
              </w:rPr>
            </w:pPr>
          </w:p>
        </w:tc>
        <w:tc>
          <w:tcPr>
            <w:tcW w:w="3640" w:type="dxa"/>
            <w:vAlign w:val="bottom"/>
            <w:gridSpan w:val="4"/>
          </w:tcPr>
          <w:p>
            <w:pPr>
              <w:jc w:val="center"/>
              <w:ind w:left="1416"/>
              <w:spacing w:after="0"/>
              <w:rPr>
                <w:sz w:val="20"/>
                <w:szCs w:val="20"/>
                <w:color w:val="auto"/>
              </w:rPr>
            </w:pPr>
            <w:r>
              <w:rPr>
                <w:rFonts w:ascii="Arial" w:cs="Arial" w:eastAsia="Arial" w:hAnsi="Arial"/>
                <w:sz w:val="18"/>
                <w:szCs w:val="18"/>
                <w:b w:val="1"/>
                <w:bCs w:val="1"/>
                <w:color w:val="auto"/>
                <w:w w:val="90"/>
              </w:rPr>
              <w:t>(516) 683-6000</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90"/>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62"/>
        </w:trPr>
        <w:tc>
          <w:tcPr>
            <w:tcW w:w="3000" w:type="dxa"/>
            <w:vAlign w:val="bottom"/>
            <w:vMerge w:val="restart"/>
          </w:tcPr>
          <w:p>
            <w:pPr>
              <w:jc w:val="center"/>
              <w:ind w:left="561"/>
              <w:spacing w:after="0"/>
              <w:rPr>
                <w:sz w:val="20"/>
                <w:szCs w:val="20"/>
                <w:color w:val="auto"/>
              </w:rPr>
            </w:pPr>
            <w:r>
              <w:rPr>
                <w:rFonts w:ascii="Arial" w:cs="Arial" w:eastAsia="Arial" w:hAnsi="Arial"/>
                <w:sz w:val="14"/>
                <w:szCs w:val="14"/>
                <w:b w:val="1"/>
                <w:bCs w:val="1"/>
                <w:color w:val="auto"/>
                <w:w w:val="89"/>
              </w:rPr>
              <w:t>Title of each class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7"/>
              </w:rPr>
              <w:t>Trading</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tcPr>
          <w:p>
            <w:pPr>
              <w:jc w:val="center"/>
              <w:ind w:right="204"/>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0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2"/>
          </w:tcPr>
          <w:p>
            <w:pPr>
              <w:jc w:val="center"/>
              <w:ind w:left="682"/>
              <w:spacing w:after="0"/>
              <w:rPr>
                <w:sz w:val="20"/>
                <w:szCs w:val="20"/>
                <w:color w:val="auto"/>
              </w:rPr>
            </w:pPr>
            <w:r>
              <w:rPr>
                <w:rFonts w:ascii="Arial" w:cs="Arial" w:eastAsia="Arial" w:hAnsi="Arial"/>
                <w:sz w:val="14"/>
                <w:szCs w:val="14"/>
                <w:b w:val="1"/>
                <w:bCs w:val="1"/>
                <w:color w:val="auto"/>
                <w:w w:val="91"/>
              </w:rPr>
              <w:t>Symbol(s)</w:t>
            </w:r>
          </w:p>
        </w:tc>
        <w:tc>
          <w:tcPr>
            <w:tcW w:w="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000" w:type="dxa"/>
            <w:vAlign w:val="bottom"/>
          </w:tcPr>
          <w:p>
            <w:pPr>
              <w:jc w:val="center"/>
              <w:ind w:left="561"/>
              <w:spacing w:after="0"/>
              <w:rPr>
                <w:sz w:val="20"/>
                <w:szCs w:val="20"/>
                <w:color w:val="auto"/>
              </w:rPr>
            </w:pPr>
            <w:r>
              <w:rPr>
                <w:rFonts w:ascii="Arial" w:cs="Arial" w:eastAsia="Arial" w:hAnsi="Arial"/>
                <w:sz w:val="18"/>
                <w:szCs w:val="18"/>
                <w:b w:val="1"/>
                <w:bCs w:val="1"/>
                <w:color w:val="auto"/>
                <w:w w:val="90"/>
              </w:rPr>
              <w:t>Common Stock, $.01 par value</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8"/>
                <w:szCs w:val="18"/>
                <w:b w:val="1"/>
                <w:bCs w:val="1"/>
                <w:color w:val="auto"/>
              </w:rPr>
              <w:t>LCUT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tcPr>
          <w:p>
            <w:pPr>
              <w:jc w:val="center"/>
              <w:ind w:right="204"/>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251"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October 31, 2021 was 22,018,193.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33" w:right="35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9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8"/>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744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Financial Statements</w:t>
              </w:r>
            </w:hyperlink>
          </w:p>
        </w:tc>
        <w:tc>
          <w:tcPr>
            <w:tcW w:w="7640" w:type="dxa"/>
            <w:vAlign w:val="bottom"/>
            <w:gridSpan w:val="12"/>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Condensed Consolidated Balance Sheets – </w:t>
              </w:r>
            </w:hyperlink>
            <w:r>
              <w:rPr>
                <w:rFonts w:ascii="Arial" w:cs="Arial" w:eastAsia="Arial" w:hAnsi="Arial"/>
                <w:sz w:val="18"/>
                <w:szCs w:val="18"/>
                <w:color w:val="0000FF"/>
              </w:rPr>
              <w:t xml:space="preserve">September 30, 2021 </w:t>
            </w:r>
            <w:hyperlink w:anchor="page4">
              <w:r>
                <w:rPr>
                  <w:rFonts w:ascii="Arial" w:cs="Arial" w:eastAsia="Arial" w:hAnsi="Arial"/>
                  <w:sz w:val="18"/>
                  <w:szCs w:val="18"/>
                  <w:color w:val="0000FF"/>
                </w:rPr>
                <w:t xml:space="preserve">(unaudited) and </w:t>
              </w:r>
            </w:hyperlink>
            <w:r>
              <w:rPr>
                <w:rFonts w:ascii="Arial" w:cs="Arial" w:eastAsia="Arial" w:hAnsi="Arial"/>
                <w:sz w:val="18"/>
                <w:szCs w:val="18"/>
                <w:color w:val="0000FF"/>
              </w:rPr>
              <w:t>December 31, 2020</w:t>
            </w:r>
          </w:p>
        </w:tc>
        <w:tc>
          <w:tcPr>
            <w:tcW w:w="96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rFonts w:ascii="Arial" w:cs="Arial" w:eastAsia="Arial" w:hAnsi="Arial"/>
                <w:sz w:val="18"/>
                <w:szCs w:val="18"/>
                <w:color w:val="0000FF"/>
                <w:w w:val="93"/>
              </w:rPr>
            </w:pPr>
            <w:hyperlink w:anchor="page4">
              <w:r>
                <w:rPr>
                  <w:rFonts w:ascii="Arial" w:cs="Arial" w:eastAsia="Arial" w:hAnsi="Arial"/>
                  <w:sz w:val="18"/>
                  <w:szCs w:val="18"/>
                  <w:color w:val="0000FF"/>
                  <w:w w:val="93"/>
                </w:rPr>
                <w:t xml:space="preserve">Condensed Consolidated Statements of Operations (unaudited) – </w:t>
              </w:r>
            </w:hyperlink>
            <w:r>
              <w:rPr>
                <w:rFonts w:ascii="Arial" w:cs="Arial" w:eastAsia="Arial" w:hAnsi="Arial"/>
                <w:sz w:val="18"/>
                <w:szCs w:val="18"/>
                <w:color w:val="0000FF"/>
                <w:w w:val="93"/>
              </w:rPr>
              <w:t xml:space="preserve">Three and Nine Months Ended September 30, 2021 </w:t>
            </w:r>
            <w:hyperlink w:anchor="page4">
              <w:r>
                <w:rPr>
                  <w:rFonts w:ascii="Arial" w:cs="Arial" w:eastAsia="Arial" w:hAnsi="Arial"/>
                  <w:sz w:val="18"/>
                  <w:szCs w:val="18"/>
                  <w:color w:val="0000FF"/>
                  <w:w w:val="93"/>
                </w:rPr>
                <w:t>and</w:t>
              </w:r>
            </w:hyperlink>
          </w:p>
        </w:tc>
        <w:tc>
          <w:tcPr>
            <w:tcW w:w="860" w:type="dxa"/>
            <w:vAlign w:val="bottom"/>
            <w:gridSpan w:val="2"/>
            <w:vMerge w:val="restart"/>
          </w:tcPr>
          <w:p>
            <w:pPr>
              <w:spacing w:after="0"/>
              <w:rPr>
                <w:sz w:val="22"/>
                <w:szCs w:val="22"/>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2020</w:t>
            </w: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8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 xml:space="preserve">Condensed Consolidated Statements of Comprehensive </w:t>
              </w:r>
            </w:hyperlink>
            <w:r>
              <w:rPr>
                <w:rFonts w:ascii="Arial" w:cs="Arial" w:eastAsia="Arial" w:hAnsi="Arial"/>
                <w:sz w:val="18"/>
                <w:szCs w:val="18"/>
                <w:color w:val="0000FF"/>
                <w:w w:val="98"/>
              </w:rPr>
              <w:t xml:space="preserve">Income (Loss) </w:t>
            </w:r>
            <w:hyperlink w:anchor="page5">
              <w:r>
                <w:rPr>
                  <w:rFonts w:ascii="Arial" w:cs="Arial" w:eastAsia="Arial" w:hAnsi="Arial"/>
                  <w:sz w:val="18"/>
                  <w:szCs w:val="18"/>
                  <w:color w:val="0000FF"/>
                  <w:w w:val="98"/>
                </w:rPr>
                <w:t xml:space="preserve">(unaudited) – </w:t>
              </w:r>
            </w:hyperlink>
            <w:r>
              <w:rPr>
                <w:rFonts w:ascii="Arial" w:cs="Arial" w:eastAsia="Arial" w:hAnsi="Arial"/>
                <w:sz w:val="18"/>
                <w:szCs w:val="18"/>
                <w:color w:val="0000FF"/>
                <w:w w:val="98"/>
              </w:rPr>
              <w:t>Three and Nine Months Ended</w:t>
            </w:r>
          </w:p>
        </w:tc>
        <w:tc>
          <w:tcPr>
            <w:tcW w:w="96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360" w:type="dxa"/>
            <w:vAlign w:val="bottom"/>
            <w:tcBorders>
              <w:top w:val="single" w:sz="8" w:color="0000FF"/>
            </w:tcBorders>
            <w:gridSpan w:val="15"/>
          </w:tcPr>
          <w:p>
            <w:pPr>
              <w:spacing w:after="0" w:line="156" w:lineRule="exact"/>
              <w:rPr>
                <w:sz w:val="20"/>
                <w:szCs w:val="20"/>
                <w:color w:val="auto"/>
              </w:rPr>
            </w:pPr>
            <w:r>
              <w:rPr>
                <w:rFonts w:ascii="Arial" w:cs="Arial" w:eastAsia="Arial" w:hAnsi="Arial"/>
                <w:sz w:val="18"/>
                <w:szCs w:val="18"/>
                <w:color w:val="0000FF"/>
              </w:rPr>
              <w:t>September 30, 2021 and 2020</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 xml:space="preserve">Condensed Consolidated Statements of Stockholders’ Equity (unaudited) </w:t>
              </w:r>
            </w:hyperlink>
            <w:r>
              <w:rPr>
                <w:rFonts w:ascii="Arial" w:cs="Arial" w:eastAsia="Arial" w:hAnsi="Arial"/>
                <w:sz w:val="18"/>
                <w:szCs w:val="18"/>
                <w:color w:val="0000FF"/>
                <w:w w:val="94"/>
              </w:rPr>
              <w:t>–Three and Nine Months Ended September 30,</w:t>
            </w:r>
          </w:p>
        </w:tc>
        <w:tc>
          <w:tcPr>
            <w:tcW w:w="960" w:type="dxa"/>
            <w:vAlign w:val="bottom"/>
            <w:gridSpan w:val="3"/>
            <w:vMerge w:val="restart"/>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70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2021 and 2020</w:t>
            </w:r>
          </w:p>
        </w:tc>
        <w:tc>
          <w:tcPr>
            <w:tcW w:w="440" w:type="dxa"/>
            <w:vAlign w:val="bottom"/>
            <w:gridSpan w:val="2"/>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rFonts w:ascii="Arial" w:cs="Arial" w:eastAsia="Arial" w:hAnsi="Arial"/>
                <w:sz w:val="18"/>
                <w:szCs w:val="18"/>
                <w:color w:val="0000FF"/>
                <w:w w:val="97"/>
              </w:rPr>
            </w:pPr>
            <w:hyperlink w:anchor="page8">
              <w:r>
                <w:rPr>
                  <w:rFonts w:ascii="Arial" w:cs="Arial" w:eastAsia="Arial" w:hAnsi="Arial"/>
                  <w:sz w:val="18"/>
                  <w:szCs w:val="18"/>
                  <w:color w:val="0000FF"/>
                  <w:w w:val="97"/>
                </w:rPr>
                <w:t xml:space="preserve">Condensed Consolidated Statements of Cash Flows (unaudited) – </w:t>
              </w:r>
            </w:hyperlink>
            <w:r>
              <w:rPr>
                <w:rFonts w:ascii="Arial" w:cs="Arial" w:eastAsia="Arial" w:hAnsi="Arial"/>
                <w:sz w:val="18"/>
                <w:szCs w:val="18"/>
                <w:color w:val="0000FF"/>
                <w:w w:val="97"/>
              </w:rPr>
              <w:t>Nine Months Ended September 30, 2021 and 2020</w:t>
            </w:r>
          </w:p>
        </w:tc>
        <w:tc>
          <w:tcPr>
            <w:tcW w:w="96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Notes to Condensed Consolidated Financial Statements (unaudited)</w:t>
              </w:r>
            </w:hyperlink>
          </w:p>
        </w:tc>
        <w:tc>
          <w:tcPr>
            <w:tcW w:w="3540" w:type="dxa"/>
            <w:vAlign w:val="bottom"/>
            <w:tcBorders>
              <w:top w:val="single" w:sz="8" w:color="0000FF"/>
            </w:tcBorders>
            <w:gridSpan w:val="4"/>
          </w:tcPr>
          <w:p>
            <w:pPr>
              <w:spacing w:after="0"/>
              <w:rPr>
                <w:sz w:val="22"/>
                <w:szCs w:val="22"/>
                <w:color w:val="auto"/>
              </w:rPr>
            </w:pPr>
          </w:p>
        </w:tc>
        <w:tc>
          <w:tcPr>
            <w:tcW w:w="740" w:type="dxa"/>
            <w:vAlign w:val="bottom"/>
            <w:gridSpan w:val="3"/>
          </w:tcPr>
          <w:p>
            <w:pPr>
              <w:spacing w:after="0"/>
              <w:rPr>
                <w:sz w:val="22"/>
                <w:szCs w:val="22"/>
                <w:color w:val="auto"/>
              </w:rPr>
            </w:pPr>
          </w:p>
        </w:tc>
        <w:tc>
          <w:tcPr>
            <w:tcW w:w="860" w:type="dxa"/>
            <w:vAlign w:val="bottom"/>
            <w:gridSpan w:val="2"/>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0" w:type="dxa"/>
            <w:vAlign w:val="bottom"/>
          </w:tcPr>
          <w:p>
            <w:pPr>
              <w:spacing w:after="0"/>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1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96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40" w:type="dxa"/>
            <w:vAlign w:val="bottom"/>
            <w:gridSpan w:val="1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Quantitative and Qualitative Disclosures About Market Risk</w:t>
              </w:r>
            </w:hyperlink>
          </w:p>
        </w:tc>
        <w:tc>
          <w:tcPr>
            <w:tcW w:w="2700" w:type="dxa"/>
            <w:vAlign w:val="bottom"/>
            <w:gridSpan w:val="6"/>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1"/>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Controls and Procedures</w:t>
              </w:r>
            </w:hyperlink>
          </w:p>
        </w:tc>
        <w:tc>
          <w:tcPr>
            <w:tcW w:w="4800" w:type="dxa"/>
            <w:vAlign w:val="bottom"/>
            <w:gridSpan w:val="8"/>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3"/>
              </w:rPr>
            </w:pPr>
            <w:hyperlink w:anchor="page45">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3"/>
          </w:tcPr>
          <w:p>
            <w:pPr>
              <w:spacing w:after="0"/>
              <w:rPr>
                <w:sz w:val="22"/>
                <w:szCs w:val="22"/>
                <w:color w:val="auto"/>
              </w:rPr>
            </w:pPr>
          </w:p>
        </w:tc>
        <w:tc>
          <w:tcPr>
            <w:tcW w:w="7380" w:type="dxa"/>
            <w:vAlign w:val="bottom"/>
            <w:gridSpan w:val="10"/>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1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Legal Proceedings</w:t>
              </w:r>
            </w:hyperlink>
          </w:p>
        </w:tc>
        <w:tc>
          <w:tcPr>
            <w:tcW w:w="9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FF"/>
                <w:w w:val="87"/>
              </w:rPr>
            </w:pPr>
            <w:hyperlink w:anchor="page45">
              <w:r>
                <w:rPr>
                  <w:rFonts w:ascii="Arial" w:cs="Arial" w:eastAsia="Arial" w:hAnsi="Arial"/>
                  <w:sz w:val="18"/>
                  <w:szCs w:val="18"/>
                  <w:color w:val="0000FF"/>
                  <w:w w:val="87"/>
                </w:rPr>
                <w:t>Risk Factors</w:t>
              </w:r>
            </w:hyperlink>
          </w:p>
        </w:tc>
        <w:tc>
          <w:tcPr>
            <w:tcW w:w="420" w:type="dxa"/>
            <w:vAlign w:val="bottom"/>
            <w:gridSpan w:val="2"/>
          </w:tcPr>
          <w:p>
            <w:pPr>
              <w:spacing w:after="0"/>
              <w:rPr>
                <w:sz w:val="24"/>
                <w:szCs w:val="24"/>
                <w:color w:val="auto"/>
              </w:rPr>
            </w:pPr>
          </w:p>
        </w:tc>
        <w:tc>
          <w:tcPr>
            <w:tcW w:w="7820" w:type="dxa"/>
            <w:vAlign w:val="bottom"/>
            <w:gridSpan w:val="14"/>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1"/>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Unregistered Sales of Equity Securities and Use of Proceeds</w:t>
              </w:r>
            </w:hyperlink>
          </w:p>
        </w:tc>
        <w:tc>
          <w:tcPr>
            <w:tcW w:w="4800" w:type="dxa"/>
            <w:vAlign w:val="bottom"/>
            <w:gridSpan w:val="8"/>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Exhibits</w:t>
              </w:r>
            </w:hyperlink>
          </w:p>
        </w:tc>
        <w:tc>
          <w:tcPr>
            <w:tcW w:w="3740" w:type="dxa"/>
            <w:vAlign w:val="bottom"/>
            <w:gridSpan w:val="9"/>
          </w:tcPr>
          <w:p>
            <w:pPr>
              <w:spacing w:after="0"/>
              <w:rPr>
                <w:sz w:val="24"/>
                <w:szCs w:val="24"/>
                <w:color w:val="auto"/>
              </w:rPr>
            </w:pPr>
          </w:p>
        </w:tc>
        <w:tc>
          <w:tcPr>
            <w:tcW w:w="4800" w:type="dxa"/>
            <w:vAlign w:val="bottom"/>
            <w:gridSpan w:val="8"/>
          </w:tcPr>
          <w:p>
            <w:pPr>
              <w:spacing w:after="0"/>
              <w:rPr>
                <w:sz w:val="24"/>
                <w:szCs w:val="24"/>
                <w:color w:val="auto"/>
              </w:rPr>
            </w:pPr>
          </w:p>
        </w:tc>
        <w:tc>
          <w:tcPr>
            <w:tcW w:w="960" w:type="dxa"/>
            <w:vAlign w:val="bottom"/>
            <w:gridSpan w:val="3"/>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rFonts w:ascii="Arial" w:cs="Arial" w:eastAsia="Arial" w:hAnsi="Arial"/>
                <w:sz w:val="18"/>
                <w:szCs w:val="18"/>
                <w:color w:val="0000FF"/>
                <w:w w:val="85"/>
              </w:rPr>
            </w:pPr>
            <w:hyperlink w:anchor="page47">
              <w:r>
                <w:rPr>
                  <w:rFonts w:ascii="Arial" w:cs="Arial" w:eastAsia="Arial" w:hAnsi="Arial"/>
                  <w:sz w:val="18"/>
                  <w:szCs w:val="18"/>
                  <w:color w:val="0000FF"/>
                  <w:w w:val="85"/>
                </w:rPr>
                <w:t>Signatures</w:t>
              </w:r>
            </w:hyperlink>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gridSpan w:val="3"/>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4016375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92"/>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35,963</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w w:val="91"/>
              </w:rPr>
              <w:t>Accounts receivable, less allowances of $17,968 at September 30, 2021 and $17,013 at December 31, 2020</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169,223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170,037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421,293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23,120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20,032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244,025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807,481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Current maturity of 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8,549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17,657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66,095</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108,579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80,050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180,070</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16,483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LONG-TERM</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93,978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102,355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10,714</w:t>
            </w:r>
          </w:p>
        </w:tc>
        <w:tc>
          <w:tcPr>
            <w:tcW w:w="0" w:type="dxa"/>
            <w:vAlign w:val="bottom"/>
          </w:tcPr>
          <w:p>
            <w:pPr>
              <w:spacing w:after="0"/>
              <w:rPr>
                <w:sz w:val="1"/>
                <w:szCs w:val="1"/>
                <w:color w:val="auto"/>
              </w:rPr>
            </w:pP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238,977</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0"/>
              </w:rPr>
              <w:t>Preferred stock, $1.00 par value, shares authorized: 100 shares of Series A and 2,000,000 shares of Series</w:t>
            </w:r>
          </w:p>
        </w:tc>
        <w:tc>
          <w:tcPr>
            <w:tcW w:w="18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 none issued and outstanding</w:t>
            </w:r>
          </w:p>
        </w:tc>
        <w:tc>
          <w:tcPr>
            <w:tcW w:w="18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500"/>
              <w:spacing w:after="0" w:line="176" w:lineRule="exact"/>
              <w:rPr>
                <w:sz w:val="20"/>
                <w:szCs w:val="20"/>
                <w:color w:val="auto"/>
              </w:rPr>
            </w:pPr>
            <w:r>
              <w:rPr>
                <w:rFonts w:ascii="Arial" w:cs="Arial" w:eastAsia="Arial" w:hAnsi="Arial"/>
                <w:sz w:val="18"/>
                <w:szCs w:val="18"/>
                <w:color w:val="auto"/>
                <w:w w:val="90"/>
              </w:rPr>
              <w:t>Common stock, $0.01 par value, shares authorized: 50,000,000 at September 30, 2021 and December 31,</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500"/>
              <w:spacing w:after="0" w:line="176" w:lineRule="exact"/>
              <w:rPr>
                <w:sz w:val="20"/>
                <w:szCs w:val="20"/>
                <w:color w:val="auto"/>
              </w:rPr>
            </w:pPr>
            <w:r>
              <w:rPr>
                <w:rFonts w:ascii="Arial" w:cs="Arial" w:eastAsia="Arial" w:hAnsi="Arial"/>
                <w:sz w:val="18"/>
                <w:szCs w:val="18"/>
                <w:color w:val="auto"/>
                <w:w w:val="90"/>
              </w:rPr>
              <w:t>2020; shares issued and outstanding: 22,018,193 at September 30, 2021 and 21,755,195 at December 31,</w:t>
            </w:r>
          </w:p>
        </w:tc>
        <w:tc>
          <w:tcPr>
            <w:tcW w:w="1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8240" w:type="dxa"/>
            <w:vAlign w:val="bottom"/>
          </w:tcPr>
          <w:p>
            <w:pPr>
              <w:ind w:left="50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268,666</w:t>
            </w:r>
          </w:p>
        </w:tc>
        <w:tc>
          <w:tcPr>
            <w:tcW w:w="0" w:type="dxa"/>
            <w:vAlign w:val="bottom"/>
          </w:tcPr>
          <w:p>
            <w:pPr>
              <w:spacing w:after="0"/>
              <w:rPr>
                <w:sz w:val="1"/>
                <w:szCs w:val="1"/>
                <w:color w:val="auto"/>
              </w:rPr>
            </w:pP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(39,172)</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255,975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230,136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807,481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3"/>
        </w:trPr>
        <w:tc>
          <w:tcPr>
            <w:tcW w:w="57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519,960</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391,790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334,066</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185,894</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50,710</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116,879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114,274</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impairments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41,927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(13,094)</w:t>
            </w:r>
          </w:p>
        </w:tc>
      </w:tr>
      <w:tr>
        <w:trPr>
          <w:trHeight w:val="229"/>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 to market gain (loss) on interest rate derivatives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equity in earnings (losses)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(3,013)</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(losses), net of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(18,228)</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INCOME (LOSS)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DILUTED INCOME (LOSS) PER COMMON SHARE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r>
      <w:tr>
        <w:trPr>
          <w:trHeight w:val="20"/>
        </w:trPr>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4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2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(18,228)</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r>
      <w:tr>
        <w:trPr>
          <w:trHeight w:val="229"/>
        </w:trPr>
        <w:tc>
          <w:tcPr>
            <w:tcW w:w="560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(7,328)</w:t>
            </w:r>
          </w:p>
        </w:tc>
      </w:tr>
      <w:tr>
        <w:trPr>
          <w:trHeight w:val="24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212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3"/>
                <w:szCs w:val="3"/>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88"/>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268,666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(39,172)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230,136</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Comprehensive income (loss):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Translation adjustment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1,829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change in cash flow hedges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0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3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Total comprehensive income</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4,750</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(2,159)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21,980</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268,127</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(37,489)</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233,406</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4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5,789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5,789</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Translation adjustment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Net change in cash flow hedges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79"/>
        </w:trPr>
        <w:tc>
          <w:tcPr>
            <w:tcW w:w="382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comprehensive income</w:t>
            </w: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8,460</w:t>
            </w:r>
          </w:p>
        </w:tc>
        <w:tc>
          <w:tcPr>
            <w:tcW w:w="0" w:type="dxa"/>
            <w:vAlign w:val="bottom"/>
          </w:tcPr>
          <w:p>
            <w:pPr>
              <w:spacing w:after="0"/>
              <w:rPr>
                <w:sz w:val="1"/>
                <w:szCs w:val="1"/>
                <w:color w:val="auto"/>
              </w:rPr>
            </w:pPr>
          </w:p>
        </w:tc>
      </w:tr>
      <w:tr>
        <w:trPr>
          <w:trHeight w:val="118"/>
        </w:trPr>
        <w:tc>
          <w:tcPr>
            <w:tcW w:w="382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Net issuance of restricted shares granted to employees and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22,007</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268,976</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7,423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(34,818)</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241,801</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40"/>
              <w:spacing w:after="0"/>
              <w:rPr>
                <w:sz w:val="20"/>
                <w:szCs w:val="20"/>
                <w:color w:val="auto"/>
              </w:rPr>
            </w:pPr>
            <w:r>
              <w:rPr>
                <w:rFonts w:ascii="Arial" w:cs="Arial" w:eastAsia="Arial" w:hAnsi="Arial"/>
                <w:sz w:val="14"/>
                <w:szCs w:val="14"/>
                <w:color w:val="auto"/>
              </w:rPr>
              <w:t>Net income</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12,571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12,571</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Translation adjustment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40"/>
              <w:spacing w:after="0"/>
              <w:rPr>
                <w:sz w:val="20"/>
                <w:szCs w:val="20"/>
                <w:color w:val="auto"/>
              </w:rPr>
            </w:pPr>
            <w:r>
              <w:rPr>
                <w:rFonts w:ascii="Arial" w:cs="Arial" w:eastAsia="Arial" w:hAnsi="Arial"/>
                <w:sz w:val="14"/>
                <w:szCs w:val="14"/>
                <w:color w:val="auto"/>
              </w:rPr>
              <w:t>Net change in cash flow hedges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Effect of retirement benefit obligations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9"/>
        </w:trPr>
        <w:tc>
          <w:tcPr>
            <w:tcW w:w="382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comprehensive income</w:t>
            </w: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13,836</w:t>
            </w:r>
          </w:p>
        </w:tc>
        <w:tc>
          <w:tcPr>
            <w:tcW w:w="0" w:type="dxa"/>
            <w:vAlign w:val="bottom"/>
          </w:tcPr>
          <w:p>
            <w:pPr>
              <w:spacing w:after="0"/>
              <w:rPr>
                <w:sz w:val="1"/>
                <w:szCs w:val="1"/>
                <w:color w:val="auto"/>
              </w:rPr>
            </w:pPr>
          </w:p>
        </w:tc>
      </w:tr>
      <w:tr>
        <w:trPr>
          <w:trHeight w:val="18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08"/>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270,309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255,975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Cash dividends declared per share of common stock were $0.1275 and $0.1275 in the nine months ended September 30, 2021 and 2020, respectively.</w:t>
      </w:r>
    </w:p>
    <w:p>
      <w:pPr>
        <w:spacing w:after="0" w:line="200" w:lineRule="exact"/>
        <w:rPr>
          <w:rFonts w:ascii="Arial" w:cs="Arial" w:eastAsia="Arial" w:hAnsi="Arial"/>
          <w:sz w:val="16"/>
          <w:szCs w:val="16"/>
          <w:color w:val="auto"/>
          <w:vertAlign w:val="superscript"/>
        </w:rPr>
      </w:pPr>
    </w:p>
    <w:p>
      <w:pPr>
        <w:spacing w:after="0" w:line="337" w:lineRule="exact"/>
        <w:rPr>
          <w:rFonts w:ascii="Arial" w:cs="Arial" w:eastAsia="Arial" w:hAnsi="Arial"/>
          <w:sz w:val="16"/>
          <w:szCs w:val="16"/>
          <w:color w:val="auto"/>
          <w:vertAlign w:val="superscript"/>
        </w:rPr>
      </w:pPr>
    </w:p>
    <w:p>
      <w:pPr>
        <w:ind w:left="5580" w:hanging="106"/>
        <w:spacing w:after="0"/>
        <w:tabs>
          <w:tab w:leader="none" w:pos="5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7"/>
                <w:szCs w:val="17"/>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7"/>
                <w:szCs w:val="17"/>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Retained earnings</w:t>
            </w: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60" w:type="dxa"/>
            <w:vAlign w:val="bottom"/>
          </w:tcPr>
          <w:p>
            <w:pPr>
              <w:spacing w:after="0"/>
              <w:rPr>
                <w:sz w:val="11"/>
                <w:szCs w:val="11"/>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 deficit)</w:t>
            </w:r>
          </w:p>
        </w:tc>
        <w:tc>
          <w:tcPr>
            <w:tcW w:w="120" w:type="dxa"/>
            <w:vAlign w:val="bottom"/>
          </w:tcPr>
          <w:p>
            <w:pPr>
              <w:spacing w:after="0"/>
              <w:rPr>
                <w:sz w:val="16"/>
                <w:szCs w:val="16"/>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21,256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263,386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7,173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(34,455)</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236,317</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Comprehensive (loss) income:</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(28,164)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Translation adjustment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(4,458)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(4,458)</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change in cash flow hedges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0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382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Total comprehensive loss</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(35,479)</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1,320</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21,486</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264,405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(41,770)</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200,927</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Comprehensive (loss) income: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(3,977)</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Translation adjustment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(2,514)</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Net change in cash flow hedges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Effect of retirement benefit obligations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9"/>
        </w:trPr>
        <w:tc>
          <w:tcPr>
            <w:tcW w:w="3820" w:type="dxa"/>
            <w:vAlign w:val="bottom"/>
            <w:tcBorders>
              <w:bottom w:val="single" w:sz="8" w:color="CCEEFF"/>
            </w:tcBorders>
            <w:gridSpan w:val="2"/>
          </w:tcPr>
          <w:p>
            <w:pPr>
              <w:ind w:left="480"/>
              <w:spacing w:after="0"/>
              <w:rPr>
                <w:sz w:val="20"/>
                <w:szCs w:val="20"/>
                <w:color w:val="auto"/>
              </w:rPr>
            </w:pPr>
            <w:r>
              <w:rPr>
                <w:rFonts w:ascii="Arial" w:cs="Arial" w:eastAsia="Arial" w:hAnsi="Arial"/>
                <w:sz w:val="14"/>
                <w:szCs w:val="14"/>
                <w:color w:val="auto"/>
              </w:rPr>
              <w:t>Total comprehensive loss</w:t>
            </w:r>
          </w:p>
        </w:tc>
        <w:tc>
          <w:tcPr>
            <w:tcW w:w="9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(6,371)</w:t>
            </w:r>
          </w:p>
        </w:tc>
        <w:tc>
          <w:tcPr>
            <w:tcW w:w="0" w:type="dxa"/>
            <w:vAlign w:val="bottom"/>
          </w:tcPr>
          <w:p>
            <w:pPr>
              <w:spacing w:after="0"/>
              <w:rPr>
                <w:sz w:val="1"/>
                <w:szCs w:val="1"/>
                <w:color w:val="auto"/>
              </w:rPr>
            </w:pPr>
          </w:p>
        </w:tc>
      </w:tr>
      <w:tr>
        <w:trPr>
          <w:trHeight w:val="118"/>
        </w:trPr>
        <w:tc>
          <w:tcPr>
            <w:tcW w:w="3820" w:type="dxa"/>
            <w:vAlign w:val="bottom"/>
            <w:gridSpan w:val="2"/>
            <w:shd w:val="clear" w:color="auto" w:fill="CCEEFF"/>
          </w:tcPr>
          <w:p>
            <w:pPr>
              <w:ind w:left="20"/>
              <w:spacing w:after="0" w:line="119" w:lineRule="exact"/>
              <w:rPr>
                <w:sz w:val="20"/>
                <w:szCs w:val="20"/>
                <w:color w:val="auto"/>
              </w:rPr>
            </w:pPr>
            <w:r>
              <w:rPr>
                <w:rFonts w:ascii="Arial" w:cs="Arial" w:eastAsia="Arial" w:hAnsi="Arial"/>
                <w:sz w:val="13"/>
                <w:szCs w:val="13"/>
                <w:color w:val="auto"/>
              </w:rPr>
              <w:t>Net issuance of restricted shares granted to employees and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0"/>
                <w:szCs w:val="10"/>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265,630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(44,164)</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194,871</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Comprehensive income</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Net income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13,913</w:t>
            </w:r>
          </w:p>
        </w:tc>
        <w:tc>
          <w:tcPr>
            <w:tcW w:w="0" w:type="dxa"/>
            <w:vAlign w:val="bottom"/>
          </w:tcPr>
          <w:p>
            <w:pPr>
              <w:spacing w:after="0"/>
              <w:rPr>
                <w:sz w:val="1"/>
                <w:szCs w:val="1"/>
                <w:color w:val="auto"/>
              </w:rPr>
            </w:pPr>
          </w:p>
        </w:tc>
      </w:tr>
      <w:tr>
        <w:trPr>
          <w:trHeight w:val="186"/>
        </w:trPr>
        <w:tc>
          <w:tcPr>
            <w:tcW w:w="3820" w:type="dxa"/>
            <w:vAlign w:val="bottom"/>
            <w:gridSpan w:val="2"/>
          </w:tcPr>
          <w:p>
            <w:pPr>
              <w:ind w:left="220"/>
              <w:spacing w:after="0"/>
              <w:rPr>
                <w:sz w:val="20"/>
                <w:szCs w:val="20"/>
                <w:color w:val="auto"/>
              </w:rPr>
            </w:pPr>
            <w:r>
              <w:rPr>
                <w:rFonts w:ascii="Arial" w:cs="Arial" w:eastAsia="Arial" w:hAnsi="Arial"/>
                <w:sz w:val="14"/>
                <w:szCs w:val="14"/>
                <w:color w:val="auto"/>
              </w:rPr>
              <w:t>Translation adjustment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2,145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192"/>
        </w:trPr>
        <w:tc>
          <w:tcPr>
            <w:tcW w:w="38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Derivative fair value adjustment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86"/>
        </w:trPr>
        <w:tc>
          <w:tcPr>
            <w:tcW w:w="38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Effect of retirement benefit obligations</w:t>
            </w:r>
          </w:p>
        </w:tc>
        <w:tc>
          <w:tcPr>
            <w:tcW w:w="10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38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comprehensive income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16,294</w:t>
            </w:r>
          </w:p>
        </w:tc>
        <w:tc>
          <w:tcPr>
            <w:tcW w:w="0" w:type="dxa"/>
            <w:vAlign w:val="bottom"/>
          </w:tcPr>
          <w:p>
            <w:pPr>
              <w:spacing w:after="0"/>
              <w:rPr>
                <w:sz w:val="1"/>
                <w:szCs w:val="1"/>
                <w:color w:val="auto"/>
              </w:rPr>
            </w:pPr>
          </w:p>
        </w:tc>
      </w:tr>
      <w:tr>
        <w:trPr>
          <w:trHeight w:val="179"/>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138"/>
        </w:trPr>
        <w:tc>
          <w:tcPr>
            <w:tcW w:w="38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208"/>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267,200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211,793</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Cash dividends declared per share of common stock were $0.1275 and $0.1275 in the nine months ended September 30, 2021 and 2020, respectively.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rPr>
              <w:t>LIFETIME BRANDS,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510"/>
              <w:spacing w:after="0" w:line="202" w:lineRule="exact"/>
              <w:rPr>
                <w:sz w:val="20"/>
                <w:szCs w:val="20"/>
                <w:color w:val="auto"/>
              </w:rPr>
            </w:pPr>
            <w:r>
              <w:rPr>
                <w:rFonts w:ascii="Arial" w:cs="Arial" w:eastAsia="Arial" w:hAnsi="Arial"/>
                <w:sz w:val="18"/>
                <w:szCs w:val="18"/>
                <w:b w:val="1"/>
                <w:bCs w:val="1"/>
                <w:color w:val="auto"/>
              </w:rPr>
              <w:t>Nine Months Ended</w:t>
            </w:r>
          </w:p>
        </w:tc>
      </w:tr>
      <w:tr>
        <w:trPr>
          <w:trHeight w:val="229"/>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9"/>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21,427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(18,228)</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18,385</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Goodwill and other impairments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20,100</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Amortization of financing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Mark to market (gain) loss on interest rate derivatives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Non-cash lease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2,915</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Provision (recovery) for doubtful accounts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4,321</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Undistributed (earnings) losses from equity investment, net of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(55,466)</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(37,303)</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Prepaid expenses, other current assets and other assets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3,573</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100,798</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Income taxes receivable</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29"/>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49,208</w:t>
            </w:r>
          </w:p>
        </w:tc>
      </w:tr>
      <w:tr>
        <w:trPr>
          <w:trHeight w:val="210"/>
        </w:trPr>
        <w:tc>
          <w:tcPr>
            <w:tcW w:w="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Proceeds from sale of shares of equity method investment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0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r>
      <w:tr>
        <w:trPr>
          <w:trHeight w:val="210"/>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107,418</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(113,652)</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Repayments of term loan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(7,583)</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for finance lease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Cash dividends paid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(16,240)</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foreign exchange on cash</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31,305</w:t>
            </w:r>
          </w:p>
        </w:tc>
      </w:tr>
      <w:tr>
        <w:trPr>
          <w:trHeight w:val="229"/>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11,370</w:t>
            </w:r>
          </w:p>
        </w:tc>
      </w:tr>
      <w:tr>
        <w:trPr>
          <w:trHeight w:val="248"/>
        </w:trPr>
        <w:tc>
          <w:tcPr>
            <w:tcW w:w="40" w:type="dxa"/>
            <w:vAlign w:val="bottom"/>
          </w:tcPr>
          <w:p>
            <w:pPr>
              <w:spacing w:after="0"/>
              <w:rPr>
                <w:sz w:val="21"/>
                <w:szCs w:val="21"/>
                <w:color w:val="auto"/>
              </w:rPr>
            </w:pPr>
          </w:p>
        </w:tc>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42,675</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NOTE 1 — BASIS OF PRESENTATION AND SUMMARY OF ACCOUNTING POLICIES Organization and business</w:t>
      </w:r>
    </w:p>
    <w:p>
      <w:pPr>
        <w:ind w:right="100"/>
        <w:spacing w:after="0" w:line="254"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2020.</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results for the three and nine months ended September 30, 2021 are not necessarily indicative of the results that may be expected for the year ending December 31, 2021.</w:t>
      </w:r>
    </w:p>
    <w:p>
      <w:pPr>
        <w:spacing w:after="0" w:line="6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2020 and 2019, net sales for the third and fourth quarters accounted for 62% and 60% of total annual net sales, respectively. In anticipation of the pre-holiday shipping season, inventory levels increase primarily in the June through October time period.</w:t>
      </w:r>
    </w:p>
    <w:p>
      <w:pPr>
        <w:spacing w:after="0" w:line="76"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tooling, and other product procurement 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consist primarily of warehousing expenses and freight-out expenses. Handling costs of products sold are included in cost of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impacts of the COVID-19 pandemic. A considerable amount of judgment is required to assess the ultimate realization of these receivables, including assessing the initial and on-going creditworthiness of the Company’s customers.</w:t>
      </w:r>
    </w:p>
    <w:p>
      <w:pPr>
        <w:spacing w:after="0" w:line="8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Pursuant to the Receivable Purchase Agreement, the Company sold to HSBC $33.7 million and $113.2 million of receivables during the three and nine months ended September 30, 2021, respectively, and $43.0 million and $116.9 million of receivables during the three and nine months ended September 30, 2020, respectively. Charges of $0.1 million and $0.3 million related to the sale of the receivables are included in selling, general and administrative expenses in the unaudited condensed consolidated statements of operations for the three and nine months ended September 30, 2021, respectively. Charges of $0.1 million and $0.4 million related to the sale of the receivables are included in selling, general and administrative expenses in the unaudited condensed consolidated statements of operations for the three and nine months ended September 30, 2020, respectively. At September 30, 2021 and 2020, $15.8 million and $26.7 million, respectively, of receivables sold were outstanding and due to HSBC from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9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9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49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256,922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900" w:type="dxa"/>
            <w:vAlign w:val="bottom"/>
            <w:vMerge w:val="restart"/>
          </w:tcPr>
          <w:p>
            <w:pPr>
              <w:jc w:val="right"/>
              <w:ind w:right="2370"/>
              <w:spacing w:after="0"/>
              <w:rPr>
                <w:sz w:val="20"/>
                <w:szCs w:val="20"/>
                <w:color w:val="auto"/>
              </w:rPr>
            </w:pPr>
            <w:r>
              <w:rPr>
                <w:rFonts w:ascii="Arial" w:cs="Arial" w:eastAsia="Arial" w:hAnsi="Arial"/>
                <w:sz w:val="18"/>
                <w:szCs w:val="18"/>
                <w:color w:val="auto"/>
              </w:rPr>
              <w:t>- 9 -</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3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7 — DEBT to the unaudited condensed consolidated financial statements included in this Quarterly Report on Form 10-Q) approximate fair value since such borrowings bear interest at variable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815, </w:t>
      </w:r>
      <w:r>
        <w:rPr>
          <w:rFonts w:ascii="Arial" w:cs="Arial" w:eastAsia="Arial" w:hAnsi="Arial"/>
          <w:sz w:val="17"/>
          <w:szCs w:val="17"/>
          <w:i w:val="1"/>
          <w:iCs w:val="1"/>
          <w:color w:val="auto"/>
        </w:rPr>
        <w:t>Derivatives and Hedging</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color w:val="auto"/>
        </w:rPr>
        <w:t>“ASC 815”</w:t>
      </w:r>
      <w:r>
        <w:rPr>
          <w:rFonts w:ascii="Arial" w:cs="Arial" w:eastAsia="Arial" w:hAnsi="Arial"/>
          <w:sz w:val="17"/>
          <w:szCs w:val="17"/>
          <w:i w:val="1"/>
          <w:iCs w:val="1"/>
          <w:color w:val="auto"/>
        </w:rPr>
        <w:t>)</w:t>
      </w:r>
      <w:r>
        <w:rPr>
          <w:rFonts w:ascii="Arial" w:cs="Arial" w:eastAsia="Arial" w:hAnsi="Arial"/>
          <w:sz w:val="17"/>
          <w:szCs w:val="17"/>
          <w:color w:val="auto"/>
        </w:rPr>
        <w:t>. ASC 815 requires that all derivative instruments be recognized on the balance sheet at fair value as either an asset or liability.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7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6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6 — INTANGIBLE ASSETS to the unaudited condensed consolidated financial statements included in this Quarterly Report on Form 10-Q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spacing w:after="0" w:line="8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5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communication date for severance. Charges associated with lease terminations, related to restructuring activities, are recognized at the effective date of the lease modification.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2021, the Company did not incur any restructuring expenses.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nine months ended September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to achieve product development efficiencies and a country tailored international sales approach.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January 1, 2021, the Company adopted ASU 2019-12, Income Taxes (Topic 740): Simplifying the Accounting for Income Taxes, which simplifies the accounting for income taxes by removing certain exceptions to the general principles and simplifies the application of U.S. GAAP for other areas of Topic 740 by clarifying and amending the existing guidance. The adoption did not have a material impact on the Company’s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6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ASU 2016-13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The Company met the definition of a Smaller Reporting Company as of the one-time determination date of November 15, 2019. Early adoption is permitted. Management is currently evaluating the impact of this standard on its consolidated financial statements and related disclosures.</w:t>
      </w:r>
    </w:p>
    <w:p>
      <w:pPr>
        <w:spacing w:after="0" w:line="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the London Inter-Bank Offered Rate (“LIBOR”) or another reference rate that is expected to be discontinued as a result of reference rate reform. The guidance in ASU 2020-04 may be applied to contract modifications and hedging relationships as of any date from March 12, 2020 but no later than December 31, 2022 and should be applied on a prospective basis. The Company has not yet applied the guidance in ASU 2020-04 and is currently evaluating the impact of this standard on its consolidated financial statements and related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$1.0 million and $2.4 million for the three and nine months ended September 30, 2021, respectively, and $0.9 million and $2.6 million </w:t>
      </w:r>
      <w:r>
        <w:rPr>
          <w:rFonts w:ascii="Arial" w:cs="Arial" w:eastAsia="Arial" w:hAnsi="Arial"/>
          <w:sz w:val="17"/>
          <w:szCs w:val="17"/>
          <w:color w:val="auto"/>
        </w:rPr>
        <w:t>for the</w:t>
      </w:r>
      <w:r>
        <w:rPr>
          <w:rFonts w:ascii="Arial" w:cs="Arial" w:eastAsia="Arial" w:hAnsi="Arial"/>
          <w:sz w:val="16"/>
          <w:szCs w:val="16"/>
          <w:color w:val="auto"/>
        </w:rPr>
        <w:t xml:space="preserve"> three and nine months ended September 30, 2020, respectively. Net sales exclude taxes that are collected from customers and remitted to the taxing authorities.</w:t>
      </w:r>
    </w:p>
    <w:p>
      <w:pPr>
        <w:spacing w:after="0" w:line="6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which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Payment terms vary by customer, but generally range from 30 to 90 days or at the point of sale for the Company’s retail direct sales.</w:t>
      </w:r>
    </w:p>
    <w:p>
      <w:pPr>
        <w:spacing w:after="0" w:line="69"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three and nine months ended September 30, 2021 and 2020 (in thousands):</w:t>
      </w: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4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195"/>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56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211"/>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60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113,429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119,566</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337,051</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283,258</w:t>
            </w:r>
          </w:p>
        </w:tc>
      </w:tr>
      <w:tr>
        <w:trPr>
          <w:trHeight w:val="229"/>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98,534</w:t>
            </w:r>
          </w:p>
        </w:tc>
      </w:tr>
      <w:tr>
        <w:trPr>
          <w:trHeight w:val="230"/>
        </w:trPr>
        <w:tc>
          <w:tcPr>
            <w:tcW w:w="5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Home Solutions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81,546</w:t>
            </w:r>
          </w:p>
        </w:tc>
      </w:tr>
      <w:tr>
        <w:trPr>
          <w:trHeight w:val="223"/>
        </w:trPr>
        <w:tc>
          <w:tcPr>
            <w:tcW w:w="5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U.S. segment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197,724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463,338</w:t>
            </w:r>
          </w:p>
        </w:tc>
      </w:tr>
      <w:tr>
        <w:trPr>
          <w:trHeight w:val="237"/>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56,622</w:t>
            </w:r>
          </w:p>
        </w:tc>
      </w:tr>
      <w:tr>
        <w:trPr>
          <w:trHeight w:val="223"/>
        </w:trPr>
        <w:tc>
          <w:tcPr>
            <w:tcW w:w="5600" w:type="dxa"/>
            <w:vAlign w:val="bottom"/>
          </w:tcPr>
          <w:p>
            <w:pPr>
              <w:ind w:left="100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224,777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224,750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607,066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519,960</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189,456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193,432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522,170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447,087</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36,418</w:t>
            </w:r>
          </w:p>
        </w:tc>
      </w:tr>
      <w:tr>
        <w:trPr>
          <w:trHeight w:val="23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36,455</w:t>
            </w:r>
          </w:p>
        </w:tc>
      </w:tr>
      <w:tr>
        <w:trPr>
          <w:trHeight w:val="248"/>
        </w:trPr>
        <w:tc>
          <w:tcPr>
            <w:tcW w:w="56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519,960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February 26, 2021, the Company acquired the business and certain assets of Year &amp; Day, a designer and distributor of ceramic dinnerware, stainless steel flatware and Italian glassware for $0.2 million. The assets and operating results of the Year &amp; Day brand are reflected in the Company’s condensed consolidated financial statements in accordance with ASC Topic No. 805, Business Combinations, commencing from the acquisition date. The purchase price was allocated based on the Company’s preliminary estimate of the fair values of the assets acquired which consisted of inventory of $0.3 million and liabilities assumed of $0.1 million. The Year &amp; Day acquisition did not have a material impact on the Company's consolidated statement of operations for the three and nine months ended September 30,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operating leases for corporate offices, distribution facilities, a manufacturing plant, and certain vehicles.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and nine months ended September 30, 2021 and 2020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4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r>
      <w:tr>
        <w:trPr>
          <w:trHeight w:val="211"/>
        </w:trPr>
        <w:tc>
          <w:tcPr>
            <w:tcW w:w="562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color w:val="auto"/>
              </w:rPr>
              <w:t>Operating lease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Fixed lease expense</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4,471</w:t>
            </w:r>
          </w:p>
        </w:tc>
        <w:tc>
          <w:tcPr>
            <w:tcW w:w="100" w:type="dxa"/>
            <w:vAlign w:val="bottom"/>
          </w:tcPr>
          <w:p>
            <w:pPr>
              <w:spacing w:after="0"/>
              <w:rPr>
                <w:sz w:val="19"/>
                <w:szCs w:val="19"/>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4,450</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13,467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13,755</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5,388</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5,427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16,652</w:t>
            </w:r>
          </w:p>
        </w:tc>
      </w:tr>
      <w:tr>
        <w:trPr>
          <w:trHeight w:val="20"/>
        </w:trPr>
        <w:tc>
          <w:tcPr>
            <w:tcW w:w="5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Expenses are recorded within distribution expenses and selling, general and administrative expenses on the unaudited condensed consolidated statement of operations.</w:t>
      </w:r>
    </w:p>
    <w:p>
      <w:pPr>
        <w:spacing w:after="0" w:line="200" w:lineRule="exact"/>
        <w:rPr>
          <w:rFonts w:ascii="Arial" w:cs="Arial" w:eastAsia="Arial" w:hAnsi="Arial"/>
          <w:sz w:val="9"/>
          <w:szCs w:val="9"/>
          <w:color w:val="auto"/>
        </w:rPr>
      </w:pPr>
    </w:p>
    <w:p>
      <w:pPr>
        <w:spacing w:after="0" w:line="399" w:lineRule="exact"/>
        <w:rPr>
          <w:rFonts w:ascii="Arial" w:cs="Arial" w:eastAsia="Arial" w:hAnsi="Arial"/>
          <w:sz w:val="9"/>
          <w:szCs w:val="9"/>
          <w:color w:val="auto"/>
        </w:rPr>
      </w:pPr>
    </w:p>
    <w:p>
      <w:pPr>
        <w:ind w:left="5540" w:hanging="111"/>
        <w:spacing w:after="0"/>
        <w:tabs>
          <w:tab w:leader="none" w:pos="5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Supplemental cash flow information for lease related liabilities and assets for the nine months ended September 30, 2021 and 2020 were as follows (in thousands):</w:t>
      </w:r>
    </w:p>
    <w:p>
      <w:pPr>
        <w:jc w:val="center"/>
        <w:ind w:left="8360"/>
        <w:spacing w:after="0" w:line="225" w:lineRule="auto"/>
        <w:rPr>
          <w:sz w:val="20"/>
          <w:szCs w:val="20"/>
          <w:color w:val="auto"/>
        </w:rPr>
      </w:pPr>
      <w:r>
        <w:rPr>
          <w:rFonts w:ascii="Arial" w:cs="Arial" w:eastAsia="Arial" w:hAnsi="Arial"/>
          <w:sz w:val="14"/>
          <w:szCs w:val="14"/>
          <w:b w:val="1"/>
          <w:bCs w:val="1"/>
          <w:color w:val="auto"/>
        </w:rPr>
        <w:t>Nine Months Ended</w:t>
      </w: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10,839</w:t>
            </w:r>
          </w:p>
        </w:tc>
      </w:tr>
      <w:tr>
        <w:trPr>
          <w:trHeight w:val="472"/>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8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84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2"/>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three and nine months ended September 30, 2020, in response to the COVID-19 pandemic, the Company negotiated COVID-19 related rent concessions for several of its leased properties. The majority of these rent concessions were in the form of deferred rent payments for one or more months. The Company applied the guidance issued in the FASB Staff Q&amp;A - Topic 842 and Topic 840: Accounting For Lease Concessions Related to the Effects of the COVID-19 Pandemic, and elected to account for these rent concessions as if no changes to the lease were made and continued to recognize the straight-line lease expense. The COVID-19 related deferred rent payments as of September 30, 2020, totaled $1.4 million and were deferred to the fourth quarter of fiscal year 2020 and into fiscal year 2021. As of September 30, 2021, all deferred payments have been paid.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gridSpan w:val="2"/>
          </w:tcPr>
          <w:p>
            <w:pPr>
              <w:spacing w:after="0"/>
              <w:rPr>
                <w:sz w:val="20"/>
                <w:szCs w:val="20"/>
                <w:color w:val="auto"/>
              </w:rPr>
            </w:pPr>
            <w:r>
              <w:rPr>
                <w:rFonts w:ascii="Arial" w:cs="Arial" w:eastAsia="Arial" w:hAnsi="Arial"/>
                <w:sz w:val="18"/>
                <w:szCs w:val="18"/>
                <w:color w:val="auto"/>
              </w:rPr>
              <w:t>The aggregate future lease payments for operating leases as of September 30, 2021 were as follows (in thousands):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96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23"/>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(excluding the nine months ended September 30, 2021)</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18,522</w:t>
            </w:r>
          </w:p>
        </w:tc>
        <w:tc>
          <w:tcPr>
            <w:tcW w:w="0" w:type="dxa"/>
            <w:vAlign w:val="bottom"/>
          </w:tcPr>
          <w:p>
            <w:pPr>
              <w:spacing w:after="0"/>
              <w:rPr>
                <w:sz w:val="1"/>
                <w:szCs w:val="1"/>
                <w:color w:val="auto"/>
              </w:rPr>
            </w:pP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18,540</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18,122</w:t>
            </w:r>
          </w:p>
        </w:tc>
        <w:tc>
          <w:tcPr>
            <w:tcW w:w="0" w:type="dxa"/>
            <w:vAlign w:val="bottom"/>
          </w:tcPr>
          <w:p>
            <w:pPr>
              <w:spacing w:after="0"/>
              <w:rPr>
                <w:sz w:val="1"/>
                <w:szCs w:val="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18,023</w:t>
            </w:r>
          </w:p>
        </w:tc>
        <w:tc>
          <w:tcPr>
            <w:tcW w:w="0" w:type="dxa"/>
            <w:vAlign w:val="bottom"/>
          </w:tcPr>
          <w:p>
            <w:pPr>
              <w:spacing w:after="0"/>
              <w:rPr>
                <w:sz w:val="1"/>
                <w:szCs w:val="1"/>
                <w:color w:val="auto"/>
              </w:rPr>
            </w:pP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17,450</w:t>
            </w: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38,522</w:t>
            </w:r>
          </w:p>
        </w:tc>
        <w:tc>
          <w:tcPr>
            <w:tcW w:w="0" w:type="dxa"/>
            <w:vAlign w:val="bottom"/>
          </w:tcPr>
          <w:p>
            <w:pPr>
              <w:spacing w:after="0"/>
              <w:rPr>
                <w:sz w:val="1"/>
                <w:szCs w:val="1"/>
                <w:color w:val="auto"/>
              </w:rPr>
            </w:pP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133,802</w:t>
            </w: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(27,427)</w:t>
            </w:r>
          </w:p>
        </w:tc>
        <w:tc>
          <w:tcPr>
            <w:tcW w:w="0" w:type="dxa"/>
            <w:vAlign w:val="bottom"/>
          </w:tcPr>
          <w:p>
            <w:pPr>
              <w:spacing w:after="0"/>
              <w:rPr>
                <w:sz w:val="1"/>
                <w:szCs w:val="1"/>
                <w:color w:val="auto"/>
              </w:rPr>
            </w:pPr>
          </w:p>
        </w:tc>
      </w:tr>
      <w:tr>
        <w:trPr>
          <w:trHeight w:val="22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Present value of lease payments</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106,375</w:t>
            </w: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9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15"/>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of September 30, 2021, the Company owned approximately 25%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nine months ended September 30, 2021 and 2020 in the accompanying unaudited condensed consolidated statements of operations.</w:t>
      </w:r>
    </w:p>
    <w:p>
      <w:pPr>
        <w:spacing w:after="0" w:line="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June 30, 2021, Vasconia sold shares, which diluted the Company’s investment ownership from approximately 30% to approximately 27%.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(losses), net of taxes, in the accompanying unaudited condensed consolidated statements of operations for the nine months ended September 30, 2021.</w:t>
      </w:r>
    </w:p>
    <w:p>
      <w:pPr>
        <w:spacing w:after="0" w:line="8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July 29, 2021, the Company sold 2.2 million shares further reducing its ownership from approximately 27% to approximately 25% in Vasconia for net cash proceeds of approximately $3.1 million, as a result the Company recorded a gain of $1.0 million, after decreasing the Company’s investment balance. The gain on the sale resulted in a tax expense of $0.1 million. Additionally, a loss of $1.4 million was recognized for the proportionate share of the reduced ownership for amounts previously recognized in accumulated other comprehensive loss. The net loss, including taxes, of $0.5 million was included in equity in earnings (losses), net of taxes, in the accompanying unaudited condensed consolidated statements of operations for the three and nine months ended September 30, 2021. The Company continues to apply the equity method of accounting.</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20.54 and MXN 19.88 at September 30, 2021 and December 31,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proportionate share of Vasconia’s net income has been translated from MXN to USD using the following exchange rates: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60" w:type="dxa"/>
            <w:vAlign w:val="bottom"/>
            <w:gridSpan w:val="4"/>
          </w:tcPr>
          <w:p>
            <w:pPr>
              <w:jc w:val="center"/>
              <w:ind w:left="368"/>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2640" w:type="dxa"/>
            <w:vAlign w:val="bottom"/>
            <w:gridSpan w:val="3"/>
          </w:tcPr>
          <w:p>
            <w:pPr>
              <w:jc w:val="center"/>
              <w:ind w:right="39"/>
              <w:spacing w:after="0"/>
              <w:rPr>
                <w:sz w:val="20"/>
                <w:szCs w:val="20"/>
                <w:color w:val="auto"/>
              </w:rPr>
            </w:pPr>
            <w:r>
              <w:rPr>
                <w:rFonts w:ascii="Arial" w:cs="Arial" w:eastAsia="Arial" w:hAnsi="Arial"/>
                <w:sz w:val="14"/>
                <w:szCs w:val="14"/>
                <w:b w:val="1"/>
                <w:bCs w:val="1"/>
                <w:color w:val="auto"/>
                <w:w w:val="94"/>
              </w:rPr>
              <w:t>Nine Months Ended</w:t>
            </w:r>
          </w:p>
        </w:tc>
      </w:tr>
      <w:tr>
        <w:trPr>
          <w:trHeight w:val="188"/>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1"/>
              </w:rPr>
              <w:t>September 30,</w:t>
            </w:r>
          </w:p>
        </w:tc>
      </w:tr>
      <w:tr>
        <w:trPr>
          <w:trHeight w:val="183"/>
        </w:trPr>
        <w:tc>
          <w:tcPr>
            <w:tcW w:w="56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373"/>
        </w:trPr>
        <w:tc>
          <w:tcPr>
            <w:tcW w:w="6460" w:type="dxa"/>
            <w:vAlign w:val="bottom"/>
            <w:gridSpan w:val="2"/>
            <w:shd w:val="clear" w:color="auto" w:fill="CCEEFF"/>
          </w:tcPr>
          <w:p>
            <w:pPr>
              <w:jc w:val="right"/>
              <w:ind w:right="3548"/>
              <w:spacing w:after="0"/>
              <w:rPr>
                <w:sz w:val="20"/>
                <w:szCs w:val="20"/>
                <w:color w:val="auto"/>
              </w:rPr>
            </w:pPr>
            <w:r>
              <w:rPr>
                <w:rFonts w:ascii="Arial" w:cs="Arial" w:eastAsia="Arial" w:hAnsi="Arial"/>
                <w:sz w:val="18"/>
                <w:szCs w:val="18"/>
                <w:color w:val="auto"/>
                <w:w w:val="92"/>
              </w:rPr>
              <w:t>Average exchange rate (USD to MXN)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3"/>
              </w:rPr>
              <w:t>22.06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20.01 - 20.33</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19.91 - 23.31</w:t>
            </w:r>
          </w:p>
        </w:tc>
      </w:tr>
    </w:tbl>
    <w:p>
      <w:pPr>
        <w:spacing w:after="0" w:line="2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an increase to the investment of $1.3 million and a decrease of $3.4 million during the nine months ended September 30, 2021 and 2020, respectively. These translation effects are recorded in accumulated other comprehensive loss.</w:t>
      </w:r>
    </w:p>
    <w:p>
      <w:pPr>
        <w:spacing w:after="0" w:line="76" w:lineRule="exact"/>
        <w:rPr>
          <w:sz w:val="20"/>
          <w:szCs w:val="20"/>
          <w:color w:val="auto"/>
        </w:rPr>
      </w:pPr>
    </w:p>
    <w:p>
      <w:pPr>
        <w:jc w:val="both"/>
        <w:ind w:right="40"/>
        <w:spacing w:after="0" w:line="269" w:lineRule="auto"/>
        <w:rPr>
          <w:sz w:val="20"/>
          <w:szCs w:val="20"/>
          <w:color w:val="auto"/>
        </w:rPr>
      </w:pPr>
      <w:r>
        <w:rPr>
          <w:rFonts w:ascii="Arial" w:cs="Arial" w:eastAsia="Arial" w:hAnsi="Arial"/>
          <w:sz w:val="18"/>
          <w:szCs w:val="18"/>
          <w:color w:val="auto"/>
        </w:rPr>
        <w:t>Summarized income statement information for the three and nine months ended September 30, 2021 and 2020 for Vasconia in USD and MXN is as follows (in thousands):</w:t>
      </w:r>
    </w:p>
    <w:p>
      <w:pPr>
        <w:jc w:val="center"/>
        <w:ind w:left="514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51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tcPr>
          <w:p>
            <w:pPr>
              <w:spacing w:after="0"/>
              <w:rPr>
                <w:sz w:val="16"/>
                <w:szCs w:val="16"/>
                <w:color w:val="auto"/>
              </w:rPr>
            </w:pPr>
          </w:p>
        </w:tc>
        <w:tc>
          <w:tcPr>
            <w:tcW w:w="8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5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USD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20" w:type="dxa"/>
            <w:vAlign w:val="bottom"/>
          </w:tcPr>
          <w:p>
            <w:pPr>
              <w:spacing w:after="0"/>
              <w:rPr>
                <w:sz w:val="15"/>
                <w:szCs w:val="15"/>
                <w:color w:val="auto"/>
              </w:rPr>
            </w:pPr>
          </w:p>
        </w:tc>
      </w:tr>
      <w:tr>
        <w:trPr>
          <w:trHeight w:val="22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61,783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1,236,289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872,647</w:t>
            </w:r>
          </w:p>
        </w:tc>
        <w:tc>
          <w:tcPr>
            <w:tcW w:w="20" w:type="dxa"/>
            <w:vAlign w:val="bottom"/>
          </w:tcPr>
          <w:p>
            <w:pPr>
              <w:spacing w:after="0"/>
              <w:rPr>
                <w:sz w:val="19"/>
                <w:szCs w:val="19"/>
                <w:color w:val="auto"/>
              </w:rPr>
            </w:pP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12,958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259,285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210,770</w:t>
            </w:r>
          </w:p>
        </w:tc>
        <w:tc>
          <w:tcPr>
            <w:tcW w:w="20" w:type="dxa"/>
            <w:vAlign w:val="bottom"/>
          </w:tcPr>
          <w:p>
            <w:pPr>
              <w:spacing w:after="0"/>
              <w:rPr>
                <w:sz w:val="19"/>
                <w:szCs w:val="19"/>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65,229</w:t>
            </w:r>
          </w:p>
        </w:tc>
        <w:tc>
          <w:tcPr>
            <w:tcW w:w="20" w:type="dxa"/>
            <w:vAlign w:val="bottom"/>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11,812</w:t>
            </w:r>
          </w:p>
        </w:tc>
        <w:tc>
          <w:tcPr>
            <w:tcW w:w="20" w:type="dxa"/>
            <w:vAlign w:val="bottom"/>
          </w:tcPr>
          <w:p>
            <w:pPr>
              <w:spacing w:after="0"/>
              <w:rPr>
                <w:sz w:val="20"/>
                <w:szCs w:val="20"/>
                <w:color w:val="auto"/>
              </w:rPr>
            </w:pPr>
          </w:p>
        </w:tc>
      </w:tr>
      <w:tr>
        <w:trPr>
          <w:trHeight w:val="890"/>
        </w:trPr>
        <w:tc>
          <w:tcPr>
            <w:tcW w:w="5180" w:type="dxa"/>
            <w:vAlign w:val="bottom"/>
          </w:tcPr>
          <w:p>
            <w:pPr>
              <w:spacing w:after="0"/>
              <w:rPr>
                <w:sz w:val="24"/>
                <w:szCs w:val="24"/>
                <w:color w:val="auto"/>
              </w:rPr>
            </w:pPr>
          </w:p>
        </w:tc>
        <w:tc>
          <w:tcPr>
            <w:tcW w:w="860" w:type="dxa"/>
            <w:vAlign w:val="bottom"/>
          </w:tcPr>
          <w:p>
            <w:pPr>
              <w:jc w:val="right"/>
              <w:ind w:right="136"/>
              <w:spacing w:after="0"/>
              <w:rPr>
                <w:sz w:val="20"/>
                <w:szCs w:val="20"/>
                <w:color w:val="auto"/>
              </w:rPr>
            </w:pPr>
            <w:r>
              <w:rPr>
                <w:rFonts w:ascii="Arial" w:cs="Arial" w:eastAsia="Arial" w:hAnsi="Arial"/>
                <w:sz w:val="18"/>
                <w:szCs w:val="18"/>
                <w:color w:val="auto"/>
              </w:rPr>
              <w:t>- 15 -</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71" w:lineRule="exact"/>
        <w:rPr>
          <w:sz w:val="20"/>
          <w:szCs w:val="20"/>
          <w:color w:val="auto"/>
        </w:rPr>
      </w:pPr>
    </w:p>
    <w:p>
      <w:pPr>
        <w:jc w:val="center"/>
        <w:ind w:left="5160"/>
        <w:spacing w:after="0"/>
        <w:rPr>
          <w:sz w:val="20"/>
          <w:szCs w:val="20"/>
          <w:color w:val="auto"/>
        </w:rPr>
      </w:pPr>
      <w:r>
        <w:rPr>
          <w:rFonts w:ascii="Arial" w:cs="Arial" w:eastAsia="Arial" w:hAnsi="Arial"/>
          <w:sz w:val="14"/>
          <w:szCs w:val="14"/>
          <w:b w:val="1"/>
          <w:bCs w:val="1"/>
          <w:color w:val="auto"/>
        </w:rPr>
        <w:t>Nine Months Ended</w:t>
      </w:r>
    </w:p>
    <w:p>
      <w:pPr>
        <w:jc w:val="center"/>
        <w:ind w:left="51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top w:val="single" w:sz="8" w:color="auto"/>
              <w:bottom w:val="single" w:sz="8" w:color="auto"/>
            </w:tcBorders>
          </w:tcPr>
          <w:p>
            <w:pPr>
              <w:spacing w:after="0"/>
              <w:rPr>
                <w:sz w:val="16"/>
                <w:szCs w:val="16"/>
                <w:color w:val="auto"/>
              </w:rPr>
            </w:pPr>
          </w:p>
        </w:tc>
      </w:tr>
      <w:tr>
        <w:trPr>
          <w:trHeight w:val="181"/>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color w:val="auto"/>
              </w:rPr>
              <w:t>MXN</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40" w:type="dxa"/>
            <w:vAlign w:val="bottom"/>
          </w:tcPr>
          <w:p>
            <w:pPr>
              <w:spacing w:after="0"/>
              <w:rPr>
                <w:sz w:val="15"/>
                <w:szCs w:val="15"/>
                <w:color w:val="auto"/>
              </w:rPr>
            </w:pPr>
          </w:p>
        </w:tc>
        <w:tc>
          <w:tcPr>
            <w:tcW w:w="1100" w:type="dxa"/>
            <w:vAlign w:val="bottom"/>
          </w:tcPr>
          <w:p>
            <w:pPr>
              <w:jc w:val="right"/>
              <w:ind w:right="454"/>
              <w:spacing w:after="0"/>
              <w:rPr>
                <w:sz w:val="20"/>
                <w:szCs w:val="20"/>
                <w:color w:val="auto"/>
              </w:rPr>
            </w:pPr>
            <w:r>
              <w:rPr>
                <w:rFonts w:ascii="Arial" w:cs="Arial" w:eastAsia="Arial" w:hAnsi="Arial"/>
                <w:sz w:val="14"/>
                <w:szCs w:val="14"/>
                <w:color w:val="auto"/>
              </w:rPr>
              <w:t>MXN</w:t>
            </w:r>
          </w:p>
        </w:tc>
      </w:tr>
      <w:tr>
        <w:trPr>
          <w:trHeight w:val="226"/>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174,468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3,508,858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2,171,695</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40,837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821,125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459,731</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87,229</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(6,344)</w:t>
            </w:r>
          </w:p>
        </w:tc>
      </w:tr>
    </w:tbl>
    <w:p>
      <w:pPr>
        <w:spacing w:after="0" w:line="200" w:lineRule="exact"/>
        <w:rPr>
          <w:sz w:val="20"/>
          <w:szCs w:val="20"/>
          <w:color w:val="auto"/>
        </w:rPr>
      </w:pPr>
    </w:p>
    <w:p>
      <w:pPr>
        <w:spacing w:after="0" w:line="25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recorded equity in earnings of Vasconia, net of taxes, of $0.7 million and $1.2 million for the three and nine months ended September 30, 2021, respectively. The Company recorded equity in earnings (losses) of Vasconia, net of taxes, of $0.1 million and $(0.2) million for the three and nine months ended September 30,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the Company's unaudited condensed consolidated balance sheets were the following amounts due to and due from Vasconia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5080" w:type="dxa"/>
            <w:vAlign w:val="bottom"/>
            <w:gridSpan w:val="2"/>
          </w:tcPr>
          <w:p>
            <w:pPr>
              <w:jc w:val="center"/>
              <w:ind w:left="664"/>
              <w:spacing w:after="0"/>
              <w:rPr>
                <w:sz w:val="20"/>
                <w:szCs w:val="20"/>
                <w:color w:val="auto"/>
              </w:rPr>
            </w:pPr>
            <w:r>
              <w:rPr>
                <w:rFonts w:ascii="Arial" w:cs="Arial" w:eastAsia="Arial" w:hAnsi="Arial"/>
                <w:sz w:val="14"/>
                <w:szCs w:val="14"/>
                <w:b w:val="1"/>
                <w:bCs w:val="1"/>
                <w:color w:val="auto"/>
                <w:w w:val="89"/>
              </w:rPr>
              <w:t>Balance Sheet</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September 30, 2021</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8"/>
        </w:trPr>
        <w:tc>
          <w:tcPr>
            <w:tcW w:w="326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tcPr>
          <w:p>
            <w:pPr>
              <w:jc w:val="center"/>
              <w:ind w:left="784"/>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50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Prepaid expenses and other current assets</w:t>
            </w: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5080" w:type="dxa"/>
            <w:vAlign w:val="bottom"/>
            <w:gridSpan w:val="2"/>
          </w:tcPr>
          <w:p>
            <w:pPr>
              <w:ind w:left="860"/>
              <w:spacing w:after="0"/>
              <w:rPr>
                <w:sz w:val="20"/>
                <w:szCs w:val="20"/>
                <w:color w:val="auto"/>
              </w:rPr>
            </w:pPr>
            <w:r>
              <w:rPr>
                <w:rFonts w:ascii="Arial" w:cs="Arial" w:eastAsia="Arial" w:hAnsi="Arial"/>
                <w:sz w:val="16"/>
                <w:szCs w:val="16"/>
                <w:color w:val="auto"/>
              </w:rPr>
              <w:t>Accrued expenses and Accounts payable</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of September 30, 2021 and December 31, 2020, the fair value (based on Level 1 inputs using the quoted stock price) of the Company’s investment in Vasconia was $33.7 million and $32.8 million, respectively. The carrying value of the Company’s investment in Vasconia was $22.1 million and $20.0 million as of September 30, 2021 and December 31, 2020, respectively.</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Lifetime Brands Do Brasil Participacoes Ltda., a 100% owned subsidiary of the Company, was dissolved on May 5, 2020. The subsidiary held a note receivable relating to the 2016 sale of its 40% equity interest in GS International S/A (“GSI”), a wholesale distributor of branded housewares products in Brazil, which was accounted for as an equity method investment. The final installment due on the note receivable was received prior to dissolution of the subsidiary. Foreign currency translation losses of $0.2 million, which were previously recorded as a component of stockholder’s equity within accumulated other comprehensive loss, were recognized in earnings upon dissolution of this subsidiary for the nine months ended September 30, 2020. The Company included this loss within equity in earnings (losses), net of taxes.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September 30, 2021 and December 31,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2020</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9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2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w w:val="97"/>
              </w:rPr>
              <w:t>Indefinite-lived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Licenses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0" w:type="dxa"/>
            <w:vAlign w:val="bottom"/>
          </w:tcPr>
          <w:p>
            <w:pPr>
              <w:spacing w:after="0"/>
              <w:rPr>
                <w:sz w:val="1"/>
                <w:szCs w:val="1"/>
                <w:color w:val="auto"/>
              </w:rPr>
            </w:pPr>
          </w:p>
        </w:tc>
      </w:tr>
      <w:tr>
        <w:trPr>
          <w:trHeight w:val="213"/>
        </w:trPr>
        <w:tc>
          <w:tcPr>
            <w:tcW w:w="2500" w:type="dxa"/>
            <w:vAlign w:val="bottom"/>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51,851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28,705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(20,874)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31,156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Customer relationships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123,793</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4,100</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331,436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231,014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352,231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(88,106)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244,025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first quarter of 2020, as a result of the economic downturn caused by the COVID-19 pandemic, the Company concluded that a triggering event had occurred and performed an interim impairment test of goodwill and certain intangible assets as of March 31, 2020, which resulted in an impairment charge of $20.1 million. The Company performed the first quarter 2020 interim impairment test of goodwill by comparing its fair value with its carrying value. The analysis was performed by using a discounted cash flow method and market multiple method. For goodwill, the outcome of the valuation is largely dependent upon estimates made by the Company with respect to significant assumptions, including projected net sales, projected earnings before interest, tax, depreciation and amortization (“EBITDA”), terminal growth rates, and the cost of capital under the discounted cash flow method. For the three and nine months ended September 30, 2021, there were no impairment triggering events identified.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 Agreements, when the Company makes an Excess Cash Flow payment, the payment is first applied to satisfy the future quarterly required payments in order of maturity. The quarterly principal payments have been satisfied through maturity of the Term Loan by the annual Excess Cash Flow payments.</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(27,302)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145,089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w:t>
            </w:r>
          </w:p>
        </w:tc>
      </w:tr>
      <w:tr>
        <w:trPr>
          <w:trHeight w:val="23"/>
        </w:trPr>
        <w:tc>
          <w:tcPr>
            <w:tcW w:w="7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79"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16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December 31, 2020</w:t>
            </w:r>
          </w:p>
        </w:tc>
      </w:tr>
      <w:tr>
        <w:trPr>
          <w:trHeight w:val="19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4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19,120</w:t>
            </w:r>
          </w:p>
        </w:tc>
      </w:tr>
      <w:tr>
        <w:trPr>
          <w:trHeight w:val="243"/>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39"/>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243,485</w:t>
            </w:r>
          </w:p>
        </w:tc>
      </w:tr>
      <w:tr>
        <w:trPr>
          <w:trHeight w:val="213"/>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(4,508)</w:t>
            </w: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238,729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238,977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estimated Excess Cash Flow principal payment recorded at September 30, 2021 represents the Company’s estimate for the 2022 Excess Cash Flow payment. The 2021 Excess Cash Flow payment, paid on March 30, 2021, totaled $10.5 million. The Excess Cash Flow payment differs from the estimated amount at December 31, 2020 of $19.1 million as certain lenders opted to not require payment per the terms of the Debt Agreements.</w:t>
      </w:r>
    </w:p>
    <w:p>
      <w:pPr>
        <w:spacing w:after="0" w:line="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6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respective margins are based upon the Company’s total leverage ratio, as defined in and computed pursuant to the ABL Agreement. The interest rate on outstanding borrowings under the ABL Agreement at September 30, 2021 was 3.5%. In addition, the Company pays a commitment fee of 0.375% on the unused portion of the ABL Agreement.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 (ii) LIBOR, but not less than 1.0%, plus a margin of 3.5%. The interest rate on outstanding borrowings under the Term Loan at September 30, 2021 was 4.5%.</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September 30, 2021.</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$75.0 million at September 30, 2021.</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$50.0 million at September 30, 2021.</w:t>
      </w:r>
    </w:p>
    <w:p>
      <w:pPr>
        <w:spacing w:after="0" w:line="4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September 30, 2021.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aggregate gross notional values of foreign exchange contracts at September 30, 2021 was $31.3 million. These foreign exchange contracts have been designated as hedges in order to apply hedge accounting.</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September 30, 2021, the Company did not have any foreign currency forward contract derivatives that are not designated as hedges.</w:t>
      </w:r>
    </w:p>
    <w:p>
      <w:pPr>
        <w:spacing w:after="0" w:line="41" w:lineRule="exact"/>
        <w:rPr>
          <w:sz w:val="20"/>
          <w:szCs w:val="20"/>
          <w:color w:val="auto"/>
        </w:rPr>
      </w:pPr>
    </w:p>
    <w:p>
      <w:pPr>
        <w:ind w:right="500"/>
        <w:spacing w:after="0" w:line="274"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tbl>
      <w:tblPr>
        <w:tblLayout w:type="fixed"/>
        <w:tblInd w:w="0" w:type="dxa"/>
        <w:tblCellMar>
          <w:top w:w="0" w:type="dxa"/>
          <w:left w:w="0" w:type="dxa"/>
          <w:bottom w:w="0" w:type="dxa"/>
          <w:right w:w="0" w:type="dxa"/>
        </w:tblCellMar>
      </w:tblPr>
      <w:tr>
        <w:trPr>
          <w:trHeight w:val="163"/>
        </w:trPr>
        <w:tc>
          <w:tcPr>
            <w:tcW w:w="3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4560" w:type="dxa"/>
            <w:vAlign w:val="bottom"/>
            <w:gridSpan w:val="2"/>
          </w:tcPr>
          <w:p>
            <w:pPr>
              <w:ind w:left="1960"/>
              <w:spacing w:after="0" w:line="163" w:lineRule="exact"/>
              <w:rPr>
                <w:sz w:val="20"/>
                <w:szCs w:val="20"/>
                <w:color w:val="auto"/>
              </w:rPr>
            </w:pPr>
            <w:r>
              <w:rPr>
                <w:rFonts w:ascii="Arial" w:cs="Arial" w:eastAsia="Arial" w:hAnsi="Arial"/>
                <w:sz w:val="16"/>
                <w:szCs w:val="16"/>
                <w:b w:val="1"/>
                <w:bCs w:val="1"/>
                <w:color w:val="auto"/>
              </w:rPr>
              <w:t>Balance Sheet</w:t>
            </w:r>
          </w:p>
        </w:tc>
        <w:tc>
          <w:tcPr>
            <w:tcW w:w="1540" w:type="dxa"/>
            <w:vAlign w:val="bottom"/>
            <w:gridSpan w:val="2"/>
          </w:tcPr>
          <w:p>
            <w:pPr>
              <w:ind w:left="220"/>
              <w:spacing w:after="0" w:line="163" w:lineRule="exact"/>
              <w:rPr>
                <w:sz w:val="20"/>
                <w:szCs w:val="20"/>
                <w:color w:val="auto"/>
              </w:rPr>
            </w:pPr>
            <w:r>
              <w:rPr>
                <w:rFonts w:ascii="Arial" w:cs="Arial" w:eastAsia="Arial" w:hAnsi="Arial"/>
                <w:sz w:val="16"/>
                <w:szCs w:val="16"/>
                <w:b w:val="1"/>
                <w:bCs w:val="1"/>
                <w:color w:val="auto"/>
              </w:rPr>
              <w:t>September 30,</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3"/>
        </w:trPr>
        <w:tc>
          <w:tcPr>
            <w:tcW w:w="3680" w:type="dxa"/>
            <w:vAlign w:val="bottom"/>
            <w:tcBorders>
              <w:bottom w:val="single" w:sz="8" w:color="auto"/>
            </w:tcBorders>
            <w:vMerge w:val="continue"/>
          </w:tcPr>
          <w:p>
            <w:pPr>
              <w:spacing w:after="0"/>
              <w:rPr>
                <w:sz w:val="18"/>
                <w:szCs w:val="18"/>
                <w:color w:val="auto"/>
              </w:rPr>
            </w:pPr>
          </w:p>
        </w:tc>
        <w:tc>
          <w:tcPr>
            <w:tcW w:w="4460" w:type="dxa"/>
            <w:vAlign w:val="bottom"/>
            <w:tcBorders>
              <w:bottom w:val="single" w:sz="8" w:color="auto"/>
            </w:tcBorders>
          </w:tcPr>
          <w:p>
            <w:pPr>
              <w:ind w:left="2140"/>
              <w:spacing w:after="0"/>
              <w:rPr>
                <w:sz w:val="20"/>
                <w:szCs w:val="20"/>
                <w:color w:val="auto"/>
              </w:rPr>
            </w:pPr>
            <w:r>
              <w:rPr>
                <w:rFonts w:ascii="Arial" w:cs="Arial" w:eastAsia="Arial" w:hAnsi="Arial"/>
                <w:sz w:val="16"/>
                <w:szCs w:val="16"/>
                <w:b w:val="1"/>
                <w:bCs w:val="1"/>
                <w:color w:val="auto"/>
              </w:rPr>
              <w:t>Location</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5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Accrued expenses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3"/>
        </w:trPr>
        <w:tc>
          <w:tcPr>
            <w:tcW w:w="3680" w:type="dxa"/>
            <w:vAlign w:val="bottom"/>
          </w:tcPr>
          <w:p>
            <w:pPr>
              <w:spacing w:after="0"/>
              <w:rPr>
                <w:sz w:val="18"/>
                <w:szCs w:val="18"/>
                <w:color w:val="auto"/>
              </w:rPr>
            </w:pPr>
          </w:p>
        </w:tc>
        <w:tc>
          <w:tcPr>
            <w:tcW w:w="4560" w:type="dxa"/>
            <w:vAlign w:val="bottom"/>
            <w:gridSpan w:val="2"/>
          </w:tcPr>
          <w:p>
            <w:pPr>
              <w:ind w:left="440"/>
              <w:spacing w:after="0"/>
              <w:rPr>
                <w:sz w:val="20"/>
                <w:szCs w:val="20"/>
                <w:color w:val="auto"/>
              </w:rPr>
            </w:pPr>
            <w:r>
              <w:rPr>
                <w:rFonts w:ascii="Arial" w:cs="Arial" w:eastAsia="Arial" w:hAnsi="Arial"/>
                <w:sz w:val="16"/>
                <w:szCs w:val="16"/>
                <w:color w:val="auto"/>
              </w:rPr>
              <w:t>Other Long-Term Liabilities</w:t>
            </w:r>
          </w:p>
        </w:tc>
        <w:tc>
          <w:tcPr>
            <w:tcW w:w="144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19"/>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45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4560" w:type="dxa"/>
            <w:vAlign w:val="bottom"/>
            <w:gridSpan w:val="2"/>
          </w:tcPr>
          <w:p>
            <w:pPr>
              <w:ind w:left="440"/>
              <w:spacing w:after="0"/>
              <w:rPr>
                <w:sz w:val="20"/>
                <w:szCs w:val="20"/>
                <w:color w:val="auto"/>
              </w:rPr>
            </w:pPr>
            <w:r>
              <w:rPr>
                <w:rFonts w:ascii="Arial" w:cs="Arial" w:eastAsia="Arial" w:hAnsi="Arial"/>
                <w:sz w:val="16"/>
                <w:szCs w:val="16"/>
                <w:color w:val="auto"/>
              </w:rPr>
              <w:t>Other Assets</w:t>
            </w:r>
          </w:p>
        </w:tc>
        <w:tc>
          <w:tcPr>
            <w:tcW w:w="14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6"/>
              </w:rPr>
              <w:t>Derivatives not designated as hedging instruments</w:t>
            </w:r>
          </w:p>
        </w:tc>
        <w:tc>
          <w:tcPr>
            <w:tcW w:w="4440" w:type="dxa"/>
            <w:vAlign w:val="bottom"/>
            <w:gridSpan w:val="2"/>
          </w:tcPr>
          <w:p>
            <w:pPr>
              <w:jc w:val="center"/>
              <w:ind w:left="119"/>
              <w:spacing w:after="0"/>
              <w:rPr>
                <w:sz w:val="20"/>
                <w:szCs w:val="20"/>
                <w:color w:val="auto"/>
              </w:rPr>
            </w:pPr>
            <w:r>
              <w:rPr>
                <w:rFonts w:ascii="Arial" w:cs="Arial" w:eastAsia="Arial" w:hAnsi="Arial"/>
                <w:sz w:val="16"/>
                <w:szCs w:val="16"/>
                <w:b w:val="1"/>
                <w:bCs w:val="1"/>
                <w:color w:val="auto"/>
                <w:w w:val="87"/>
              </w:rPr>
              <w:t>Balance Sheet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December 31, 2020</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vMerge w:val="continue"/>
          </w:tcPr>
          <w:p>
            <w:pPr>
              <w:spacing w:after="0"/>
              <w:rPr>
                <w:sz w:val="18"/>
                <w:szCs w:val="18"/>
                <w:color w:val="auto"/>
              </w:rPr>
            </w:pPr>
          </w:p>
        </w:tc>
        <w:tc>
          <w:tcPr>
            <w:tcW w:w="434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89"/>
              </w:rPr>
              <w:t>Location</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Other Long-Term Liabilities</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As of September 30, 2021, the Company did not anticipate non-performance by any of its counterparties.</w:t>
      </w:r>
    </w:p>
    <w:p>
      <w:pPr>
        <w:spacing w:after="0" w:line="68"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The amounts of gains and losses, realized and unrealized, related to the Company’s derivative financial instruments designated as hedging instruments are recognized in other comprehensive income (loss), net of taxes, as follows (in thousands):</w:t>
      </w:r>
    </w:p>
    <w:tbl>
      <w:tblPr>
        <w:tblLayout w:type="fixed"/>
        <w:tblInd w:w="0" w:type="dxa"/>
        <w:tblCellMar>
          <w:top w:w="0" w:type="dxa"/>
          <w:left w:w="0" w:type="dxa"/>
          <w:bottom w:w="0" w:type="dxa"/>
          <w:right w:w="0" w:type="dxa"/>
        </w:tblCellMar>
      </w:tblPr>
      <w:tr>
        <w:trPr>
          <w:trHeight w:val="163"/>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3"/>
          </w:tcPr>
          <w:p>
            <w:pPr>
              <w:jc w:val="right"/>
              <w:ind w:right="139"/>
              <w:spacing w:after="0" w:line="163" w:lineRule="exact"/>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4"/>
          </w:tcPr>
          <w:p>
            <w:pPr>
              <w:jc w:val="right"/>
              <w:ind w:right="99"/>
              <w:spacing w:after="0" w:line="163" w:lineRule="exact"/>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4"/>
                <w:szCs w:val="14"/>
                <w:color w:val="auto"/>
              </w:rPr>
            </w:pPr>
          </w:p>
        </w:tc>
      </w:tr>
      <w:tr>
        <w:trPr>
          <w:trHeight w:val="213"/>
        </w:trPr>
        <w:tc>
          <w:tcPr>
            <w:tcW w:w="56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w w:val="91"/>
              </w:rPr>
              <w:t>September 30,</w:t>
            </w:r>
          </w:p>
        </w:tc>
        <w:tc>
          <w:tcPr>
            <w:tcW w:w="500" w:type="dxa"/>
            <w:vAlign w:val="bottom"/>
            <w:tcBorders>
              <w:bottom w:val="single" w:sz="8" w:color="auto"/>
            </w:tcBorders>
          </w:tcPr>
          <w:p>
            <w:pPr>
              <w:spacing w:after="0"/>
              <w:rPr>
                <w:sz w:val="18"/>
                <w:szCs w:val="18"/>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Borders>
              <w:bottom w:val="single" w:sz="8" w:color="auto"/>
            </w:tcBorders>
            <w:shd w:val="clear" w:color="auto" w:fill="CCEEFF"/>
          </w:tcPr>
          <w:p>
            <w:pPr>
              <w:spacing w:after="0"/>
              <w:rPr>
                <w:sz w:val="18"/>
                <w:szCs w:val="18"/>
                <w:color w:val="auto"/>
              </w:rPr>
            </w:pPr>
          </w:p>
        </w:tc>
      </w:tr>
      <w:tr>
        <w:trPr>
          <w:trHeight w:val="207"/>
        </w:trPr>
        <w:tc>
          <w:tcPr>
            <w:tcW w:w="562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7"/>
                <w:szCs w:val="17"/>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(2,669)</w:t>
            </w: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09"/>
        </w:trPr>
        <w:tc>
          <w:tcPr>
            <w:tcW w:w="56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1,055</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(2,560)</w:t>
            </w:r>
          </w:p>
        </w:tc>
      </w:tr>
      <w:tr>
        <w:trPr>
          <w:trHeight w:val="24"/>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Realized gains and losses on the interest rate swaps are reclassified into earnings as the interest expense on the debt is recognized. The Company had no terminated or matured interest rate swaps during the three and nine months ended September 30, 2021.</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Realized gains and losses on foreign exchange contracts that are reported in other comprehensive income (loss) are reclassified into cost of sales as the underlying inventory purchased is sold.</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three months ended September 30, 2021, the Company reclassified $0.5 million of cash flow hedges in other comprehensive losses to earnings. This was comprised of $0.2 million related to realized interest rate swap losses and a loss of $0.3 million related to foreign exchange contracts recognized in cost of sales. During the nine months ended September 30, 2021, the Company reclassified $1.3 million of cash flow hedges in other comprehensive losses to earnings. This was comprised of $0.7 million related to realized interest rate swap losses and a loss of $0.6 million related to foreign exchange contracts recognized in cost of sales. At September 30, 2021, the estimated amount of existing losses expected to be reclassified into earnings within the next 12 months was $0.6 million.</w:t>
      </w:r>
    </w:p>
    <w:p>
      <w:pPr>
        <w:spacing w:after="0" w:line="8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During the three months ended September 30, 2020, the Company reclassified $0.3 million of cash flow hedges in other comprehensive losses to earnings related to realized interest rate swap losses. During the nine months ended September 30, 2020, the Company reclassified $0.7 million of cash flow hedges in other comprehensive losses to earnings. This was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comprised of $0.9 million related to realized interest rate swap losses and a gain of $0.2 million related to foreign exchange contracts recognized in cost of sales.</w:t>
      </w:r>
    </w:p>
    <w:p>
      <w:pPr>
        <w:spacing w:after="0" w:line="62" w:lineRule="exact"/>
        <w:rPr>
          <w:sz w:val="20"/>
          <w:szCs w:val="20"/>
          <w:color w:val="auto"/>
        </w:rPr>
      </w:pPr>
    </w:p>
    <w:p>
      <w:pPr>
        <w:ind w:right="500"/>
        <w:spacing w:after="0" w:line="274" w:lineRule="auto"/>
        <w:rPr>
          <w:sz w:val="20"/>
          <w:szCs w:val="20"/>
          <w:color w:val="auto"/>
        </w:rPr>
      </w:pPr>
      <w:r>
        <w:rPr>
          <w:rFonts w:ascii="Arial" w:cs="Arial" w:eastAsia="Arial" w:hAnsi="Arial"/>
          <w:sz w:val="18"/>
          <w:szCs w:val="18"/>
          <w:color w:val="auto"/>
        </w:rPr>
        <w:t>Interest and mark to market gains (losses) related to the Company’s derivative financial instruments not designated as hedging instruments that were recognized in earnings are as follows (in thousands):</w:t>
      </w:r>
    </w:p>
    <w:p>
      <w:pPr>
        <w:sectPr>
          <w:pgSz w:w="11900" w:h="16838" w:orient="portrait"/>
          <w:cols w:equalWidth="0" w:num="1">
            <w:col w:w="11200"/>
          </w:cols>
          <w:pgMar w:left="320" w:top="121" w:right="379" w:bottom="1440" w:gutter="0" w:footer="0" w:header="0"/>
        </w:sect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w w:val="98"/>
              </w:rPr>
              <w:t>Derivatives not designated as hedging</w:t>
            </w:r>
          </w:p>
        </w:tc>
        <w:tc>
          <w:tcPr>
            <w:tcW w:w="3460" w:type="dxa"/>
            <w:vAlign w:val="bottom"/>
            <w:vMerge w:val="restart"/>
          </w:tcPr>
          <w:p>
            <w:pPr>
              <w:ind w:left="1100"/>
              <w:spacing w:after="0"/>
              <w:rPr>
                <w:sz w:val="20"/>
                <w:szCs w:val="20"/>
                <w:color w:val="auto"/>
              </w:rPr>
            </w:pPr>
            <w:r>
              <w:rPr>
                <w:rFonts w:ascii="Arial" w:cs="Arial" w:eastAsia="Arial" w:hAnsi="Arial"/>
                <w:sz w:val="16"/>
                <w:szCs w:val="16"/>
                <w:b w:val="1"/>
                <w:bCs w:val="1"/>
                <w:color w:val="auto"/>
              </w:rPr>
              <w:t>Location of gain (loss)</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instruments</w:t>
            </w:r>
          </w:p>
        </w:tc>
        <w:tc>
          <w:tcPr>
            <w:tcW w:w="34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vMerge w:val="restart"/>
          </w:tcPr>
          <w:p>
            <w:pPr>
              <w:ind w:left="20"/>
              <w:spacing w:after="0"/>
              <w:rPr>
                <w:sz w:val="20"/>
                <w:szCs w:val="20"/>
                <w:color w:val="auto"/>
              </w:rPr>
            </w:pPr>
            <w:r>
              <w:rPr>
                <w:rFonts w:ascii="Arial" w:cs="Arial" w:eastAsia="Arial" w:hAnsi="Arial"/>
                <w:sz w:val="16"/>
                <w:szCs w:val="16"/>
                <w:color w:val="auto"/>
              </w:rPr>
              <w:t>Interest rate swaps</w:t>
            </w:r>
          </w:p>
        </w:tc>
        <w:tc>
          <w:tcPr>
            <w:tcW w:w="3460" w:type="dxa"/>
            <w:vAlign w:val="bottom"/>
          </w:tcPr>
          <w:p>
            <w:pPr>
              <w:ind w:left="280"/>
              <w:spacing w:after="0" w:line="162" w:lineRule="exact"/>
              <w:rPr>
                <w:sz w:val="20"/>
                <w:szCs w:val="20"/>
                <w:color w:val="auto"/>
              </w:rPr>
            </w:pPr>
            <w:r>
              <w:rPr>
                <w:rFonts w:ascii="Arial" w:cs="Arial" w:eastAsia="Arial" w:hAnsi="Arial"/>
                <w:sz w:val="16"/>
                <w:szCs w:val="16"/>
                <w:color w:val="auto"/>
              </w:rPr>
              <w:t>Mark to market gain (loss) on interest rate</w:t>
            </w:r>
          </w:p>
        </w:tc>
        <w:tc>
          <w:tcPr>
            <w:tcW w:w="0" w:type="dxa"/>
            <w:vAlign w:val="bottom"/>
          </w:tcPr>
          <w:p>
            <w:pPr>
              <w:spacing w:after="0"/>
              <w:rPr>
                <w:sz w:val="1"/>
                <w:szCs w:val="1"/>
                <w:color w:val="auto"/>
              </w:rPr>
            </w:pPr>
          </w:p>
        </w:tc>
      </w:tr>
      <w:tr>
        <w:trPr>
          <w:trHeight w:val="125"/>
        </w:trPr>
        <w:tc>
          <w:tcPr>
            <w:tcW w:w="2920" w:type="dxa"/>
            <w:vAlign w:val="bottom"/>
            <w:vMerge w:val="continue"/>
          </w:tcPr>
          <w:p>
            <w:pPr>
              <w:spacing w:after="0"/>
              <w:rPr>
                <w:sz w:val="10"/>
                <w:szCs w:val="10"/>
                <w:color w:val="auto"/>
              </w:rPr>
            </w:pPr>
          </w:p>
        </w:tc>
        <w:tc>
          <w:tcPr>
            <w:tcW w:w="3460" w:type="dxa"/>
            <w:vAlign w:val="bottom"/>
            <w:vMerge w:val="restart"/>
          </w:tcPr>
          <w:p>
            <w:pPr>
              <w:ind w:left="280"/>
              <w:spacing w:after="0"/>
              <w:rPr>
                <w:sz w:val="20"/>
                <w:szCs w:val="20"/>
                <w:color w:val="auto"/>
              </w:rPr>
            </w:pPr>
            <w:r>
              <w:rPr>
                <w:rFonts w:ascii="Arial" w:cs="Arial" w:eastAsia="Arial" w:hAnsi="Arial"/>
                <w:sz w:val="16"/>
                <w:szCs w:val="16"/>
                <w:color w:val="auto"/>
              </w:rPr>
              <w:t>derivatives</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3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346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0628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0628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1920" w:type="dxa"/>
            <w:vAlign w:val="bottom"/>
            <w:gridSpan w:val="4"/>
          </w:tcPr>
          <w:p>
            <w:pPr>
              <w:jc w:val="right"/>
              <w:spacing w:after="0" w:line="163"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jc w:val="right"/>
              <w:ind w:right="379"/>
              <w:spacing w:after="0" w:line="163" w:lineRule="exact"/>
              <w:rPr>
                <w:sz w:val="20"/>
                <w:szCs w:val="20"/>
                <w:color w:val="auto"/>
              </w:rPr>
            </w:pPr>
            <w:r>
              <w:rPr>
                <w:rFonts w:ascii="Arial" w:cs="Arial" w:eastAsia="Arial" w:hAnsi="Arial"/>
                <w:sz w:val="16"/>
                <w:szCs w:val="16"/>
                <w:b w:val="1"/>
                <w:bCs w:val="1"/>
                <w:color w:val="auto"/>
              </w:rPr>
              <w:t>Nine Months Ended</w:t>
            </w:r>
          </w:p>
        </w:tc>
      </w:tr>
      <w:tr>
        <w:trPr>
          <w:trHeight w:val="213"/>
        </w:trPr>
        <w:tc>
          <w:tcPr>
            <w:tcW w:w="19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6"/>
                <w:szCs w:val="16"/>
                <w:b w:val="1"/>
                <w:bCs w:val="1"/>
                <w:color w:val="auto"/>
              </w:rPr>
              <w:t>September 30,</w:t>
            </w:r>
          </w:p>
        </w:tc>
      </w:tr>
      <w:tr>
        <w:trPr>
          <w:trHeight w:val="358"/>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r>
      <w:tr>
        <w:trPr>
          <w:trHeight w:val="288"/>
        </w:trPr>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4"/>
                <w:szCs w:val="24"/>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4"/>
                <w:szCs w:val="24"/>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Pr>
          <w:p>
            <w:pPr>
              <w:jc w:val="center"/>
              <w:spacing w:after="0"/>
              <w:rPr>
                <w:sz w:val="20"/>
                <w:szCs w:val="20"/>
                <w:color w:val="auto"/>
              </w:rPr>
            </w:pPr>
            <w:r>
              <w:rPr>
                <w:rFonts w:ascii="Arial" w:cs="Arial" w:eastAsia="Arial" w:hAnsi="Arial"/>
                <w:sz w:val="16"/>
                <w:szCs w:val="16"/>
                <w:color w:val="auto"/>
                <w:w w:val="89"/>
              </w:rPr>
              <w:t>664</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(2,316)</w:t>
            </w:r>
          </w:p>
        </w:tc>
      </w:tr>
      <w:tr>
        <w:trPr>
          <w:trHeight w:val="300"/>
        </w:trPr>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(116)</w:t>
            </w: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(111)</w:t>
            </w:r>
          </w:p>
        </w:tc>
        <w:tc>
          <w:tcPr>
            <w:tcW w:w="1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(342)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r>
      <w:tr>
        <w:trPr>
          <w:trHeight w:val="210"/>
        </w:trPr>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322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(2,529)</w:t>
            </w:r>
          </w:p>
        </w:tc>
      </w:tr>
      <w:tr>
        <w:trPr>
          <w:trHeight w:val="23"/>
        </w:trPr>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380" w:space="100"/>
            <w:col w:w="4720"/>
          </w:cols>
          <w:pgMar w:left="320" w:top="121" w:right="37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nine months ended September 30, 2021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179"/>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1"/>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average</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0"/>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exercise price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2"/>
              </w:rPr>
              <w:t>life (years)</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2021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1,286,900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Exercises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Expirations</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19.10</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September 30, 2021</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1,095,575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Options exercisable, September 30,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912,115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14.31</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8"/>
              </w:rPr>
              <w:t>4.5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3,700</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20" w:firstLine="8"/>
        <w:spacing w:after="0" w:line="267" w:lineRule="auto"/>
        <w:tabs>
          <w:tab w:leader="none" w:pos="181"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Includes the exercise of 1,000 options settled in cash in accordance with the Company’s Amended and Restated 2000 Long-Term Incentive Plan ("the Plan").</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September 30, 2021. The intrinsic value is calculated for each in-the-money stock option as the difference between the closing price of the Company’s common stock on September 30, 2021 and the exercise price.</w:t>
      </w:r>
    </w:p>
    <w:p>
      <w:pPr>
        <w:sectPr>
          <w:pgSz w:w="11900" w:h="16838" w:orient="portrait"/>
          <w:cols w:equalWidth="0" w:num="1">
            <w:col w:w="1120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nine months ended September 30, 2021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2021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795,587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(552,880)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September 30, 2021</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462,965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4,272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nine months ended September 30, 2021 was $8.4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of Directors. The shares are subject to the terms and conditions of the Company’s Plan.</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Company’s performance-based award activity and related information for the nine months ended September 30, 2021 is as follows: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Vested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Cancellations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8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8"/>
          <w:szCs w:val="8"/>
          <w:color w:val="auto"/>
        </w:rPr>
      </w:pPr>
      <w:r>
        <w:rPr>
          <w:rFonts w:ascii="Arial" w:cs="Arial" w:eastAsia="Arial" w:hAnsi="Arial"/>
          <w:sz w:val="12"/>
          <w:szCs w:val="12"/>
          <w:color w:val="auto"/>
        </w:rPr>
        <w:t>Represents the target number of shares to be issued for each performance-based award.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Performance-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14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based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6"/>
        </w:trPr>
        <w:tc>
          <w:tcPr>
            <w:tcW w:w="14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8"/>
              </w:rPr>
              <w:t xml:space="preserve">awards </w:t>
            </w:r>
            <w:r>
              <w:rPr>
                <w:rFonts w:ascii="Arial" w:cs="Arial" w:eastAsia="Arial" w:hAnsi="Arial"/>
                <w:sz w:val="21"/>
                <w:szCs w:val="21"/>
                <w:b w:val="1"/>
                <w:bCs w:val="1"/>
                <w:color w:val="auto"/>
                <w:w w:val="88"/>
                <w:vertAlign w:val="superscript"/>
              </w:rPr>
              <w:t>(1)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04"/>
        </w:trPr>
        <w:tc>
          <w:tcPr>
            <w:tcW w:w="1440" w:type="dxa"/>
            <w:vAlign w:val="bottom"/>
          </w:tcPr>
          <w:p>
            <w:pPr>
              <w:jc w:val="right"/>
              <w:spacing w:after="0"/>
              <w:rPr>
                <w:sz w:val="20"/>
                <w:szCs w:val="20"/>
                <w:color w:val="auto"/>
              </w:rPr>
            </w:pPr>
            <w:r>
              <w:rPr>
                <w:rFonts w:ascii="Arial" w:cs="Arial" w:eastAsia="Arial" w:hAnsi="Arial"/>
                <w:sz w:val="16"/>
                <w:szCs w:val="16"/>
                <w:color w:val="auto"/>
              </w:rPr>
              <w:t>431,046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6"/>
        </w:trPr>
        <w:tc>
          <w:tcPr>
            <w:tcW w:w="1440" w:type="dxa"/>
            <w:vAlign w:val="bottom"/>
          </w:tcPr>
          <w:p>
            <w:pPr>
              <w:jc w:val="right"/>
              <w:spacing w:after="0"/>
              <w:rPr>
                <w:sz w:val="20"/>
                <w:szCs w:val="20"/>
                <w:color w:val="auto"/>
              </w:rPr>
            </w:pPr>
            <w:r>
              <w:rPr>
                <w:rFonts w:ascii="Arial" w:cs="Arial" w:eastAsia="Arial" w:hAnsi="Arial"/>
                <w:sz w:val="16"/>
                <w:szCs w:val="16"/>
                <w:color w:val="auto"/>
              </w:rPr>
              <w:t>176,915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14.18</w:t>
            </w:r>
          </w:p>
        </w:tc>
        <w:tc>
          <w:tcPr>
            <w:tcW w:w="0" w:type="dxa"/>
            <w:vAlign w:val="bottom"/>
          </w:tcPr>
          <w:p>
            <w:pPr>
              <w:spacing w:after="0"/>
              <w:rPr>
                <w:sz w:val="1"/>
                <w:szCs w:val="1"/>
                <w:color w:val="auto"/>
              </w:rPr>
            </w:pPr>
          </w:p>
        </w:tc>
      </w:tr>
      <w:tr>
        <w:trPr>
          <w:trHeight w:val="216"/>
        </w:trPr>
        <w:tc>
          <w:tcPr>
            <w:tcW w:w="1440" w:type="dxa"/>
            <w:vAlign w:val="bottom"/>
          </w:tcPr>
          <w:p>
            <w:pPr>
              <w:jc w:val="right"/>
              <w:spacing w:after="0"/>
              <w:rPr>
                <w:sz w:val="20"/>
                <w:szCs w:val="20"/>
                <w:color w:val="auto"/>
              </w:rPr>
            </w:pPr>
            <w:r>
              <w:rPr>
                <w:rFonts w:ascii="Arial" w:cs="Arial" w:eastAsia="Arial" w:hAnsi="Arial"/>
                <w:sz w:val="16"/>
                <w:szCs w:val="16"/>
                <w:color w:val="auto"/>
              </w:rPr>
              <w:t>(150,273)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219"/>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3"/>
        </w:trPr>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436,330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00" w:hanging="979"/>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2,793</w:t>
      </w:r>
    </w:p>
    <w:p>
      <w:pPr>
        <w:spacing w:after="0" w:line="32"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6"/>
          <w:szCs w:val="16"/>
          <w:color w:val="auto"/>
        </w:rPr>
        <w:t>2.0</w:t>
      </w:r>
    </w:p>
    <w:p>
      <w:pPr>
        <w:spacing w:after="0" w:line="536" w:lineRule="exact"/>
        <w:rPr>
          <w:sz w:val="20"/>
          <w:szCs w:val="20"/>
          <w:color w:val="auto"/>
        </w:rPr>
      </w:pPr>
    </w:p>
    <w:p>
      <w:pPr>
        <w:sectPr>
          <w:pgSz w:w="11900" w:h="16838" w:orient="portrait"/>
          <w:cols w:equalWidth="0" w:num="2">
            <w:col w:w="7520" w:space="720"/>
            <w:col w:w="2980"/>
          </w:cols>
          <w:pgMar w:left="320" w:top="121" w:right="3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nine months ended September 30, 2021 was $2.1 million.</w:t>
      </w:r>
    </w:p>
    <w:p>
      <w:pPr>
        <w:spacing w:after="0" w:line="117"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At September 30, 2021, there were 357,858 shares available for awards that could be granted under the Plan, assuming maximum performance of performance-based awards.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226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6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w w:val="91"/>
              </w:rPr>
              <w:t>September 30,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12"/>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Stock Compensation Expense Components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2020</w:t>
            </w:r>
          </w:p>
        </w:tc>
      </w:tr>
      <w:tr>
        <w:trPr>
          <w:trHeight w:val="212"/>
        </w:trPr>
        <w:tc>
          <w:tcPr>
            <w:tcW w:w="5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Equity based stock option expense</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13"/>
        </w:trPr>
        <w:tc>
          <w:tcPr>
            <w:tcW w:w="56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Restricted and performance-based stock awards expense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1,097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1,427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3,877</w:t>
            </w:r>
          </w:p>
        </w:tc>
      </w:tr>
      <w:tr>
        <w:trPr>
          <w:trHeight w:val="213"/>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 compensation expense for equity based awards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1,192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w:t>
            </w:r>
          </w:p>
        </w:tc>
      </w:tr>
      <w:tr>
        <w:trPr>
          <w:trHeight w:val="213"/>
        </w:trPr>
        <w:tc>
          <w:tcPr>
            <w:tcW w:w="56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Liability based stock option expense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 Compensation Expense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1,201</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1,575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(LOSS) PER COMMON SHARE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Basic income (loss) per common share has been computed by dividing net income (loss) by the weighted-average number of shares of the Company’s common stock outstanding during the relevant period. Diluted income (loss) per common share adjusts net income (loss) and basic income (loss) per common share for the effect of all potentially dilutive shares of the Company’s common stock. Anti-dilutive securities are not included in the computation of diluted earnings per share under the treasury stock method.</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calculations of basic and diluted income (loss) per common share for the three and nine months ended September 30, 2021 and 2020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60" w:type="dxa"/>
            <w:vAlign w:val="bottom"/>
            <w:gridSpan w:val="7"/>
          </w:tcPr>
          <w:p>
            <w:pPr>
              <w:ind w:left="20"/>
              <w:spacing w:after="0"/>
              <w:rPr>
                <w:sz w:val="20"/>
                <w:szCs w:val="20"/>
                <w:color w:val="auto"/>
              </w:rPr>
            </w:pPr>
            <w:r>
              <w:rPr>
                <w:rFonts w:ascii="Arial" w:cs="Arial" w:eastAsia="Arial" w:hAnsi="Arial"/>
                <w:sz w:val="18"/>
                <w:szCs w:val="18"/>
                <w:color w:val="auto"/>
                <w:w w:val="87"/>
              </w:rPr>
              <w:t>(in thousands, except per share amounts)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 Basic and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(18,228)</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20,835</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Stock options and other stock awards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income (loss) per common share</w:t>
            </w: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00" w:type="dxa"/>
            <w:vAlign w:val="bottom"/>
            <w:tcBorders>
              <w:top w:val="single" w:sz="8" w:color="CCEEFF"/>
            </w:tcBorders>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income (loss)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Antidilutive Securities</w:t>
            </w:r>
            <w:r>
              <w:rPr>
                <w:rFonts w:ascii="Arial" w:cs="Arial" w:eastAsia="Arial" w:hAnsi="Arial"/>
                <w:sz w:val="23"/>
                <w:szCs w:val="23"/>
                <w:b w:val="1"/>
                <w:bCs w:val="1"/>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60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Stock options and other stock awards that have been excluded from the denominator as their inclusion would have been anti-dilutive.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Income tax provision of $5.6 million and $9.8 million for the three and nine months ended September 30, 2021, respectively, represent taxes on both U.S. and foreign earnings at combined effective income tax provision rates of 31.1% and 31.8%, respectively. The effective tax rate for the three and nine months ended September 30, 2021 differs from the federal statutory income tax rate of 21.0% primarily due to state and local tax expense, and foreign losses for which no tax benefit is recognized as such amounts are fully offset with a valuation allowance.</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three and nine months ended September 30, 2020, the Company had used a discrete effective tax rate method to calculate taxes. Income tax provision of $3.7 million and $3.0 million for the three and nine months ended September 30, 2020, respectively, represent taxes on both U.S. and foreign earnings at combined effective income tax provision rates of 21.2% and (20.3)%, respectively. The effective tax rate for the three months ended September 30, 2020 is consistent with the federal statutory income tax rate of 21.0% and includes an increase for state and local tax expense offset by other items that are not material. The negative rate for the nine months ended September 30, 2020 reflects tax expense on a pretax financial reporting loss. The effective rate for the nine months ended September 30, 2020 differs from the federal statutory income tax rate primarily due to state and local tax expense, equity based awards, and the non-deductible portion of the U.S. goodwill impairment recorded in the three months ended March 31, 2020.</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Georgia, Illinois, Massachusetts, New Jersey, New York and the United Kingdom.</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New York State tax returns for years 2015-2016 remain under audit. The audit has been expanded to include tax years 2017-2019. As of September 30, 2021, there are no material assessments in any given year.</w:t>
      </w:r>
    </w:p>
    <w:p>
      <w:pPr>
        <w:spacing w:after="0" w:line="6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evaluates its tax positions on a quarterly basis and revises its estimates accordingly. There were no material changes to the Company’s uncertain tax positions, interest, or penalties during the three-month periods ended September 30, 2021 and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7"/>
                <w:szCs w:val="17"/>
                <w:color w:val="auto"/>
              </w:rPr>
            </w:pPr>
          </w:p>
        </w:tc>
        <w:tc>
          <w:tcPr>
            <w:tcW w:w="22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2021</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197,724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201,539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540,488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463,338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56,622</w:t>
            </w: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224,777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224,750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607,066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519,960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30,958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29,111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66,339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28,383</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(11,904)</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(15,922)</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18,385</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4"/>
          </w:tcPr>
          <w:p>
            <w:pPr>
              <w:jc w:val="right"/>
              <w:ind w:right="930"/>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U.S.</w:t>
            </w:r>
          </w:p>
        </w:tc>
        <w:tc>
          <w:tcPr>
            <w:tcW w:w="4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694,138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661,321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4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w:t>
            </w:r>
          </w:p>
        </w:tc>
        <w:tc>
          <w:tcPr>
            <w:tcW w:w="4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4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- 25 -</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352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 May 2008, WSPR received from the EPA a Notice of Potential Liability and Request for Information pursuant to 42 U.S.C.</w:t>
      </w:r>
    </w:p>
    <w:p>
      <w:pPr>
        <w:spacing w:after="0" w:line="2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November 2020, the tolling agreements were extended to November 2021. The Department of Justice has asked the parties to extend the tolling agreements to November 2022, and we anticipate that all parties will do so. The tolling agreements do not constitute in any way an admission or acknowledgment of any fact, conclusion of law or liability by the parties to the agreements.</w:t>
      </w:r>
    </w:p>
    <w:p>
      <w:pPr>
        <w:spacing w:after="0" w:line="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7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August 2021, WSPR received a Notice of Liability from the Department of Justice on behalf of the EPA, and in September 2021, WSPR submitted a good faith offer to conduct additional testing and remedial design, which is under consideration by the EPA.</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reserved $0.5 million to cover probable and estimable liabilities with respect to the above testing and remedial design. However, it is not possible at this time for the Company to estimate its share of its ultimate liability related to this matter. In the event of one or more adverse determinations related to this matter, it is possible that the ultimate liability resulting from this matter and the impact on the Company’s results of operations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8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the period of investigation covers a five-year period, the Company is compiling supporting documentation packages for all tableware collections imported during this period.</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$2.2 million. In such event, it is reasonably possible that additional penalties could be assessed, depending upon the level of culpability found, of up to $4.4 million for negligence and up to $8.8 million for gross negligence. In the event penalties are assessed, the Company will have the opportunity to further contest CBP’s findings and seek cancellation or mitigation of such assessments.</w:t>
      </w:r>
    </w:p>
    <w:p>
      <w:pPr>
        <w:spacing w:after="0" w:line="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nine months ended September 30, 2021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Date of record</w:t>
            </w:r>
          </w:p>
        </w:tc>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212"/>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3/9/2021</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5/3/2021</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5/17/2021</w:t>
            </w: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6/24/2021</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8/2/2021</w:t>
            </w:r>
          </w:p>
        </w:tc>
        <w:tc>
          <w:tcPr>
            <w:tcW w:w="10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6"/>
                <w:szCs w:val="16"/>
                <w:color w:val="auto"/>
              </w:rPr>
              <w:t>8/16/2021</w:t>
            </w: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8/3/2021</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11/1/2021</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11/15/2021</w:t>
            </w:r>
          </w:p>
        </w:tc>
      </w:tr>
    </w:tbl>
    <w:p>
      <w:pPr>
        <w:spacing w:after="0" w:line="29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nine months ended September 30, 2021, the Company paid dividends of $2.9 million. This included payments made on February 12, 2021, May 17, 2021 and August 16, 2021 of $0.9 million, $0.9 million and $0.9 million, respectively, to shareholders of record on January 29, 2021, May 3, 2021 and August 2, 2021 respectively, and payments of $0.2 million for dividends payable upon the vesting of restricted shares and performance shares.</w:t>
      </w:r>
    </w:p>
    <w:p>
      <w:pPr>
        <w:spacing w:after="0" w:line="4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the three months ended September 30, 2021, the Company reduced retained earnings for the accrual of $1.0 million relating to the dividend payable on November 15, 2021. For the nine months ended September 30, 2021, the Company reduced retained earnings for the accrual of $2.9 million relating to the dividend payable on May 17, 2021, August 16, 2021 and November 15, 2021.</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2, 2021, the Board of Directors declared a quarterly dividend of $0.0425 per share payable on February 14, 2022 to shareholders of record on January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Nine Months Ended</w:t>
      </w:r>
    </w:p>
    <w:p>
      <w:pPr>
        <w:jc w:val="center"/>
        <w:ind w:left="820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r>
      <w:tr>
        <w:trPr>
          <w:trHeight w:val="209"/>
        </w:trPr>
        <w:tc>
          <w:tcPr>
            <w:tcW w:w="8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10,279</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11,750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12,616</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income (loss) adjustment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1,059</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22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translation adjustment: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(31,623)</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(40,991)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(35,846)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(34,019)</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Translation (loss) income during period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w:t>
            </w:r>
          </w:p>
        </w:tc>
        <w:tc>
          <w:tcPr>
            <w:tcW w:w="0" w:type="dxa"/>
            <w:vAlign w:val="bottom"/>
          </w:tcPr>
          <w:p>
            <w:pPr>
              <w:spacing w:after="0"/>
              <w:rPr>
                <w:sz w:val="1"/>
                <w:szCs w:val="1"/>
                <w:color w:val="auto"/>
              </w:rPr>
            </w:pPr>
          </w:p>
        </w:tc>
      </w:tr>
      <w:tr>
        <w:trPr>
          <w:trHeight w:val="216"/>
        </w:trPr>
        <w:tc>
          <w:tcPr>
            <w:tcW w:w="574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Translation Adjustment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(4,827)</w:t>
            </w:r>
          </w:p>
        </w:tc>
        <w:tc>
          <w:tcPr>
            <w:tcW w:w="0" w:type="dxa"/>
            <w:vAlign w:val="bottom"/>
          </w:tcPr>
          <w:p>
            <w:pPr>
              <w:spacing w:after="0"/>
              <w:rPr>
                <w:sz w:val="1"/>
                <w:szCs w:val="1"/>
                <w:color w:val="auto"/>
              </w:rPr>
            </w:pP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(31,383)</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(38,846)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(31,383)</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(38,846)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losses on cash flow hedges: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unrealized gain (losses)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w:t>
            </w: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Settlement of cash flow hedge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06"/>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 flow hedges, net of taxes of $(247), $(73), $(301), $856</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(2,560)</w:t>
            </w:r>
          </w:p>
        </w:tc>
        <w:tc>
          <w:tcPr>
            <w:tcW w:w="0" w:type="dxa"/>
            <w:vAlign w:val="bottom"/>
          </w:tcPr>
          <w:p>
            <w:pPr>
              <w:spacing w:after="0"/>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actuarial loss, net of taxes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6"/>
        </w:trPr>
        <w:tc>
          <w:tcPr>
            <w:tcW w:w="574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(41,783)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(41,783)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Amounts are recorded in equity in earnings (losses) on the unaudited condensed statements of operations.</w:t>
      </w:r>
    </w:p>
    <w:p>
      <w:pPr>
        <w:spacing w:after="0" w:line="6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Amounts reclassified are recorded in interest expense and cost of sales on the unaudited condensed consolidated statement of operations.</w:t>
      </w:r>
    </w:p>
    <w:p>
      <w:pPr>
        <w:spacing w:after="0" w:line="57" w:lineRule="exact"/>
        <w:rPr>
          <w:rFonts w:ascii="Arial" w:cs="Arial" w:eastAsia="Arial" w:hAnsi="Arial"/>
          <w:sz w:val="19"/>
          <w:szCs w:val="19"/>
          <w:color w:val="auto"/>
          <w:vertAlign w:val="superscript"/>
        </w:rPr>
      </w:pPr>
    </w:p>
    <w:p>
      <w:pPr>
        <w:ind w:left="320" w:hanging="312"/>
        <w:spacing w:after="0" w:line="233" w:lineRule="auto"/>
        <w:tabs>
          <w:tab w:leader="none" w:pos="3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Amounts are recorded in selling, general and administrative expense on the unaudited condensed consolidated statements of operations.</w:t>
      </w:r>
    </w:p>
    <w:p>
      <w:pPr>
        <w:spacing w:after="0" w:line="200" w:lineRule="exact"/>
        <w:rPr>
          <w:rFonts w:ascii="Arial" w:cs="Arial" w:eastAsia="Arial" w:hAnsi="Arial"/>
          <w:sz w:val="19"/>
          <w:szCs w:val="19"/>
          <w:color w:val="auto"/>
          <w:vertAlign w:val="superscript"/>
        </w:rPr>
      </w:pPr>
    </w:p>
    <w:p>
      <w:pPr>
        <w:spacing w:after="0" w:line="379" w:lineRule="exact"/>
        <w:rPr>
          <w:rFonts w:ascii="Arial" w:cs="Arial" w:eastAsia="Arial" w:hAnsi="Arial"/>
          <w:sz w:val="19"/>
          <w:szCs w:val="19"/>
          <w:color w:val="auto"/>
          <w:vertAlign w:val="superscript"/>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When used in this Quarterly Report on Form 10-Q, the words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2020 (the “2020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in the Company’s subsequent filings with the U.S. Securities and Exchange Commission (the “SEC”). Such risks, uncertainties and other important factors include, among others, risks related to:</w:t>
      </w:r>
    </w:p>
    <w:p>
      <w:pPr>
        <w:spacing w:after="0" w:line="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Exit of the United Kingdom from the European Union;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 disruptions and higher transportation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Indebtedness and compliance with credit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the capital markets and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credit-worthiness of the Company’s customers and the counterparties to its derivatives;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Goodwill;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trade, including trade negotiations;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security;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interruptions;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Governance;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health pandemics and related effects, such as the COVID-19 pandemic;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Social unrest, including related protests or disturbances.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Arial" w:cs="Arial" w:eastAsia="Arial" w:hAnsi="Arial"/>
          <w:sz w:val="17"/>
          <w:szCs w:val="17"/>
          <w:i w:val="1"/>
          <w:iCs w:val="1"/>
          <w:u w:val="single" w:color="auto"/>
          <w:color w:val="auto"/>
        </w:rPr>
        <w:t>http://www.lifetimebrands.com</w:t>
      </w:r>
      <w:r>
        <w:rPr>
          <w:rFonts w:ascii="Arial" w:cs="Arial" w:eastAsia="Arial" w:hAnsi="Arial"/>
          <w:sz w:val="17"/>
          <w:szCs w:val="17"/>
          <w:color w:val="auto"/>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Arial" w:cs="Arial" w:eastAsia="Arial" w:hAnsi="Arial"/>
          <w:sz w:val="17"/>
          <w:szCs w:val="17"/>
          <w:i w:val="1"/>
          <w:iCs w:val="1"/>
          <w:u w:val="single" w:color="auto"/>
          <w:color w:val="auto"/>
        </w:rPr>
        <w:t>http://www.sec.gov.</w:t>
      </w:r>
    </w:p>
    <w:p>
      <w:pPr>
        <w:spacing w:after="0" w:line="6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2020, Kitchenware products and Tableware products accounted for approximately 83% of the Company’s U.S. segment’s net sales and 85% of the Company’s consolidated net sales.</w:t>
      </w:r>
    </w:p>
    <w:p>
      <w:pPr>
        <w:spacing w:after="0" w:line="7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2"/>
          <w:szCs w:val="22"/>
          <w:color w:val="auto"/>
          <w:vertAlign w:val="superscript"/>
        </w:rPr>
        <w:t>®</w:t>
      </w:r>
      <w:r>
        <w:rPr>
          <w:rFonts w:ascii="Arial" w:cs="Arial" w:eastAsia="Arial" w:hAnsi="Arial"/>
          <w:sz w:val="17"/>
          <w:szCs w:val="17"/>
          <w:color w:val="auto"/>
        </w:rPr>
        <w:t>, Mikasa</w:t>
      </w:r>
      <w:r>
        <w:rPr>
          <w:rFonts w:ascii="Arial" w:cs="Arial" w:eastAsia="Arial" w:hAnsi="Arial"/>
          <w:sz w:val="22"/>
          <w:szCs w:val="22"/>
          <w:color w:val="auto"/>
          <w:vertAlign w:val="superscript"/>
        </w:rPr>
        <w:t>®</w:t>
      </w:r>
      <w:r>
        <w:rPr>
          <w:rFonts w:ascii="Arial" w:cs="Arial" w:eastAsia="Arial" w:hAnsi="Arial"/>
          <w:sz w:val="17"/>
          <w:szCs w:val="17"/>
          <w:color w:val="auto"/>
        </w:rPr>
        <w:t>, Taylor</w:t>
      </w:r>
      <w:r>
        <w:rPr>
          <w:rFonts w:ascii="Arial" w:cs="Arial" w:eastAsia="Arial" w:hAnsi="Arial"/>
          <w:sz w:val="22"/>
          <w:szCs w:val="22"/>
          <w:color w:val="auto"/>
          <w:vertAlign w:val="superscript"/>
        </w:rPr>
        <w:t>®</w:t>
      </w:r>
      <w:r>
        <w:rPr>
          <w:rFonts w:ascii="Arial" w:cs="Arial" w:eastAsia="Arial" w:hAnsi="Arial"/>
          <w:sz w:val="17"/>
          <w:szCs w:val="17"/>
          <w:color w:val="auto"/>
        </w:rPr>
        <w:t>, KitchenAid</w:t>
      </w:r>
      <w:r>
        <w:rPr>
          <w:rFonts w:ascii="Arial" w:cs="Arial" w:eastAsia="Arial" w:hAnsi="Arial"/>
          <w:sz w:val="22"/>
          <w:szCs w:val="22"/>
          <w:color w:val="auto"/>
          <w:vertAlign w:val="superscript"/>
        </w:rPr>
        <w:t>®</w:t>
      </w:r>
      <w:r>
        <w:rPr>
          <w:rFonts w:ascii="Arial" w:cs="Arial" w:eastAsia="Arial" w:hAnsi="Arial"/>
          <w:sz w:val="17"/>
          <w:szCs w:val="17"/>
          <w:color w:val="auto"/>
        </w:rPr>
        <w:t>, KitchenCraft</w:t>
      </w:r>
      <w:r>
        <w:rPr>
          <w:rFonts w:ascii="Arial" w:cs="Arial" w:eastAsia="Arial" w:hAnsi="Arial"/>
          <w:sz w:val="22"/>
          <w:szCs w:val="22"/>
          <w:color w:val="auto"/>
          <w:vertAlign w:val="superscript"/>
        </w:rPr>
        <w:t>®</w:t>
      </w:r>
      <w:r>
        <w:rPr>
          <w:rFonts w:ascii="Arial" w:cs="Arial" w:eastAsia="Arial" w:hAnsi="Arial"/>
          <w:sz w:val="17"/>
          <w:szCs w:val="17"/>
          <w:color w:val="auto"/>
        </w:rPr>
        <w:t>, Pfaltzgraff</w:t>
      </w:r>
      <w:r>
        <w:rPr>
          <w:rFonts w:ascii="Arial" w:cs="Arial" w:eastAsia="Arial" w:hAnsi="Arial"/>
          <w:sz w:val="22"/>
          <w:szCs w:val="22"/>
          <w:color w:val="auto"/>
          <w:vertAlign w:val="superscript"/>
        </w:rPr>
        <w:t>®</w:t>
      </w:r>
      <w:r>
        <w:rPr>
          <w:rFonts w:ascii="Arial" w:cs="Arial" w:eastAsia="Arial" w:hAnsi="Arial"/>
          <w:sz w:val="17"/>
          <w:szCs w:val="17"/>
          <w:color w:val="auto"/>
        </w:rPr>
        <w:t>, Built NY</w:t>
      </w:r>
      <w:r>
        <w:rPr>
          <w:rFonts w:ascii="Arial" w:cs="Arial" w:eastAsia="Arial" w:hAnsi="Arial"/>
          <w:sz w:val="22"/>
          <w:szCs w:val="22"/>
          <w:color w:val="auto"/>
          <w:vertAlign w:val="superscript"/>
        </w:rPr>
        <w:t>®</w:t>
      </w:r>
      <w:r>
        <w:rPr>
          <w:rFonts w:ascii="Arial" w:cs="Arial" w:eastAsia="Arial" w:hAnsi="Arial"/>
          <w:sz w:val="17"/>
          <w:szCs w:val="17"/>
          <w:color w:val="auto"/>
        </w:rPr>
        <w:t>, Rabbit</w:t>
      </w:r>
      <w:r>
        <w:rPr>
          <w:rFonts w:ascii="Arial" w:cs="Arial" w:eastAsia="Arial" w:hAnsi="Arial"/>
          <w:sz w:val="22"/>
          <w:szCs w:val="22"/>
          <w:color w:val="auto"/>
          <w:vertAlign w:val="superscript"/>
        </w:rPr>
        <w:t>®</w:t>
      </w:r>
      <w:r>
        <w:rPr>
          <w:rFonts w:ascii="Arial" w:cs="Arial" w:eastAsia="Arial" w:hAnsi="Arial"/>
          <w:sz w:val="17"/>
          <w:szCs w:val="17"/>
          <w:color w:val="auto"/>
        </w:rPr>
        <w:t>, Kamenstein</w:t>
      </w:r>
      <w:r>
        <w:rPr>
          <w:rFonts w:ascii="Arial" w:cs="Arial" w:eastAsia="Arial" w:hAnsi="Arial"/>
          <w:sz w:val="22"/>
          <w:szCs w:val="22"/>
          <w:color w:val="auto"/>
          <w:vertAlign w:val="superscript"/>
        </w:rPr>
        <w:t>®</w:t>
      </w:r>
      <w:r>
        <w:rPr>
          <w:rFonts w:ascii="Arial" w:cs="Arial" w:eastAsia="Arial" w:hAnsi="Arial"/>
          <w:sz w:val="17"/>
          <w:szCs w:val="17"/>
          <w:color w:val="auto"/>
        </w:rPr>
        <w:t>, and MasterClass®. Historically, the Company’s sales growth has come from expanding product offerings within its product categories, developing existing brands, acquiring new brands (including complementary brands in markets outside the U.S.),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As of September 30, 2021, the Company owned approximately 25%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nine months ended September 30, 2021 and 2020 in the accompanying unaudited condensed consolidated statements of operations. Pursuant to a Shares Subscription Agreement, the Company may designate four persons to be nominated as members of Vasconia’s Board of Directors. As of September 30, 2021, Vasconia’s Board of Directors is comprised of eleven members, of whom the Company has designated </w:t>
      </w:r>
      <w:r>
        <w:rPr>
          <w:rFonts w:ascii="Arial" w:cs="Arial" w:eastAsia="Arial" w:hAnsi="Arial"/>
          <w:sz w:val="18"/>
          <w:szCs w:val="18"/>
          <w:color w:val="auto"/>
        </w:rPr>
        <w:t>two</w:t>
      </w:r>
      <w:r>
        <w:rPr>
          <w:rFonts w:ascii="Arial" w:cs="Arial" w:eastAsia="Arial" w:hAnsi="Arial"/>
          <w:sz w:val="17"/>
          <w:szCs w:val="17"/>
          <w:color w:val="auto"/>
        </w:rPr>
        <w:t xml:space="preserve"> members.</w:t>
      </w:r>
    </w:p>
    <w:p>
      <w:pPr>
        <w:spacing w:after="0" w:line="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30, 2021, Vasconia sold shares, which diluted the Company’s investment ownership from approximately 30% to approximately 27%. The Company recorded a non-cash gain of $1.7 million, increasing the Company’s investment balance. Additionally, a loss of $2.0 million was recognized for the proportionate share of the diluted ownership for amounts previously recognized in accumulated other comprehensive loss. The net loss of $0.3 million was included in equity in earnings (losses), net of taxes, in the accompanying unaudited condensed consolidated statements of operations for the nine months ended September 30, 2021.</w:t>
      </w:r>
    </w:p>
    <w:p>
      <w:pPr>
        <w:spacing w:after="0" w:line="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July 29, 2021, the Company sold 2.2 million shares further reducing its ownership from approximately 27% to approximately 25% in Vasconia for net cash proceeds of approximately $3.1 million, as a result the Company recorded a gain of $1.0 million, after decreasing the Company’s investment balance. The gain on the sale resulted in a tax expense of $0.1 million. Additionally, a loss of $1.4 million was recognized for the proportionate share of the reduced ownership for amounts previously recognized in accumulated other comprehensive loss. The net loss, including taxes, of $0.5 million was included in equity in earnings (losses), net of taxes, in the accompanying unaudited condensed consolidated statements of operations for the three and nine months ended September 30, 2021. The Company continues to apply the equity method of accounting.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explore opportunities to sell additional shares of its investment in Vasconia.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2020 and 2019, net sales for the third and fourth quarters accounted for 62% and 60% of total annual net sales, respectively. In anticipation of the pre-holiday shipping season, inventory levels increase primarily in the June through October time period.</w:t>
      </w:r>
    </w:p>
    <w:p>
      <w:pPr>
        <w:spacing w:after="0" w:line="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Consistent with the seasonality of the Company’s net sales and inventory levels, the Company also experiences seasonality in its inventory turnover and turnover days from one quarter to the next.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COVID-19 pandemic has caused, and may continue to cause, shifts in some of the Company's selling and purchasing cycles as customers deviate from their historical ordering patterns.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2021, the Company did not incur any restructuring expenses.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During the nine months ended September 30, 2020, the Company’s international segment incurred $0.3 million of restructuring expenses related to severance associated with the strategic reorganization of the international segment’s product development</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sales workforce. The strategic reorganization is the result of the Company’s efforts to achieve product development efficiencies and a country tailored international sales approach.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COVID-19 pandemic, as well as other factors including, increased demand and shifts in consumer shopping patterns, have caused disruption in the global supply chain. The increased demand for containers, limited container capacity, and backlog at U.S. ports have resulted in increased market costs of inbound freight, container shortages, and longer lead times. The disruption in the global supply chain has also caused increased input costs used to manufacture the Company’s product. The Company has been impacted by these disruptions and has experienced higher inbound freight cost, delays in importing inventory due to limited availability of containers, and an increase in product costs. The increasing costs trend is expected to impact the Company into the fourth quarter of fiscal year 2021. There have also been instances of limited trucking availability. The Company has experienced instances of trucking shortages, which has resulted in delays of shipments to certain of its customers.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 xml:space="preserve">There have been no material changes to the Company’s critical accounting policies and estimates discussed in the 2020 Annual Report on Form 10-K in Item 7 under the heading </w:t>
      </w:r>
      <w:r>
        <w:rPr>
          <w:rFonts w:ascii="Arial" w:cs="Arial" w:eastAsia="Arial" w:hAnsi="Arial"/>
          <w:sz w:val="18"/>
          <w:szCs w:val="18"/>
          <w:i w:val="1"/>
          <w:iCs w:val="1"/>
          <w:color w:val="auto"/>
        </w:rPr>
        <w:t>Management’s Discussion and Analysis of Financial Condition and Results of Operations – Critical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Estimates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100" w:type="dxa"/>
            <w:vAlign w:val="bottom"/>
          </w:tcPr>
          <w:p>
            <w:pPr>
              <w:spacing w:after="0"/>
              <w:rPr>
                <w:sz w:val="16"/>
                <w:szCs w:val="16"/>
                <w:color w:val="auto"/>
              </w:rPr>
            </w:pPr>
          </w:p>
        </w:tc>
        <w:tc>
          <w:tcPr>
            <w:tcW w:w="2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Nine Months Ended</w:t>
            </w:r>
          </w:p>
        </w:tc>
      </w:tr>
      <w:tr>
        <w:trPr>
          <w:trHeight w:val="213"/>
        </w:trPr>
        <w:tc>
          <w:tcPr>
            <w:tcW w:w="5280" w:type="dxa"/>
            <w:vAlign w:val="bottom"/>
          </w:tcPr>
          <w:p>
            <w:pPr>
              <w:spacing w:after="0"/>
              <w:rPr>
                <w:sz w:val="18"/>
                <w:szCs w:val="18"/>
                <w:color w:val="auto"/>
              </w:rPr>
            </w:pPr>
          </w:p>
        </w:tc>
        <w:tc>
          <w:tcPr>
            <w:tcW w:w="200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6"/>
                <w:szCs w:val="16"/>
                <w:b w:val="1"/>
                <w:bCs w:val="1"/>
                <w:color w:val="auto"/>
                <w:w w:val="89"/>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6"/>
                <w:szCs w:val="16"/>
                <w:b w:val="1"/>
                <w:bCs w:val="1"/>
                <w:color w:val="auto"/>
                <w:w w:val="91"/>
              </w:rPr>
              <w:t>September 30,</w:t>
            </w:r>
          </w:p>
        </w:tc>
        <w:tc>
          <w:tcPr>
            <w:tcW w:w="920" w:type="dxa"/>
            <w:vAlign w:val="bottom"/>
            <w:tcBorders>
              <w:bottom w:val="single" w:sz="8" w:color="auto"/>
            </w:tcBorders>
          </w:tcPr>
          <w:p>
            <w:pPr>
              <w:spacing w:after="0"/>
              <w:rPr>
                <w:sz w:val="18"/>
                <w:szCs w:val="18"/>
                <w:color w:val="auto"/>
              </w:rPr>
            </w:pPr>
          </w:p>
        </w:tc>
      </w:tr>
      <w:tr>
        <w:trPr>
          <w:trHeight w:val="209"/>
        </w:trPr>
        <w:tc>
          <w:tcPr>
            <w:tcW w:w="52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64.9</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64.5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64.2</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35.5</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35.8</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Distribution expenses</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8.4</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9.8</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2000" w:type="dxa"/>
            <w:vAlign w:val="bottom"/>
            <w:gridSpan w:val="3"/>
          </w:tcPr>
          <w:p>
            <w:pPr>
              <w:jc w:val="right"/>
              <w:ind w:right="8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0" w:type="dxa"/>
            <w:vAlign w:val="bottom"/>
            <w:gridSpan w:val="3"/>
          </w:tcPr>
          <w:p>
            <w:pPr>
              <w:jc w:val="right"/>
              <w:ind w:right="8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0.0</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other impairments</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w:t>
            </w: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9.6</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(2.5)</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Mark to market gain (loss) on interest rate derivatives</w:t>
            </w: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0.0</w:t>
            </w:r>
          </w:p>
        </w:tc>
        <w:tc>
          <w:tcPr>
            <w:tcW w:w="1500" w:type="dxa"/>
            <w:vAlign w:val="bottom"/>
            <w:gridSpan w:val="2"/>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6"/>
                <w:szCs w:val="16"/>
                <w:color w:val="auto"/>
              </w:rPr>
              <w:t>(0.4)</w:t>
            </w:r>
          </w:p>
        </w:tc>
      </w:tr>
      <w:tr>
        <w:trPr>
          <w:trHeight w:val="21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 and equity in earnings (losses)</w:t>
            </w: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4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5.1</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(2.9)</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500" w:type="dxa"/>
            <w:vAlign w:val="bottom"/>
            <w:gridSpan w:val="2"/>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6"/>
                <w:szCs w:val="16"/>
                <w:color w:val="auto"/>
              </w:rPr>
              <w:t>(0.6)</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net of taxes</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(0.1)</w:t>
            </w: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400" w:type="dxa"/>
            <w:vAlign w:val="bottom"/>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6.2 %</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ind w:left="440"/>
              <w:spacing w:after="0"/>
              <w:rPr>
                <w:sz w:val="20"/>
                <w:szCs w:val="20"/>
                <w:color w:val="auto"/>
              </w:rPr>
            </w:pPr>
            <w:r>
              <w:rPr>
                <w:rFonts w:ascii="Arial" w:cs="Arial" w:eastAsia="Arial" w:hAnsi="Arial"/>
                <w:sz w:val="16"/>
                <w:szCs w:val="16"/>
                <w:color w:val="auto"/>
                <w:w w:val="97"/>
              </w:rPr>
              <w:t>(3.5)%</w:t>
            </w:r>
          </w:p>
        </w:tc>
      </w:tr>
      <w:tr>
        <w:trPr>
          <w:trHeight w:val="24"/>
        </w:trPr>
        <w:tc>
          <w:tcPr>
            <w:tcW w:w="5280" w:type="dxa"/>
            <w:vAlign w:val="bottom"/>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340" w:right="160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SEPTEMBER 30, 2021 COMPARED TO THE THREE MONTHS ENDED SEPTEMBER 30, 2020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Consolidated net sales were $224.8 million for both the three months ended September 30, 2021 and 2020. In constant currency, a non-GAAP financial measure, which excludes the impact of foreign exchange fluctuations and was determined by applying 2021 average rates to 2020 local currency amounts, consolidated net sales decreased by $1.4 million, or 0.6%, as compared to consolidated net sales in the corresponding period in 2020.</w:t>
      </w: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sales for the U.S. segment for the three months ended September 30, 2021 were $197.7 million, a decrease of $3.8 million, or 1.9%, as compared to net sales of $201.5 million for the corresponding period in 2020.</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Net sales for the U.S. segment’s Kitchenware product category were $113.4 million for the three months ended September 30, 2021, a decrease of $6.2 million, or 5.2%, as compared to $119.6 million for the corresponding period in 2020. The decrease was mainly driven by lower sales due to supply chain constraints for kitchen tools and gadgets and cutlery and board products, partially offset by higher selling prices.</w:t>
      </w:r>
    </w:p>
    <w:p>
      <w:pPr>
        <w:spacing w:after="0" w:line="57"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Net sales for the U.S. segment’s Tableware product category were $51.7 million for the three months ended September 30, 2021, an increase of $0.4 million, or 0.8%, as compared to $51.3 million for the corresponding period in 2020. The increase came from higher dinnerware e-commerce sales, partially offset by lower sales of flatware which was impacted by supply chain constraints.</w:t>
      </w:r>
    </w:p>
    <w:p>
      <w:pPr>
        <w:spacing w:after="0" w:line="7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sales for the U.S. segment’s Home Solutions product category were $32.6 million for the three months ended September 30, 2021, an increase of $1.9 million, or 6.2%, as compared to $30.7 million for the corresponding period in 2020. The increase was primarily driven by a new private label hydration program and sales in the back-to-school lunch box category, offset by lower sales in the hydration product category due to a warehouse club program not repeating in 2021.</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Net sales for the International segment were $27.1 million for the three months ended September 30, 2021, an increase of $3.9 million, or 16.8%, as compared to net sales of $23.2 million for the corresponding period in 2020. In constant currency, which excludes the impact of foreign exchange fluctuations, net sales increased $2.5 million, or 10.0%, as compared to consolidated net sales in the corresponding period in 2020. The increase was primarily attributable to increased sales in the Company’s global trading business in Asia, higher e-commerce sales, continued recovery of sales to brick-and-mortar retailers, and higher selling prices.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Gross margin for the three months ended September 30, 2021 was $83.1 million, or 37.0%, as compared to $78.8 million, or 35.1%, for the corresponding period in 2020.</w:t>
      </w:r>
    </w:p>
    <w:p>
      <w:pPr>
        <w:spacing w:after="0" w:line="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Gross margin for the U.S. segment was $74.5 million, or 37.7%, for the three months ended September 30, 2021, as compared to $71.7 million, or 35.6%, for the corresponding period in 2020.</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Gross margin for the International segment was $8.6 million, or 31.7%, for the three months ended September 30, 2021, as compared to $7.0 million, or 30.2%, for the corresponding period in 2020.</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improvement in gross margin for the U.S. and International segments was primarily driven by price increases, channel and product mix, partially offset by higher inventory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Distribution expenses for the three months ended September 30, 2021 were $18.9 million, as compared to $19.0 million for the corresponding period in 2020. Distribution expenses as a percentage of net sales were 8.4% for the three months ended September 30, 2021, as compared to 8.4% for the three months ended September 30, 2020.</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Distribution expenses as a percentage of net sales for the U.S. segment were approximately 7.2% and 7.6% for the three months ended September 30, 2021 and 2020, respectively. As a percentage of sales shipped from the Company’s U.S. warehouses, distribution expenses were 8.4% and 8.4% for the three months ended September 30, 2021 and 2020, respectively. The improvement in expenses as a percentage of net sales was attributable to improved labor management, lower warehouse supply expenses in the current period, partially offset by higher hourly labor rates.</w:t>
      </w:r>
    </w:p>
    <w:p>
      <w:pPr>
        <w:spacing w:after="0" w:line="6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Distribution expenses as a percentage of net sales for the International segment were 17.5% for the three months ended September 30, 2021, compared to 15.5% for the corresponding period in 2020. As a percentage of sales shipped from the Company’s U.K. warehouse distribution expenses were 14.5% and</w:t>
      </w:r>
    </w:p>
    <w:p>
      <w:pPr>
        <w:ind w:right="20"/>
        <w:spacing w:after="0" w:line="260" w:lineRule="auto"/>
        <w:rPr>
          <w:sz w:val="20"/>
          <w:szCs w:val="20"/>
          <w:color w:val="auto"/>
        </w:rPr>
      </w:pPr>
      <w:r>
        <w:rPr>
          <w:rFonts w:ascii="Arial" w:cs="Arial" w:eastAsia="Arial" w:hAnsi="Arial"/>
          <w:sz w:val="18"/>
          <w:szCs w:val="18"/>
          <w:color w:val="auto"/>
        </w:rPr>
        <w:t>13.6% for the three months ended September 30, 2021 and 2020, respectively. The increase was primarily attributed to increased shipping cost for products shipped from the U.K. warehouse to continental Europe and higher cost due to transportation shortages.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Selling, general and administrative expenses for the three months ended September 30, 2021 were $42.5 million, an increase of $4.2 million, or 11.0%, as compared to $38.3 million for the corresponding period in 2020.</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for the U.S. segment were $29.3 million for the three months ended September 30, 2021, as compared to</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$27.3 million for the corresponding period in 2020. As a percentage of net sales, selling, general and administrative expenses were 14.8% and 13.5% for the three months ended September 30, 2021 and 2020, respectively. The increase was primarily attributable to lower expenses in the prior period due to the Company's savings initiative in response to the COVID-19 pandemic.</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Selling, general and administrative expenses for the International segment were $6.3 million for the three months ended September 30, 2021, as compared to $4.8 million for the corresponding period in 2020. The increase was primarily attributable to foreign currency exchange losses and increased professional fees.</w:t>
      </w:r>
    </w:p>
    <w:p>
      <w:pPr>
        <w:spacing w:after="0" w:line="7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Unallocated corporate expenses for the three months ended September 30, 2021 were $6.9 million, as compared to $6.3 million for the corresponding period in 2020. The increase was driven by higher incentive compensation expense, partially offset by lower professional fees.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Interest expense was $3.8 million for the three months ended September 30, 2021 and $4.1 million for the three months ended September 30, 2020. The decrease in expense was a result of less debt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(loss) on interest rate derivatives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Mark to market gain on interest rate derivatives was $0.1 million for both the three months ended September 30, 2021 and 2020.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September 30, 2021, the intent of the Company is to hold these derivative contracts until their maturity.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Income tax provision of $5.6 million and $3.7 million for the three months ended September 30, 2021 and 2020, respectively, represent taxes on both U.S. and foreign earnings at combined effective income tax provision rates of 31.1% and 21.2%, respectively. The effective tax rate for the three months ended September 30, 2021 differs from the federal statutory income tax rate of 21% primarily due to state and local tax expense, and foreign losses for which no tax benefit is recognized as such amounts are fully offset with a valuation allowance. The effective tax rate for the three months ended September 30, 2020 is consistent with the federal statutory income tax rate of 21.0% and includes an increase for state and local tax expense offset by other items that are not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Equity in earnings of Vasconia, net of taxes, was $0.7 million for the three months ended September 30, 2021, as compared to equity in earnings of Vasconia, net of taxes, of $0.1 million for the three months ended September 30, 2020. Vasconia reported income from operations of $3.9 million for the three months ended September 30, 2021, as compared to income from operations of $3.0 million for the three months ended September 30, 2020. The increase in income from operations was primarily attributable to improved operating results in the current period in both Vasconia's kitchenware and aluminum divisions.</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three months ended September 30, 2021, the Company recognized a net loss, including taxes, of $0.5 million related to a partial sale of the Company’s ownership in its Vasconia investment. The net loss was comprised of a gain of $1.0 million, for the difference between the selling price and the Company’s basis in the sale of shares, offset by tax expense of $0.1 million and a loss of $1.4 million, related to amounts previously recognized in accumulated other comprehensive loss.</w:t>
      </w:r>
    </w:p>
    <w:p>
      <w:pPr>
        <w:spacing w:after="0" w:line="291" w:lineRule="exact"/>
        <w:rPr>
          <w:sz w:val="20"/>
          <w:szCs w:val="20"/>
          <w:color w:val="auto"/>
        </w:rPr>
      </w:pPr>
    </w:p>
    <w:p>
      <w:pPr>
        <w:jc w:val="center"/>
        <w:ind w:left="340" w:right="1780"/>
        <w:spacing w:after="0" w:line="275" w:lineRule="auto"/>
        <w:rPr>
          <w:sz w:val="20"/>
          <w:szCs w:val="20"/>
          <w:color w:val="auto"/>
        </w:rPr>
      </w:pPr>
      <w:r>
        <w:rPr>
          <w:rFonts w:ascii="Arial" w:cs="Arial" w:eastAsia="Arial" w:hAnsi="Arial"/>
          <w:sz w:val="18"/>
          <w:szCs w:val="18"/>
          <w:b w:val="1"/>
          <w:bCs w:val="1"/>
          <w:color w:val="auto"/>
        </w:rPr>
        <w:t>MANAGEMENT’S DISCUSSION AND ANALYSIS NINE MONTHS ENDED SEPTEMBER 30, 2021 COMPARED TO THE NINE MONTHS ENDED SEPTEMBER 30, 2020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net sales for the nine months ended September 30, 2021 were $607.1 million, an increase of $87.1 million, or 16.8%, as compared to net sales of $520.0 million for the corresponding period in 2020. In constant currency, a non-GAAP financial measure, which excludes the impact of foreign exchange fluctuations and was determined by applying 2021 average rates to 2020 local currency amounts, consolidated net sales increased by $82.5 million, or 15.7%, as compared to consolidated net sales in the corresponding period in 2020.</w:t>
      </w:r>
    </w:p>
    <w:p>
      <w:pPr>
        <w:spacing w:after="0" w:line="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sales for the U.S. segment for the nine months ended September 30, 2021 were $540.5 million, an increase of $77.2 million, or 16.7%, as compared to net sales of $463.3 million for the corresponding period in 2020.</w:t>
      </w:r>
    </w:p>
    <w:p>
      <w:pPr>
        <w:spacing w:after="0" w:line="6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Net sales for the U.S. segment’s Kitchenware product category were $337.1 million for the nine months ended September 30, 2021, an increase of $53.8 million, or 19.0%, as compared to $283.3 million for the corresponding period in 2020. The increase was mainly driven by higher consumer demand, in both e-commerce and wholesale channels, for essential kitchen tools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gadgets, cutlery and board and bakeware products, and higher selling prices. The increase was partially offset by lower sales due to supply chain constraints for kitchen tools and gadgets and cutlery and board products. The strong demand for these products has been a result of shifts in consumer purchasing patterns as consumers continue to spend more time at home.</w:t>
      </w:r>
    </w:p>
    <w:p>
      <w:pPr>
        <w:spacing w:after="0" w:line="7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Net sales for the U.S. segment’s Tableware product category were $119.2 million for the nine months ended September 30, 2021, an increase of $20.7 million, or 21.0%, as compared to $98.5 million for the corresponding period in 2020. The increase came from all product lines, most notably on sales from a new flatware warehouse club program, continued recovery of sales to brick-and-mortar customers and higher dinnerware e-commerce sales.</w:t>
      </w:r>
    </w:p>
    <w:p>
      <w:pPr>
        <w:spacing w:after="0" w:line="4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sales for the U.S. segment’s Home Solutions product category were $84.2 million for the nine months ended September 30, 2021, an increase of $2.7 million, or 3.3%, as compared to $81.5 million for the corresponding period in 2020. The increase was primarily driven by home décor, a new private label hydration program and sales in the back-to-school lunch box category. The increase was partially offset by lower sales in the hydration product category due to a warehouse club program not repeating in 2021.</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sales for the International segment were $66.6 million for the nine months ended September 30, 2021, an increase of $10.0 million, or 17.7%, as compared to net sales of $56.6 million for the corresponding period in 2020. In constant currency, which excludes the impact of foreign exchange fluctuations, net sales increased $5.5 million, or 9.1%, as compared to consolidated net sales in the corresponding period in 2020. The increase in sales was primarily attributable to sales in the Company’s global trading business in Asia, continued recovery of sales to brick-and-mortar retailers, and higher selling prices, partially offset by lower e-commerce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Gross margin for the nine months ended September 30, 2021 was $215.3 million, or 35.5%, as compared to $185.9 million, or 35.8%, for the corresponding period in 2020.</w:t>
      </w:r>
    </w:p>
    <w:p>
      <w:pPr>
        <w:spacing w:after="0" w:line="6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Gross margin for the U.S. segment was $193.9 million, or 35.9%, for the nine months ended September 30, 2021, as compared to $170.9 million, or 36.9%, for the corresponding period in 2020. The decrease in gross margin was primarily due to higher inbound freight costs, product mix and the inclusion in the 2020 period of a benefit from a duty exclusion on certain products. The decrease was partially offset by higher prices.</w:t>
      </w:r>
    </w:p>
    <w:p>
      <w:pPr>
        <w:spacing w:after="0" w:line="5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Gross margin for the International segment was $21.4 million, or 32.1%, for the nine months ended September 30, 2021, as compared to $15.0 million, or 26.5%, for the corresponding period in 2020. The increase was driven by the comparable prior period being negatively impacted by higher sales allowances and inventory reserves, and customer mix. In addition, higher prices, partially offset by increased inbound freight costs contributed to the improvement.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Distribution expenses for the nine months ended September 30, 2021 were $56.5 million, as compared to $50.7 million for the corresponding period in 2020. Distribution expenses as a percentage of net sales were 9.3% for the nine months ended September 30, 2021, as compared to 9.8% for the nine months ended September 30, 2020.</w:t>
      </w:r>
    </w:p>
    <w:p>
      <w:pPr>
        <w:spacing w:after="0" w:line="7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Distribution expenses as a percentage of net sales for the U.S. segment were approximately 8.2% and 8.6% for the nine months ended September 30, 2021 and 2020, respectively. As a percentage of sales shipped from the Company’s U.S. warehouses, distribution expenses were 8.9% and 9.0% for the nine months ended September 30, 2021 and 2020, respectively. The improvement was a result of the leverage benefit of fixed costs on higher sales volume, improved labor management, partially offset by higher hourly labor rates and warehouse supply expenses.</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Distribution expenses as a percentage of net sales for the International segment were 18.1% for the nine months ended September 30, 2021, compared to 19.5% for the corresponding period in 2020. Distribution expenses during the nine months ended September 30, 2020 include $1.1 million for the Company’s facility relocation costs. As a percentage of sales shipped from the Company’s U.K. warehouse, excluding the moving and relocation costs for U.K. operations, distribution expenses were 15.4% and 14.7% for the nine months ended September 30, 2021 and 2020, respectively. The increase was primarily attributed to increased shipping cost for products shipped from the U.K. warehouse to continental Europe and higher cost due to transportation shortages.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Selling, general and administrative expenses for the nine months ended September 30, 2021 were $116.9 million, an increase of $2.6 million, or 2.3%, as compared to $114.3 million for the corresponding period in 2020.</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Selling, general and administrative expenses for the U.S. segment were $83.2 million for the nine months ended September 30, 2021, as compared to $82.7 million for the corresponding period in 2020. As a percentage of net sales, selling, general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administrative expenses were 15.4% and 17.8% for the nine months ended September 30, 2021 and 2020, respectively. The increase was primarily attributable to higher incentive compensation, and lower expenses in the prior period due to the Company’s savings initiative in response to the COVID-19 pandemic. The increase was partially offset by lower estimates for bad debt expense and facility expenses recorded in the current period. The improvement in selling, general and administrative expense as a percentage of net sales is due to the leverage benefit of fixed costs on higher sales volume.</w:t>
      </w:r>
    </w:p>
    <w:p>
      <w:pPr>
        <w:spacing w:after="0" w:line="4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Selling, general and administrative expenses for the International segment were $15.5 million for the nine months ended September 30, 2021, as compared to $15.7 million for the corresponding period in 2020. The decrease was primarily attributable to lower selling expenses related to advertising and lower estimates for bad debt expense. The decrease was partially offset by unfavorable foreign currency exchange losses.</w:t>
      </w:r>
    </w:p>
    <w:p>
      <w:pPr>
        <w:spacing w:after="0" w:line="5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Unallocated corporate expenses for the nine months ended September 30, 2021 were $18.2 million, as compared to $15.9 million for the corresponding period in 2020. The increase was driven by higher incentive compensation expense, partially offset by lower professional fees.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During the nine months ended September 30, 2020, the Company’s international segment incurred $0.3 million of restructuring expenses related to severance associated with the strategic reorganization of the international segment’s product development and sales workforce. The strategic reorganization is the result of the Company’s efforts for product development efficiencies and a country tailored international sales approach.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infinite-lived intangible asset impairment</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nine months ended September 30, 2020, the Company recorded a $20.1 million non-cash goodwill and intangible asset impairment charge related to the U.S. reporting unit. The impairment charge resulted from, among other factors, more conservative estimated future cash flows in light of the uncertain market conditions arising from the COVID-19 pandemic.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Interest expense was $11.7 million for the nine months ended September 30, 2021 and $13.1 million for the nine months ended September 30, 2020. The decrease in expense was a result of less debt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(loss) on interest rate derivatives</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Mark to market gain on interest rate derivatives was $0.7 million for the nine months ended September 30, 2021, as compared to a mark to market loss on interest rate derivatives of $2.3 million for the nine months ended September 30, 2020.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The prior period loss was a result of declines in interest rates during that period. As of September 30, 2021, the intent of the Company is to hold these derivative contracts until their maturity.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color w:val="auto"/>
        </w:rPr>
        <w:t>Income tax provision of $9.8 million and $3.0 million for the nine months ended September 30, 2021 and 2020, respectively, represent taxes on both US and foreign earnings at combined effective income tax provision rates of 31.8% and (20.3)%, respectively. The negative rate for the nine months ended</w:t>
      </w:r>
    </w:p>
    <w:p>
      <w:pPr>
        <w:spacing w:after="0" w:line="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September 30, 2020 reflects tax expense on a pretax financial reporting loss. The effective tax rate for the nine months ended September 30, 2021 differs from the federal statutory income tax rate of 21% primarily due to state and local tax expense, and foreign losses for which no tax benefit is recognized as such amounts are fully offset with a valuation allowance. The effective tax rate for the nine months ended September 30, 2020 differs from the federal statutory income tax rate of 21% primarily due to state and local tax expense, equity based awards, and the non-deductible portion of the goodwill impairment recorded in the three months ended March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(losses)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Equity in earnings of Vasconia, net of taxes, was $1.2 million for the nine months ended September 30, 2021, as compared to equity in losses of Vasconia, net of taxes, of $0.2 million for the nine months ended September 30, 2020. Vasconia reported income from operations of $14.2 million for the nine months ended September 30, 2021, as compared to income from operations of $3.8 million for the nine months ended September 30, 2020. The increase in income from operations was primarily attributable to improved operating results in the current period in both Vasconia's kitchenware and aluminum divisions.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nine months ended September 30, 2021, the Company's ownership in its equity method investment decreased as a result of a dilution of its investment in Vasconia and a subsequent partial sale of its investment. The Company recognized a net loss of $0.3 million related to the dilution of the Company's ownership in its Vasconia investment. The net loss was comprised of a loss of $2.0 million, related to amounts that were previously recognized in accumulated other comprehensive loss, net of a non-cash gain of $1.7 million for the difference between the selling price and the Company's basis in the diluted shares.</w:t>
      </w:r>
    </w:p>
    <w:p>
      <w:pPr>
        <w:spacing w:after="0" w:line="8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Additionally, the Company recognized a net loss of $0.5 million related to a partial sale of the Company’s ownership in its Vasconia investment. The net loss was comprised of a gain of $1.0 million, for the difference between the selling price and the Company’s basis in the sale of shares, offset by tax expense of $0.1 million and a loss of $1.4 million, related to amounts previously recognized in accumulated other comprehensive loss.</w:t>
      </w:r>
    </w:p>
    <w:p>
      <w:pPr>
        <w:spacing w:after="0" w:line="41"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color w:val="auto"/>
        </w:rPr>
        <w:t>During the nine months ended September 30, 2020, the Company recognized a loss of $0.2 million, relating to cumulative translation foreign currency losses that were recognized to earnings upon the dissolution of Lifetime Brands Do Brasil Participacoes Ltda., a 100% owned foreign subsidiary. The foreign currency translation losses related to the notes receivable due to the Company from the 2016 sale of its equity interest in GS International S/A.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5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At September 30, 2021, the Company had cash and cash equivalents of $8.7 million, compared to $36.0 million at December 31, 2020. Working capital was $251.5 million at September 30, 2021, compared to $241.2 million at December 31, 2020. Liquidity, which includes cash and cash equivalents and availability under the ABL Agreement, was approximately $153.8 million at September 30, 2021.</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September 30, 2021, inventory turnover was 2.4 times, or 154 days, as compared to 3.1 times, or 119 days, for the three months ended September 30, 2020. The decrease in inventory turnover was attributable to higher inventory costs and increased inventory investment in the current period.</w:t>
      </w:r>
    </w:p>
    <w:p>
      <w:pPr>
        <w:spacing w:after="0" w:line="8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or on terms favorable to the Company.</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 Some of the Company’s customers may be adversely and materially affected by the COVID-19 pandemic.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Company’s credit agreement, dated as of March 2, 2018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that provides for a senior secured term loan credit facility in the original principal amount of $275.0 million, which matures on February 28, 2025. The Term Loan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lenders have the option to decline a portion or all of the prepayment amount. This estimated amount is recorded in current maturity of term loan on the unaudited condensed consolidated balance sheets. Additionally, the Term Loan facility requires quarterly payments, which commenced on June 30, 2018, of principal equal to 0.25% of the original aggregate principal amount of the Term Loan facility. Per the Debt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Agreements, when the Company makes an Excess Cash Flow payment, the payment is first applied to satisfy the future quarterly required payments in order of maturity. The quarterly principal payments have been satisfied through maturity of the Term Loan by the annual Excess Cash Flow payments.</w:t>
      </w:r>
    </w:p>
    <w:p>
      <w:pPr>
        <w:spacing w:after="0" w:line="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(27,302)</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145,089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w:t>
            </w:r>
          </w:p>
        </w:tc>
      </w:tr>
      <w:tr>
        <w:trPr>
          <w:trHeight w:val="23"/>
        </w:trPr>
        <w:tc>
          <w:tcPr>
            <w:tcW w:w="7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Availability under the ABL Agreement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may mean that the Company will have greater borrowing availability during the third and fourth quarters of each year. Consequently, the $150.0 million commitment thereunder may not represent actual borrowing capacity.</w:t>
      </w:r>
    </w:p>
    <w:p>
      <w:pPr>
        <w:spacing w:after="0" w:line="79"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2020</w:t>
            </w: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1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3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19,120</w:t>
            </w:r>
          </w:p>
        </w:tc>
      </w:tr>
      <w:tr>
        <w:trPr>
          <w:trHeight w:val="243"/>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w:t>
            </w:r>
          </w:p>
        </w:tc>
      </w:tr>
      <w:tr>
        <w:trPr>
          <w:trHeight w:val="240"/>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17,657</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243,485</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(4,508)</w:t>
            </w: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238,977</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estimated Excess Cash Flow principal payment recorded at September 30, 2021 represents the Company’s estimate for the 2022 Excess Cash Flow payment. The 2021 Excess Cash Flow payment, paid on March 30, 2021, totaled $10.5 million. The Excess Cash Flow payment differs from the estimated amount at December 31, 2020 of $19.1 million as certain lenders opted to not require payment per the terms of the Debt Agreements.</w:t>
      </w:r>
    </w:p>
    <w:p>
      <w:pPr>
        <w:spacing w:after="0" w:line="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pledged as collateral in favor of lenders under the Term Loan and a second-priority lien in the Term Loan Collateral in favor of the lenders under the ABL Agreement.</w:t>
      </w:r>
    </w:p>
    <w:p>
      <w:pPr>
        <w:spacing w:after="0" w:line="62"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Borrowings under the ABL Agreement bear interest, at the Company’s option, at one of the following rates: (i) alternate base rate, defined, for any day, as the greater of the prime rate, a federal funds and overnight bank funding based rate plus 0.5% or one-month LIBOR plus 1.0%, plus a margin of 0.25% to 0.75%, or (ii) LIBOR plus a margin of 1.25% to 1.75%. The respective margins are based upon the Company’s total leverage ratio, as defined in and computed pursuant to the ABL Agreement. The interest rate on outstanding borrowings under the ABL Agreement at September 30, 2021 was 3.5%. In addition, the Company pays a commitment fee of 0.375% on the unused portion of the ABL Agreement.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255"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prime rate, (y) a federal funds and overnight bank funding based rate plus 0.5% or (z) one-month LIBOR, but not less than 1.0%, plus 1.0%, which alternate base rate shall not be less than 2%, plus a margin of 2.5% or (ii) LIBOR, but not less than 1%, plus a margin of 3.5%. The interest rate on outstanding borrowings under the Term Loan at September 30, 2021 was 4.5%.</w:t>
      </w:r>
    </w:p>
    <w:p>
      <w:pPr>
        <w:spacing w:after="0" w:line="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of the aggregate commitment under the ABL Agreement at any time and (b) ending on the day after such availability has exceeded the greater of $15.0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September 30, 2021.</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adjusted EBITDA, for the last twelve months ended September 30, 2021 was $96.7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nine months ended September 30, 2021 were $3.4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income, as reported, to adjusted EBITDA, for each of the last four quarters and the 12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ind w:left="70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6"/>
                <w:szCs w:val="16"/>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Twelve Months</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Ended September</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3"/>
              </w:rPr>
              <w:t>30, 2021</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as reported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36,648</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Undistributed equity (losses) earnings,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16,690</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15,851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Mark to market gain on interest rate derivatives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23,839</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 compensation expense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5,603</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Acquisition related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Restructuring benefit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Wallace facility remedial design expense</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96,713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EBITDA is a non-GAAP financial measure which is defined in the Company’s debt agreements. Adjusted EBITDA is defined as net income, adjusted to exclude undistributed equity in (losses) earnings, income tax provision, interest expense, mark to market gain on interest rate derivatives, depreciation and amortization, stock compensation expense, and other items detailed in the table above that are consistent with exclusions permitted by our debt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7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Pursuant to the Receivable Purchase Agreement, the Company sold to HSBC $33.7 million and $113.2 million of receivables during the three and nine months ended September 30, 2021, respectively, and $43.0 million and $116.9 million of receivables during the three and nine months ended September 30, 2020, respectively. Charges of $0.1 million and $0.3 million related to the sale of the receivables are included in selling, general and administrative expenses in the unaudited condensed consolidated statements of operations for the three and nine months ended September 30, 2021, respectively. Charges of $0.1 million and $0.4 million related to the sale of the receivables are included in selling, general and administrative expenses in the unaudited condensed consolidated statements of operations for the three and nine months ended September 30, 2020, respectively. At September 30, 2021 and 2020, $15.8 million and $26.7 million, respectively, of receivables sold were outstanding and due to HSBC from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$75.0 million at September 30, 2021.</w:t>
      </w:r>
    </w:p>
    <w:p>
      <w:pPr>
        <w:spacing w:after="0" w:line="11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$50.0 million at September 30, 2021.</w:t>
      </w: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September 30, 2021.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aggregate gross notional values of foreign exchange contracts at September 30, 2021 was $31.3 million. These foreign exchange contracts have been designated as hedges in order to apply hedge accounting.</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September 30, 2021, the Company did not have any foreign currency forward contract derivatives that are not designated as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Net cash provided by operating activities was $14.6 million for the nine months ended September 30, 2021, as compared to net cash provided by operating activities of $49.2 million for the nine months ended September 30, 2020. The decrease from 2021 compared to 2020 was attributable to an increased investment in inventory and timing of payment for accounts payable and accrued expenses. The timing of payment for accounts payable and accrued expenses in the comparable period reflected cost savings initiatives and payment deferral strategies utilized in response to the COVID-19 pandemic. The decrease in net cash provided by operating actives was partially offset by timing of collections related to the Company’s accounts receivables.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Net cash used in investing activities was $0.5 million and $1.6 million for the nine months ended September 30, 2021 and 2020, respectively. The nine months ended September 30, 2021 included $3.1 million of proceeds received from a partial sale of the Company’s investment in its equity method investment, offset by cash used for purchases of property and equity of $3.4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cash used in financing activities was $41.5 million for the nine months ended September 30, 2021, as compared to net cash used in financing activities of $16.2 million for the nine months ended September 30, 2020. The change was mainly attributable to repayments on the Company’s revolving credit facility under its ABL Agreement in the 2021 period compared to proceeds received in the 2020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2020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September 30, 2021,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 description of the Company’s legal proceedings, please see NOTE 13 — CONTINGENCIES, to the Company's condensed consolidated financial statements included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readers should carefully consider the factors discussed in Part I, Item 1A—Risk Factors in the 2020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2020 Annual Report on Form 10-K</w:t>
      </w:r>
      <w:r>
        <w:rPr>
          <w:rFonts w:ascii="Arial" w:cs="Arial" w:eastAsia="Arial" w:hAnsi="Arial"/>
          <w:sz w:val="18"/>
          <w:szCs w:val="18"/>
          <w:b w:val="1"/>
          <w:bCs w:val="1"/>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0"/>
              </w:rPr>
              <w:t>shares that may</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200"/>
              <w:spacing w:after="0"/>
              <w:rPr>
                <w:sz w:val="20"/>
                <w:szCs w:val="20"/>
                <w:color w:val="auto"/>
              </w:rPr>
            </w:pPr>
            <w:r>
              <w:rPr>
                <w:rFonts w:ascii="Arial" w:cs="Arial" w:eastAsia="Arial" w:hAnsi="Arial"/>
                <w:sz w:val="16"/>
                <w:szCs w:val="16"/>
                <w:b w:val="1"/>
                <w:bCs w:val="1"/>
                <w:color w:val="auto"/>
                <w:w w:val="92"/>
              </w:rPr>
              <w:t>Average price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219"/>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1"/>
              </w:rPr>
              <w:t>or programs</w:t>
            </w:r>
          </w:p>
        </w:tc>
        <w:tc>
          <w:tcPr>
            <w:tcW w:w="0" w:type="dxa"/>
            <w:vAlign w:val="bottom"/>
          </w:tcPr>
          <w:p>
            <w:pPr>
              <w:spacing w:after="0"/>
              <w:rPr>
                <w:sz w:val="1"/>
                <w:szCs w:val="1"/>
                <w:color w:val="auto"/>
              </w:rPr>
            </w:pPr>
          </w:p>
        </w:tc>
      </w:tr>
      <w:tr>
        <w:trPr>
          <w:trHeight w:val="162"/>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2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5"/>
              </w:rPr>
              <w:t>shares</w:t>
            </w:r>
          </w:p>
        </w:tc>
        <w:tc>
          <w:tcPr>
            <w:tcW w:w="3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5"/>
              </w:rPr>
              <w:t>subsequent to</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auto"/>
            </w:tcBorders>
            <w:vMerge w:val="continue"/>
          </w:tcPr>
          <w:p>
            <w:pPr>
              <w:spacing w:after="0"/>
              <w:rPr>
                <w:sz w:val="18"/>
                <w:szCs w:val="18"/>
                <w:color w:val="auto"/>
              </w:rPr>
            </w:pPr>
          </w:p>
        </w:tc>
        <w:tc>
          <w:tcPr>
            <w:tcW w:w="2120" w:type="dxa"/>
            <w:vAlign w:val="bottom"/>
            <w:tcBorders>
              <w:bottom w:val="single" w:sz="8" w:color="auto"/>
            </w:tcBorders>
          </w:tcPr>
          <w:p>
            <w:pPr>
              <w:jc w:val="center"/>
              <w:ind w:left="79"/>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w w:val="91"/>
              </w:rPr>
              <w:t>paid per share</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ind w:left="219"/>
              <w:spacing w:after="0" w:line="216" w:lineRule="exact"/>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(2)</w:t>
            </w: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179"/>
              <w:spacing w:after="0" w:line="216" w:lineRule="exact"/>
              <w:rPr>
                <w:sz w:val="20"/>
                <w:szCs w:val="20"/>
                <w:color w:val="auto"/>
              </w:rPr>
            </w:pPr>
            <w:r>
              <w:rPr>
                <w:rFonts w:ascii="Arial" w:cs="Arial" w:eastAsia="Arial" w:hAnsi="Arial"/>
                <w:sz w:val="16"/>
                <w:szCs w:val="16"/>
                <w:b w:val="1"/>
                <w:bCs w:val="1"/>
                <w:color w:val="auto"/>
                <w:w w:val="87"/>
              </w:rPr>
              <w:t xml:space="preserve">end of period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August 1 - August 31, 2021</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18.23</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6,771,467</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September 1 - September 30, 2021</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17.65</w:t>
            </w: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6,771,467</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right="160" w:hanging="332"/>
        <w:spacing w:after="0" w:line="301" w:lineRule="auto"/>
        <w:tabs>
          <w:tab w:leader="none" w:pos="33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repurchased shares were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number above does not include unvested shares forfeited back to the Company pursuant to the terms of its stock compensation plans.</w:t>
      </w:r>
    </w:p>
    <w:p>
      <w:pPr>
        <w:spacing w:after="0" w:line="200" w:lineRule="exact"/>
        <w:rPr>
          <w:rFonts w:ascii="Arial" w:cs="Arial" w:eastAsia="Arial" w:hAnsi="Arial"/>
          <w:sz w:val="16"/>
          <w:szCs w:val="16"/>
          <w:color w:val="auto"/>
        </w:rPr>
      </w:pPr>
    </w:p>
    <w:p>
      <w:pPr>
        <w:spacing w:after="0" w:line="294" w:lineRule="exact"/>
        <w:rPr>
          <w:rFonts w:ascii="Arial" w:cs="Arial" w:eastAsia="Arial" w:hAnsi="Arial"/>
          <w:sz w:val="16"/>
          <w:szCs w:val="16"/>
          <w:color w:val="auto"/>
        </w:rPr>
      </w:pPr>
    </w:p>
    <w:p>
      <w:pPr>
        <w:ind w:left="5540" w:hanging="111"/>
        <w:spacing w:after="0"/>
        <w:tabs>
          <w:tab w:leader="none" w:pos="55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63"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April 30, 2013, the Board of Directors of the Company authorized the repurchase of up to $10.0 million of the Company’s common stock. The repurchase authorization permits the Company to effect the repurchases from time to time through open market purchases and privately negotiated transactions. No repurchases occurred during the three months ended September 30, 2021.</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5540" w:hanging="111"/>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below, which is incorporated by reference herein.</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20" w:type="dxa"/>
            <w:vAlign w:val="bottom"/>
            <w:gridSpan w:val="7"/>
          </w:tcPr>
          <w:p>
            <w:pPr>
              <w:ind w:left="21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gridSpan w:val="9"/>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by Robert B. Kay, Chief Executive Officer and Director, pursuant to Rule 13a-14(a) or Rule 15d-14(a) of the Securities</w:t>
              </w:r>
            </w:hyperlink>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and Exchange Act of 1934, as adopted pursuant to Section 302 of the Sarbanes-Oxley Act of 2002</w:t>
              </w:r>
            </w:hyperlink>
          </w:p>
        </w:tc>
        <w:tc>
          <w:tcPr>
            <w:tcW w:w="24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gridSpan w:val="9"/>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Certification by Laurence Winoker, Senior Vice President – Finance, Treasurer and Chief Financial Officer, pursuant to Rule 13a-</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9560" w:type="dxa"/>
            <w:vAlign w:val="bottom"/>
            <w:gridSpan w:val="9"/>
          </w:tcPr>
          <w:p>
            <w:pPr>
              <w:spacing w:after="0" w:line="156" w:lineRule="exact"/>
              <w:rPr>
                <w:rFonts w:ascii="Arial" w:cs="Arial" w:eastAsia="Arial" w:hAnsi="Arial"/>
                <w:sz w:val="18"/>
                <w:szCs w:val="18"/>
                <w:color w:val="0000FF"/>
                <w:w w:val="91"/>
              </w:rPr>
            </w:pPr>
            <w:hyperlink w:anchor="page50">
              <w:r>
                <w:rPr>
                  <w:rFonts w:ascii="Arial" w:cs="Arial" w:eastAsia="Arial" w:hAnsi="Arial"/>
                  <w:sz w:val="18"/>
                  <w:szCs w:val="18"/>
                  <w:color w:val="0000FF"/>
                  <w:w w:val="91"/>
                </w:rPr>
                <w:t>14(a) or Rule 15d-14(a) of the Securities and Exchange Act of 1934, as adopted pursuant to Section 302 of the Sarbanes-Oxley Act</w:t>
              </w:r>
            </w:hyperlink>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of 2002</w:t>
              </w:r>
            </w:hyperlink>
          </w:p>
        </w:tc>
        <w:tc>
          <w:tcPr>
            <w:tcW w:w="8900" w:type="dxa"/>
            <w:vAlign w:val="bottom"/>
            <w:tcBorders>
              <w:top w:val="single" w:sz="8" w:color="0000FF"/>
            </w:tcBorders>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600" w:type="dxa"/>
            <w:vAlign w:val="bottom"/>
          </w:tcPr>
          <w:p>
            <w:pPr>
              <w:spacing w:after="0"/>
              <w:rPr>
                <w:sz w:val="20"/>
                <w:szCs w:val="20"/>
                <w:color w:val="auto"/>
              </w:rPr>
            </w:pPr>
            <w:r>
              <w:rPr>
                <w:rFonts w:ascii="Arial" w:cs="Arial" w:eastAsia="Arial" w:hAnsi="Arial"/>
                <w:sz w:val="18"/>
                <w:szCs w:val="18"/>
                <w:color w:val="auto"/>
              </w:rPr>
              <w:t>32.1</w:t>
            </w:r>
          </w:p>
        </w:tc>
        <w:tc>
          <w:tcPr>
            <w:tcW w:w="91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Certification by Robert B. Kay, Chief Executive Officer and Director, and Laurence Winoker, Senior Vice President – Finance,</w:t>
              </w:r>
            </w:hyperlink>
          </w:p>
        </w:tc>
        <w:tc>
          <w:tcPr>
            <w:tcW w:w="4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9560" w:type="dxa"/>
            <w:vAlign w:val="bottom"/>
            <w:gridSpan w:val="9"/>
          </w:tcPr>
          <w:p>
            <w:pPr>
              <w:spacing w:after="0" w:line="156" w:lineRule="exact"/>
              <w:rPr>
                <w:rFonts w:ascii="Arial" w:cs="Arial" w:eastAsia="Arial" w:hAnsi="Arial"/>
                <w:sz w:val="18"/>
                <w:szCs w:val="18"/>
                <w:color w:val="0000FF"/>
                <w:w w:val="93"/>
              </w:rPr>
            </w:pPr>
            <w:hyperlink w:anchor="page51">
              <w:r>
                <w:rPr>
                  <w:rFonts w:ascii="Arial" w:cs="Arial" w:eastAsia="Arial" w:hAnsi="Arial"/>
                  <w:sz w:val="18"/>
                  <w:szCs w:val="18"/>
                  <w:color w:val="0000FF"/>
                  <w:w w:val="93"/>
                </w:rPr>
                <w:t>Treasurer and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91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51">
              <w:r>
                <w:rPr>
                  <w:rFonts w:ascii="Arial" w:cs="Arial" w:eastAsia="Arial" w:hAnsi="Arial"/>
                  <w:sz w:val="18"/>
                  <w:szCs w:val="18"/>
                  <w:color w:val="0000FF"/>
                </w:rPr>
                <w:t>Oxley Act of 2002</w:t>
              </w:r>
            </w:hyperlink>
          </w:p>
        </w:tc>
        <w:tc>
          <w:tcPr>
            <w:tcW w:w="4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1340" w:type="dxa"/>
            <w:vAlign w:val="bottom"/>
            <w:gridSpan w:val="2"/>
            <w:shd w:val="clear" w:color="auto" w:fill="0000FF"/>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600" w:type="dxa"/>
            <w:vAlign w:val="bottom"/>
            <w:vMerge w:val="continue"/>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97"/>
        </w:trPr>
        <w:tc>
          <w:tcPr>
            <w:tcW w:w="160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9"/>
          </w:tcPr>
          <w:p>
            <w:pPr>
              <w:spacing w:after="0"/>
              <w:rPr>
                <w:sz w:val="20"/>
                <w:szCs w:val="20"/>
                <w:color w:val="auto"/>
              </w:rPr>
            </w:pPr>
            <w:r>
              <w:rPr>
                <w:rFonts w:ascii="Arial" w:cs="Arial" w:eastAsia="Arial" w:hAnsi="Arial"/>
                <w:sz w:val="18"/>
                <w:szCs w:val="18"/>
                <w:color w:val="auto"/>
              </w:rPr>
              <w:t>The cover page from this Quarterly Report on Form 10-Q, formatted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Lifetime Brands, Inc.</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920" w:type="dxa"/>
            <w:vAlign w:val="bottom"/>
          </w:tcPr>
          <w:p>
            <w:pPr>
              <w:ind w:left="580"/>
              <w:spacing w:after="0"/>
              <w:rPr>
                <w:sz w:val="20"/>
                <w:szCs w:val="20"/>
                <w:color w:val="auto"/>
              </w:rPr>
            </w:pPr>
            <w:r>
              <w:rPr>
                <w:rFonts w:ascii="Arial" w:cs="Arial" w:eastAsia="Arial" w:hAnsi="Arial"/>
                <w:sz w:val="18"/>
                <w:szCs w:val="18"/>
                <w:color w:val="auto"/>
                <w:w w:val="89"/>
              </w:rPr>
              <w:t>November 4, 2021</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1920" w:type="dxa"/>
            <w:vAlign w:val="bottom"/>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c>
          <w:tcPr>
            <w:tcW w:w="1920" w:type="dxa"/>
            <w:vAlign w:val="bottom"/>
          </w:tcPr>
          <w:p>
            <w:pPr>
              <w:ind w:left="580"/>
              <w:spacing w:after="0"/>
              <w:rPr>
                <w:sz w:val="20"/>
                <w:szCs w:val="20"/>
                <w:color w:val="auto"/>
              </w:rPr>
            </w:pPr>
            <w:r>
              <w:rPr>
                <w:rFonts w:ascii="Arial" w:cs="Arial" w:eastAsia="Arial" w:hAnsi="Arial"/>
                <w:sz w:val="18"/>
                <w:szCs w:val="18"/>
                <w:color w:val="auto"/>
                <w:w w:val="89"/>
              </w:rPr>
              <w:t>November 4, 2021</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1920" w:type="dxa"/>
            <w:vAlign w:val="bottom"/>
          </w:tcPr>
          <w:p>
            <w:pPr>
              <w:spacing w:after="0"/>
              <w:rPr>
                <w:sz w:val="19"/>
                <w:szCs w:val="19"/>
                <w:color w:val="auto"/>
              </w:rPr>
            </w:pPr>
          </w:p>
        </w:tc>
      </w:tr>
      <w:tr>
        <w:trPr>
          <w:trHeight w:val="176"/>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w w:val="89"/>
              </w:rPr>
              <w:t>Senior Vice President – Finance, Treasurer and</w:t>
            </w:r>
          </w:p>
        </w:tc>
        <w:tc>
          <w:tcPr>
            <w:tcW w:w="1920" w:type="dxa"/>
            <w:vAlign w:val="bottom"/>
          </w:tcPr>
          <w:p>
            <w:pPr>
              <w:spacing w:after="0"/>
              <w:rPr>
                <w:sz w:val="15"/>
                <w:szCs w:val="15"/>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w w:val="99"/>
              </w:rPr>
              <w:t>(Principal Financial and Accounting Officer)</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220"/>
          </w:cols>
          <w:pgMar w:left="320" w:top="121" w:right="35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3" w:lineRule="auto"/>
        <w:tabs>
          <w:tab w:leader="none" w:pos="6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420" w:right="340" w:hanging="7"/>
        <w:spacing w:after="0" w:line="342" w:lineRule="auto"/>
        <w:tabs>
          <w:tab w:leader="none" w:pos="6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left="420" w:right="260" w:hanging="7"/>
        <w:spacing w:after="0" w:line="263" w:lineRule="auto"/>
        <w:tabs>
          <w:tab w:leader="none" w:pos="6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700" w:right="140" w:hanging="315"/>
        <w:spacing w:after="0" w:line="286" w:lineRule="auto"/>
        <w:tabs>
          <w:tab w:leader="none" w:pos="1690" w:val="left"/>
        </w:tabs>
        <w:numPr>
          <w:ilvl w:val="3"/>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700" w:right="40" w:hanging="315"/>
        <w:spacing w:after="0" w:line="263" w:lineRule="auto"/>
        <w:tabs>
          <w:tab w:leader="none" w:pos="1700" w:val="left"/>
        </w:tabs>
        <w:numPr>
          <w:ilvl w:val="3"/>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700" w:right="140" w:hanging="315"/>
        <w:spacing w:after="0" w:line="263" w:lineRule="auto"/>
        <w:tabs>
          <w:tab w:leader="none" w:pos="1690" w:val="left"/>
        </w:tabs>
        <w:numPr>
          <w:ilvl w:val="3"/>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700" w:right="40" w:hanging="315"/>
        <w:spacing w:after="0" w:line="263" w:lineRule="auto"/>
        <w:tabs>
          <w:tab w:leader="none" w:pos="1700" w:val="left"/>
        </w:tabs>
        <w:numPr>
          <w:ilvl w:val="3"/>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20" w:hanging="320"/>
        <w:spacing w:after="0" w:line="342" w:lineRule="auto"/>
        <w:tabs>
          <w:tab w:leader="none" w:pos="1290" w:val="left"/>
        </w:tabs>
        <w:numPr>
          <w:ilvl w:val="2"/>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00" w:hanging="320"/>
        <w:spacing w:after="0" w:line="277" w:lineRule="auto"/>
        <w:tabs>
          <w:tab w:leader="none" w:pos="13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6231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Robert B. Kay</w:t>
      </w:r>
    </w:p>
    <w:p>
      <w:pPr>
        <w:ind w:left="680"/>
        <w:spacing w:after="0"/>
        <w:rPr>
          <w:sz w:val="20"/>
          <w:szCs w:val="20"/>
          <w:color w:val="auto"/>
        </w:rPr>
      </w:pPr>
      <w:r>
        <w:rPr>
          <w:rFonts w:ascii="Arial" w:cs="Arial" w:eastAsia="Arial" w:hAnsi="Arial"/>
          <w:sz w:val="18"/>
          <w:szCs w:val="18"/>
          <w:color w:val="auto"/>
        </w:rPr>
        <w:t>Chief Executive Officer and Director</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980" w:right="440" w:hanging="648"/>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5"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656"/>
        <w:spacing w:after="0" w:line="311" w:lineRule="auto"/>
        <w:tabs>
          <w:tab w:leader="none" w:pos="19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0" w:lineRule="exact"/>
        <w:rPr>
          <w:rFonts w:ascii="Arial" w:cs="Arial" w:eastAsia="Arial" w:hAnsi="Arial"/>
          <w:sz w:val="16"/>
          <w:szCs w:val="16"/>
          <w:color w:val="auto"/>
        </w:rPr>
      </w:pPr>
    </w:p>
    <w:p>
      <w:pPr>
        <w:ind w:left="1960" w:right="260" w:hanging="656"/>
        <w:spacing w:after="0" w:line="286" w:lineRule="auto"/>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460" w:hanging="656"/>
        <w:spacing w:after="0" w:line="263"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140" w:hanging="656"/>
        <w:spacing w:after="0" w:line="263" w:lineRule="auto"/>
        <w:tabs>
          <w:tab w:leader="none" w:pos="19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19545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Laurence Winoker</w:t>
      </w:r>
    </w:p>
    <w:p>
      <w:pPr>
        <w:ind w:left="1000"/>
        <w:spacing w:after="0" w:line="203" w:lineRule="auto"/>
        <w:rPr>
          <w:sz w:val="20"/>
          <w:szCs w:val="20"/>
          <w:color w:val="auto"/>
        </w:rPr>
      </w:pPr>
      <w:r>
        <w:rPr>
          <w:rFonts w:ascii="Arial" w:cs="Arial" w:eastAsia="Arial" w:hAnsi="Arial"/>
          <w:sz w:val="18"/>
          <w:szCs w:val="18"/>
          <w:color w:val="auto"/>
        </w:rPr>
        <w:t>Senior Vice President – Finance,</w:t>
      </w:r>
    </w:p>
    <w:p>
      <w:pPr>
        <w:ind w:left="1000"/>
        <w:spacing w:after="0"/>
        <w:rPr>
          <w:sz w:val="20"/>
          <w:szCs w:val="20"/>
          <w:color w:val="auto"/>
        </w:rPr>
      </w:pPr>
      <w:r>
        <w:rPr>
          <w:rFonts w:ascii="Arial" w:cs="Arial" w:eastAsia="Arial" w:hAnsi="Arial"/>
          <w:sz w:val="18"/>
          <w:szCs w:val="18"/>
          <w:color w:val="auto"/>
        </w:rPr>
        <w:t>Treasurer and Chief Financial Officer</w:t>
      </w:r>
    </w:p>
    <w:p>
      <w:pPr>
        <w:spacing w:after="0" w:line="6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November 4, 2021</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170" w:lineRule="exact"/>
        <w:rPr>
          <w:sz w:val="20"/>
          <w:szCs w:val="20"/>
          <w:color w:val="auto"/>
        </w:rPr>
      </w:pPr>
    </w:p>
    <w:p>
      <w:pPr>
        <w:ind w:left="660" w:right="180" w:hanging="328"/>
        <w:spacing w:after="0" w:line="277"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September 30, 2021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20" w:type="dxa"/>
            <w:vAlign w:val="bottom"/>
          </w:tcPr>
          <w:p>
            <w:pPr>
              <w:spacing w:after="0"/>
              <w:rPr>
                <w:sz w:val="20"/>
                <w:szCs w:val="20"/>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r>
      <w:tr>
        <w:trPr>
          <w:trHeight w:val="159"/>
        </w:trPr>
        <w:tc>
          <w:tcPr>
            <w:tcW w:w="48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Robert B. Kay</w:t>
            </w:r>
          </w:p>
        </w:tc>
        <w:tc>
          <w:tcPr>
            <w:tcW w:w="5800" w:type="dxa"/>
            <w:vAlign w:val="bottom"/>
          </w:tcPr>
          <w:p>
            <w:pPr>
              <w:ind w:left="20"/>
              <w:spacing w:after="0" w:line="159" w:lineRule="exact"/>
              <w:rPr>
                <w:sz w:val="20"/>
                <w:szCs w:val="20"/>
                <w:color w:val="auto"/>
              </w:rPr>
            </w:pPr>
            <w:r>
              <w:rPr>
                <w:rFonts w:ascii="Arial" w:cs="Arial" w:eastAsia="Arial" w:hAnsi="Arial"/>
                <w:sz w:val="16"/>
                <w:szCs w:val="16"/>
                <w:color w:val="auto"/>
              </w:rPr>
              <w:t>Laurence Winoker</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5800" w:type="dxa"/>
            <w:vAlign w:val="bottom"/>
          </w:tcPr>
          <w:p>
            <w:pPr>
              <w:ind w:left="20"/>
              <w:spacing w:after="0"/>
              <w:rPr>
                <w:sz w:val="20"/>
                <w:szCs w:val="20"/>
                <w:color w:val="auto"/>
              </w:rPr>
            </w:pPr>
            <w:r>
              <w:rPr>
                <w:rFonts w:ascii="Arial" w:cs="Arial" w:eastAsia="Arial" w:hAnsi="Arial"/>
                <w:sz w:val="16"/>
                <w:szCs w:val="16"/>
                <w:color w:val="auto"/>
              </w:rPr>
              <w:t>Senior Vice President- Finance, Treasurer and Chief Financial Officer</w:t>
            </w:r>
          </w:p>
        </w:tc>
      </w:tr>
      <w:tr>
        <w:trPr>
          <w:trHeight w:val="505"/>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Date: November 4, 2021</w:t>
            </w:r>
          </w:p>
        </w:tc>
        <w:tc>
          <w:tcPr>
            <w:tcW w:w="5800" w:type="dxa"/>
            <w:vAlign w:val="bottom"/>
          </w:tcPr>
          <w:p>
            <w:pPr>
              <w:ind w:left="20"/>
              <w:spacing w:after="0"/>
              <w:rPr>
                <w:sz w:val="20"/>
                <w:szCs w:val="20"/>
                <w:color w:val="auto"/>
              </w:rPr>
            </w:pPr>
            <w:r>
              <w:rPr>
                <w:rFonts w:ascii="Arial" w:cs="Arial" w:eastAsia="Arial" w:hAnsi="Arial"/>
                <w:sz w:val="18"/>
                <w:szCs w:val="18"/>
                <w:color w:val="auto"/>
              </w:rPr>
              <w:t>Date: November 4, 2021</w:t>
            </w:r>
          </w:p>
        </w:tc>
      </w:tr>
    </w:tbl>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lvl w:ilvl="1">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lvl w:ilvl="1">
      <w:lvlJc w:val="left"/>
      <w:lvlText w:val="-"/>
      <w:numFmt w:val="bullet"/>
      <w:start w:val="1"/>
    </w:lvl>
  </w:abstractNum>
  <w:abstractNum w:abstractNumId="5">
    <w:nsid w:val="109CF92E"/>
    <w:multiLevelType w:val="hybridMultilevel"/>
    <w:lvl w:ilvl="0">
      <w:lvlJc w:val="left"/>
      <w:lvlText w:val="(%1)"/>
      <w:numFmt w:val="lowerRoman"/>
      <w:start w:val="10"/>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lvl w:ilvl="1">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10"/>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lvl w:ilvl="1">
      <w:lvlJc w:val="left"/>
      <w:lvlText w:val="-"/>
      <w:numFmt w:val="bullet"/>
      <w:start w:val="1"/>
    </w:lvl>
  </w:abstractNum>
  <w:abstractNum w:abstractNumId="16">
    <w:nsid w:val="7C83E458"/>
    <w:multiLevelType w:val="hybridMultilevel"/>
    <w:lvl w:ilvl="0">
      <w:lvlJc w:val="left"/>
      <w:lvlText w:val="(%1)"/>
      <w:numFmt w:val="decimal"/>
      <w:start w:val="2"/>
    </w:lvl>
    <w:lvl w:ilvl="1">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18">
    <w:nsid w:val="62BBD9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2021-11-04T16:03:04Z</dcterms:created>
  <dcterms:modified xsi:type="dcterms:W3CDTF">2021-11-04T16:03:04Z</dcterms:modified>
</cp:coreProperties>
</file>